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6C502">
      <w:pPr>
        <w:jc w:val="center"/>
      </w:pPr>
      <w:bookmarkStart w:id="0" w:name="_Toc29741_WPSOffice_Level1"/>
      <w:bookmarkStart w:id="1" w:name="_Toc25499"/>
    </w:p>
    <w:p w14:paraId="100E0A42">
      <w:pPr>
        <w:jc w:val="both"/>
        <w:rPr>
          <w:rFonts w:hint="eastAsia" w:ascii="Times New Roman" w:hAnsi="Times New Roman" w:eastAsia="黑体" w:cs="Times New Roman"/>
          <w:b/>
          <w:spacing w:val="45"/>
          <w:kern w:val="0"/>
          <w:sz w:val="60"/>
          <w:szCs w:val="60"/>
        </w:rPr>
      </w:pPr>
    </w:p>
    <w:p w14:paraId="108A219B">
      <w:pPr>
        <w:jc w:val="center"/>
        <w:rPr>
          <w:rFonts w:hint="eastAsia" w:ascii="Times New Roman" w:hAnsi="Times New Roman" w:eastAsia="黑体" w:cs="Times New Roman"/>
          <w:b/>
          <w:spacing w:val="45"/>
          <w:kern w:val="0"/>
          <w:sz w:val="60"/>
          <w:szCs w:val="60"/>
        </w:rPr>
      </w:pPr>
    </w:p>
    <w:p w14:paraId="55912D7A">
      <w:pPr>
        <w:jc w:val="center"/>
        <w:rPr>
          <w:rFonts w:ascii="Times New Roman" w:hAnsi="Times New Roman" w:eastAsia="黑体" w:cs="Times New Roman"/>
          <w:b/>
          <w:spacing w:val="45"/>
          <w:kern w:val="0"/>
          <w:sz w:val="60"/>
          <w:szCs w:val="60"/>
        </w:rPr>
      </w:pPr>
      <w:bookmarkStart w:id="115" w:name="_GoBack"/>
      <w:r>
        <w:rPr>
          <w:rFonts w:hint="eastAsia" w:ascii="Times New Roman" w:hAnsi="Times New Roman" w:eastAsia="黑体" w:cs="Times New Roman"/>
          <w:b/>
          <w:spacing w:val="45"/>
          <w:kern w:val="0"/>
          <w:sz w:val="60"/>
          <w:szCs w:val="60"/>
        </w:rPr>
        <w:t>上杭县</w:t>
      </w:r>
      <w:r>
        <w:rPr>
          <w:rFonts w:ascii="Times New Roman" w:hAnsi="Times New Roman" w:eastAsia="黑体" w:cs="Times New Roman"/>
          <w:b/>
          <w:spacing w:val="45"/>
          <w:kern w:val="0"/>
          <w:sz w:val="60"/>
          <w:szCs w:val="60"/>
        </w:rPr>
        <w:t>国土空间生态修复规划（2021-2035年）</w:t>
      </w:r>
    </w:p>
    <w:p w14:paraId="5D20F872">
      <w:pPr>
        <w:jc w:val="center"/>
        <w:rPr>
          <w:rFonts w:ascii="Times New Roman" w:hAnsi="Times New Roman" w:eastAsia="黑体" w:cs="Times New Roman"/>
          <w:b/>
          <w:spacing w:val="45"/>
          <w:kern w:val="0"/>
          <w:sz w:val="60"/>
          <w:szCs w:val="60"/>
        </w:rPr>
      </w:pPr>
    </w:p>
    <w:p w14:paraId="3C4B2F74">
      <w:pPr>
        <w:jc w:val="center"/>
        <w:rPr>
          <w:rFonts w:hint="eastAsia" w:ascii="Times New Roman" w:hAnsi="Times New Roman" w:eastAsia="黑体" w:cs="Times New Roman"/>
          <w:sz w:val="52"/>
          <w:szCs w:val="52"/>
          <w:lang w:val="en-US" w:eastAsia="zh-CN"/>
        </w:rPr>
      </w:pPr>
      <w:r>
        <w:rPr>
          <w:rFonts w:ascii="Times New Roman" w:hAnsi="Times New Roman" w:eastAsia="黑体" w:cs="Times New Roman"/>
          <w:sz w:val="52"/>
          <w:szCs w:val="52"/>
        </w:rPr>
        <w:t>规划</w:t>
      </w:r>
      <w:r>
        <w:rPr>
          <w:rFonts w:hint="eastAsia" w:ascii="Times New Roman" w:hAnsi="Times New Roman" w:eastAsia="黑体" w:cs="Times New Roman"/>
          <w:sz w:val="52"/>
          <w:szCs w:val="52"/>
          <w:lang w:val="en-US" w:eastAsia="zh-CN"/>
        </w:rPr>
        <w:t>文本</w:t>
      </w:r>
    </w:p>
    <w:p w14:paraId="3E43883C">
      <w:pPr>
        <w:ind w:firstLine="0" w:firstLineChars="0"/>
        <w:jc w:val="center"/>
        <w:rPr>
          <w:rFonts w:ascii="Times New Roman" w:hAnsi="Times New Roman" w:eastAsia="黑体" w:cs="Times New Roman"/>
          <w:b/>
          <w:spacing w:val="45"/>
          <w:kern w:val="0"/>
          <w:sz w:val="60"/>
          <w:szCs w:val="60"/>
        </w:rPr>
      </w:pPr>
      <w:r>
        <w:rPr>
          <w:rFonts w:hint="eastAsia" w:ascii="Times New Roman" w:hAnsi="Times New Roman" w:eastAsia="黑体" w:cs="Times New Roman"/>
          <w:sz w:val="30"/>
          <w:szCs w:val="30"/>
          <w:lang w:eastAsia="zh-CN"/>
        </w:rPr>
        <w:t>（</w:t>
      </w:r>
      <w:r>
        <w:rPr>
          <w:rFonts w:hint="eastAsia" w:ascii="Times New Roman" w:hAnsi="Times New Roman" w:eastAsia="黑体" w:cs="Times New Roman"/>
          <w:sz w:val="30"/>
          <w:szCs w:val="30"/>
          <w:lang w:val="en-US" w:eastAsia="zh-CN"/>
        </w:rPr>
        <w:t>征求意见稿</w:t>
      </w:r>
      <w:r>
        <w:rPr>
          <w:rFonts w:hint="eastAsia" w:ascii="Times New Roman" w:hAnsi="Times New Roman" w:eastAsia="黑体" w:cs="Times New Roman"/>
          <w:sz w:val="30"/>
          <w:szCs w:val="30"/>
          <w:lang w:eastAsia="zh-CN"/>
        </w:rPr>
        <w:t>）</w:t>
      </w:r>
    </w:p>
    <w:bookmarkEnd w:id="115"/>
    <w:p w14:paraId="27422C42">
      <w:pPr>
        <w:jc w:val="center"/>
        <w:rPr>
          <w:rFonts w:ascii="Times New Roman" w:hAnsi="Times New Roman" w:eastAsia="黑体" w:cs="Times New Roman"/>
          <w:b/>
          <w:spacing w:val="45"/>
          <w:kern w:val="0"/>
          <w:sz w:val="60"/>
          <w:szCs w:val="60"/>
        </w:rPr>
      </w:pPr>
    </w:p>
    <w:p w14:paraId="474FC076">
      <w:pPr>
        <w:jc w:val="center"/>
        <w:rPr>
          <w:rFonts w:ascii="Times New Roman" w:hAnsi="Times New Roman" w:eastAsia="黑体" w:cs="Times New Roman"/>
          <w:b/>
          <w:spacing w:val="45"/>
          <w:kern w:val="0"/>
          <w:sz w:val="60"/>
          <w:szCs w:val="60"/>
        </w:rPr>
      </w:pPr>
    </w:p>
    <w:p w14:paraId="0C1E3ABB">
      <w:pPr>
        <w:jc w:val="center"/>
        <w:rPr>
          <w:rFonts w:ascii="Times New Roman" w:hAnsi="Times New Roman" w:eastAsia="黑体" w:cs="Times New Roman"/>
          <w:b/>
          <w:spacing w:val="45"/>
          <w:kern w:val="0"/>
          <w:sz w:val="60"/>
          <w:szCs w:val="60"/>
        </w:rPr>
      </w:pPr>
    </w:p>
    <w:p w14:paraId="2E4AB77F">
      <w:pPr>
        <w:jc w:val="center"/>
        <w:rPr>
          <w:rFonts w:ascii="Times New Roman" w:hAnsi="Times New Roman" w:eastAsia="黑体" w:cs="Times New Roman"/>
          <w:b/>
          <w:spacing w:val="45"/>
          <w:kern w:val="0"/>
          <w:sz w:val="60"/>
          <w:szCs w:val="60"/>
        </w:rPr>
      </w:pPr>
    </w:p>
    <w:p w14:paraId="3DF87006">
      <w:pPr>
        <w:ind w:left="-34"/>
        <w:jc w:val="center"/>
        <w:rPr>
          <w:rFonts w:ascii="Times New Roman" w:hAnsi="Times New Roman" w:eastAsia="黑体" w:cs="Times New Roman"/>
          <w:bCs/>
          <w:sz w:val="36"/>
          <w:szCs w:val="36"/>
        </w:rPr>
      </w:pPr>
    </w:p>
    <w:p w14:paraId="324AB793">
      <w:pPr>
        <w:ind w:left="-34"/>
        <w:jc w:val="center"/>
        <w:rPr>
          <w:rFonts w:ascii="Times New Roman" w:hAnsi="Times New Roman" w:eastAsia="黑体" w:cs="Times New Roman"/>
          <w:bCs/>
          <w:sz w:val="36"/>
          <w:szCs w:val="36"/>
        </w:rPr>
      </w:pPr>
    </w:p>
    <w:p w14:paraId="143820D8">
      <w:pPr>
        <w:ind w:left="-34"/>
        <w:jc w:val="center"/>
        <w:rPr>
          <w:rFonts w:hint="eastAsia" w:ascii="Times New Roman" w:hAnsi="Times New Roman" w:eastAsia="黑体" w:cs="Times New Roman"/>
          <w:bCs/>
          <w:sz w:val="36"/>
          <w:szCs w:val="36"/>
          <w:lang w:val="en-US" w:eastAsia="zh-CN"/>
        </w:rPr>
      </w:pPr>
      <w:r>
        <w:rPr>
          <w:rFonts w:hint="eastAsia" w:ascii="Times New Roman" w:hAnsi="Times New Roman" w:eastAsia="黑体" w:cs="Times New Roman"/>
          <w:bCs/>
          <w:sz w:val="36"/>
          <w:szCs w:val="36"/>
          <w:lang w:val="en-US" w:eastAsia="zh-CN"/>
        </w:rPr>
        <w:t>上杭县自然资源局</w:t>
      </w:r>
    </w:p>
    <w:p w14:paraId="3CAE3884">
      <w:pPr>
        <w:ind w:left="-34"/>
        <w:jc w:val="center"/>
        <w:rPr>
          <w:rFonts w:ascii="Times New Roman" w:hAnsi="Times New Roman" w:eastAsia="黑体" w:cs="Times New Roman"/>
          <w:bCs/>
          <w:sz w:val="36"/>
          <w:szCs w:val="36"/>
        </w:rPr>
      </w:pPr>
      <w:r>
        <w:rPr>
          <w:rFonts w:ascii="Times New Roman" w:hAnsi="Times New Roman" w:eastAsia="黑体" w:cs="Times New Roman"/>
          <w:bCs/>
          <w:sz w:val="36"/>
          <w:szCs w:val="36"/>
        </w:rPr>
        <w:t>202</w:t>
      </w:r>
      <w:r>
        <w:rPr>
          <w:rFonts w:hint="eastAsia" w:ascii="Times New Roman" w:hAnsi="Times New Roman" w:eastAsia="黑体" w:cs="Times New Roman"/>
          <w:bCs/>
          <w:sz w:val="36"/>
          <w:szCs w:val="36"/>
        </w:rPr>
        <w:t>4</w:t>
      </w:r>
      <w:r>
        <w:rPr>
          <w:rFonts w:ascii="Times New Roman" w:hAnsi="Times New Roman" w:eastAsia="黑体" w:cs="Times New Roman"/>
          <w:bCs/>
          <w:sz w:val="36"/>
          <w:szCs w:val="36"/>
        </w:rPr>
        <w:t>年</w:t>
      </w:r>
      <w:r>
        <w:rPr>
          <w:rFonts w:hint="eastAsia" w:ascii="Times New Roman" w:hAnsi="Times New Roman" w:eastAsia="黑体" w:cs="Times New Roman"/>
          <w:bCs/>
          <w:sz w:val="36"/>
          <w:szCs w:val="36"/>
        </w:rPr>
        <w:t>8</w:t>
      </w:r>
      <w:r>
        <w:rPr>
          <w:rFonts w:ascii="Times New Roman" w:hAnsi="Times New Roman" w:eastAsia="黑体" w:cs="Times New Roman"/>
          <w:bCs/>
          <w:sz w:val="36"/>
          <w:szCs w:val="36"/>
        </w:rPr>
        <w:t>月</w:t>
      </w:r>
    </w:p>
    <w:p w14:paraId="41F825EF">
      <w:pPr>
        <w:ind w:left="-34"/>
        <w:jc w:val="center"/>
        <w:rPr>
          <w:rFonts w:ascii="Times New Roman" w:hAnsi="Times New Roman" w:eastAsia="黑体" w:cs="Times New Roman"/>
          <w:bCs/>
          <w:sz w:val="36"/>
          <w:szCs w:val="36"/>
        </w:rPr>
      </w:pPr>
    </w:p>
    <w:p w14:paraId="69AD37E2">
      <w:pPr>
        <w:adjustRightInd w:val="0"/>
        <w:snapToGrid w:val="0"/>
        <w:spacing w:line="300" w:lineRule="auto"/>
        <w:jc w:val="center"/>
        <w:rPr>
          <w:rFonts w:ascii="仿宋_GB2312" w:hAnsi="仿宋_GB2312" w:eastAsia="仿宋_GB2312" w:cs="仿宋_GB2312"/>
          <w:sz w:val="28"/>
        </w:rPr>
      </w:pPr>
    </w:p>
    <w:p w14:paraId="231761FD">
      <w:pPr>
        <w:adjustRightInd w:val="0"/>
        <w:snapToGrid w:val="0"/>
        <w:spacing w:line="300" w:lineRule="auto"/>
        <w:jc w:val="center"/>
        <w:rPr>
          <w:rFonts w:ascii="仿宋_GB2312" w:hAnsi="仿宋_GB2312" w:eastAsia="仿宋_GB2312" w:cs="仿宋_GB2312"/>
          <w:sz w:val="28"/>
        </w:rPr>
      </w:pPr>
    </w:p>
    <w:p w14:paraId="36015251">
      <w:pPr>
        <w:adjustRightInd w:val="0"/>
        <w:snapToGrid w:val="0"/>
        <w:spacing w:line="300" w:lineRule="auto"/>
        <w:jc w:val="center"/>
        <w:rPr>
          <w:rFonts w:ascii="仿宋_GB2312" w:hAnsi="仿宋_GB2312" w:eastAsia="仿宋_GB2312" w:cs="仿宋_GB2312"/>
          <w:sz w:val="28"/>
        </w:rPr>
      </w:pPr>
    </w:p>
    <w:p w14:paraId="391CA4EA">
      <w:pPr>
        <w:adjustRightInd w:val="0"/>
        <w:snapToGrid w:val="0"/>
        <w:spacing w:line="300" w:lineRule="auto"/>
        <w:jc w:val="center"/>
        <w:rPr>
          <w:rFonts w:ascii="仿宋_GB2312" w:hAnsi="仿宋_GB2312" w:eastAsia="仿宋_GB2312" w:cs="仿宋_GB2312"/>
          <w:sz w:val="40"/>
          <w:szCs w:val="44"/>
        </w:rPr>
      </w:pPr>
      <w:r>
        <w:rPr>
          <w:rFonts w:hint="eastAsia" w:ascii="仿宋_GB2312" w:hAnsi="仿宋_GB2312" w:eastAsia="仿宋_GB2312" w:cs="仿宋_GB2312"/>
          <w:sz w:val="40"/>
          <w:szCs w:val="44"/>
        </w:rPr>
        <w:t>上杭县国土空间生态修复规划（2021-2035年）</w:t>
      </w:r>
    </w:p>
    <w:p w14:paraId="0DA3E899">
      <w:pPr>
        <w:adjustRightInd w:val="0"/>
        <w:snapToGrid w:val="0"/>
        <w:spacing w:line="300" w:lineRule="auto"/>
        <w:jc w:val="center"/>
        <w:rPr>
          <w:rFonts w:hint="eastAsia" w:ascii="仿宋_GB2312" w:hAnsi="仿宋_GB2312" w:eastAsia="仿宋_GB2312" w:cs="仿宋_GB2312"/>
          <w:sz w:val="40"/>
          <w:szCs w:val="44"/>
          <w:lang w:eastAsia="zh-CN"/>
        </w:rPr>
      </w:pPr>
      <w:r>
        <w:rPr>
          <w:rFonts w:hint="eastAsia" w:ascii="仿宋_GB2312" w:hAnsi="仿宋_GB2312" w:eastAsia="仿宋_GB2312" w:cs="仿宋_GB2312"/>
          <w:sz w:val="40"/>
          <w:szCs w:val="44"/>
        </w:rPr>
        <w:t>规划</w:t>
      </w:r>
      <w:r>
        <w:rPr>
          <w:rFonts w:hint="eastAsia" w:ascii="仿宋_GB2312" w:hAnsi="仿宋_GB2312" w:eastAsia="仿宋_GB2312" w:cs="仿宋_GB2312"/>
          <w:sz w:val="40"/>
          <w:szCs w:val="44"/>
          <w:lang w:val="en-US" w:eastAsia="zh-CN"/>
        </w:rPr>
        <w:t>文本</w:t>
      </w:r>
    </w:p>
    <w:p w14:paraId="14902BEC">
      <w:pPr>
        <w:adjustRightInd w:val="0"/>
        <w:snapToGrid w:val="0"/>
        <w:spacing w:line="300" w:lineRule="auto"/>
        <w:rPr>
          <w:rFonts w:ascii="仿宋_GB2312" w:hAnsi="仿宋_GB2312" w:eastAsia="仿宋_GB2312" w:cs="仿宋_GB2312"/>
          <w:sz w:val="28"/>
        </w:rPr>
      </w:pPr>
    </w:p>
    <w:p w14:paraId="2913EC72">
      <w:pPr>
        <w:adjustRightInd w:val="0"/>
        <w:snapToGrid w:val="0"/>
        <w:spacing w:line="300" w:lineRule="auto"/>
        <w:rPr>
          <w:rFonts w:ascii="仿宋_GB2312" w:hAnsi="仿宋_GB2312" w:eastAsia="仿宋_GB2312" w:cs="仿宋_GB2312"/>
          <w:sz w:val="28"/>
        </w:rPr>
      </w:pPr>
    </w:p>
    <w:p w14:paraId="3E5434CC">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项目负责人：陈浩</w:t>
      </w:r>
    </w:p>
    <w:p w14:paraId="7F5641B6">
      <w:pPr>
        <w:adjustRightInd w:val="0"/>
        <w:snapToGrid w:val="0"/>
        <w:spacing w:line="30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编  写  人：张</w:t>
      </w:r>
      <w:r>
        <w:rPr>
          <w:rFonts w:hint="eastAsia" w:ascii="宋体" w:hAnsi="宋体" w:eastAsia="宋体" w:cs="宋体"/>
          <w:sz w:val="28"/>
          <w:szCs w:val="28"/>
        </w:rPr>
        <w:t>珺</w:t>
      </w:r>
      <w:r>
        <w:rPr>
          <w:rFonts w:hint="eastAsia" w:ascii="仿宋_GB2312" w:hAnsi="仿宋_GB2312" w:eastAsia="仿宋_GB2312" w:cs="仿宋_GB2312"/>
          <w:sz w:val="28"/>
          <w:szCs w:val="28"/>
        </w:rPr>
        <w:t>柔  梁宏伟  王勤威（上杭县自然资源局）</w:t>
      </w:r>
    </w:p>
    <w:p w14:paraId="3130F0ED">
      <w:pPr>
        <w:adjustRightInd w:val="0"/>
        <w:snapToGrid w:val="0"/>
        <w:spacing w:line="300" w:lineRule="auto"/>
        <w:jc w:val="left"/>
        <w:rPr>
          <w:rFonts w:ascii="宋体" w:hAnsi="宋体" w:eastAsia="宋体" w:cs="宋体"/>
          <w:sz w:val="28"/>
          <w:szCs w:val="28"/>
        </w:rPr>
      </w:pPr>
      <w:r>
        <w:rPr>
          <w:rFonts w:hint="eastAsia" w:ascii="仿宋_GB2312" w:hAnsi="仿宋_GB2312" w:eastAsia="仿宋_GB2312" w:cs="仿宋_GB2312"/>
          <w:sz w:val="28"/>
          <w:szCs w:val="28"/>
        </w:rPr>
        <w:t xml:space="preserve">            黄泓（上杭县自然资源局）</w:t>
      </w:r>
    </w:p>
    <w:p w14:paraId="5E7F7C68">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审  核  人：黄耀辉  陈元珍</w:t>
      </w:r>
    </w:p>
    <w:p w14:paraId="32CDE4DE">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pacing w:val="36"/>
          <w:sz w:val="28"/>
          <w:szCs w:val="28"/>
        </w:rPr>
        <w:t>总工程师</w:t>
      </w:r>
      <w:r>
        <w:rPr>
          <w:rFonts w:hint="eastAsia" w:ascii="仿宋_GB2312" w:hAnsi="仿宋_GB2312" w:eastAsia="仿宋_GB2312" w:cs="仿宋_GB2312"/>
          <w:sz w:val="28"/>
          <w:szCs w:val="28"/>
        </w:rPr>
        <w:t>：郑富龙</w:t>
      </w:r>
    </w:p>
    <w:p w14:paraId="155B25A3">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单位负责人：余福强</w:t>
      </w:r>
    </w:p>
    <w:p w14:paraId="31D3BE6B">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pacing w:val="36"/>
          <w:sz w:val="28"/>
          <w:szCs w:val="28"/>
        </w:rPr>
        <w:t>提交单位</w:t>
      </w:r>
      <w:r>
        <w:rPr>
          <w:rFonts w:hint="eastAsia" w:ascii="仿宋_GB2312" w:hAnsi="仿宋_GB2312" w:eastAsia="仿宋_GB2312" w:cs="仿宋_GB2312"/>
          <w:sz w:val="28"/>
          <w:szCs w:val="28"/>
        </w:rPr>
        <w:t>：福建省121地质大队</w:t>
      </w:r>
    </w:p>
    <w:p w14:paraId="3B5A94D4">
      <w:pPr>
        <w:adjustRightInd w:val="0"/>
        <w:snapToGrid w:val="0"/>
        <w:spacing w:line="300" w:lineRule="auto"/>
        <w:rPr>
          <w:rFonts w:ascii="仿宋_GB2312" w:hAnsi="仿宋_GB2312" w:eastAsia="仿宋_GB2312" w:cs="仿宋_GB2312"/>
          <w:sz w:val="28"/>
          <w:szCs w:val="28"/>
        </w:rPr>
      </w:pPr>
      <w:r>
        <w:rPr>
          <w:rFonts w:hint="eastAsia" w:ascii="仿宋_GB2312" w:hAnsi="仿宋_GB2312" w:eastAsia="仿宋_GB2312" w:cs="仿宋_GB2312"/>
          <w:spacing w:val="36"/>
          <w:sz w:val="28"/>
          <w:szCs w:val="28"/>
        </w:rPr>
        <w:t>提交时间</w:t>
      </w:r>
      <w:r>
        <w:rPr>
          <w:rFonts w:hint="eastAsia" w:ascii="仿宋_GB2312" w:hAnsi="仿宋_GB2312" w:eastAsia="仿宋_GB2312" w:cs="仿宋_GB2312"/>
          <w:sz w:val="28"/>
          <w:szCs w:val="28"/>
        </w:rPr>
        <w:t>：2024年8月</w:t>
      </w:r>
    </w:p>
    <w:p w14:paraId="6C1347D4">
      <w:pPr>
        <w:spacing w:before="0" w:beforeLines="0" w:after="0" w:afterLines="0" w:line="240" w:lineRule="auto"/>
        <w:ind w:left="0" w:leftChars="0" w:right="0" w:rightChars="0" w:firstLine="0" w:firstLineChars="0"/>
        <w:jc w:val="center"/>
        <w:rPr>
          <w:rFonts w:ascii="宋体" w:hAnsi="宋体" w:eastAsia="宋体"/>
          <w:sz w:val="44"/>
          <w:szCs w:val="44"/>
        </w:rPr>
        <w:sectPr>
          <w:pgSz w:w="11906" w:h="16838"/>
          <w:pgMar w:top="1440" w:right="1800" w:bottom="1440" w:left="1800" w:header="851" w:footer="992" w:gutter="0"/>
          <w:cols w:space="425" w:num="1"/>
          <w:docGrid w:type="lines" w:linePitch="312" w:charSpace="0"/>
        </w:sectPr>
      </w:pPr>
    </w:p>
    <w:p w14:paraId="6A21C896">
      <w:pPr>
        <w:spacing w:before="0" w:beforeLines="0" w:after="0" w:afterLines="0" w:line="240" w:lineRule="auto"/>
        <w:ind w:left="0" w:leftChars="0" w:right="0" w:rightChars="0" w:firstLine="0" w:firstLineChars="0"/>
        <w:jc w:val="center"/>
      </w:pPr>
      <w:r>
        <w:rPr>
          <w:rFonts w:ascii="宋体" w:hAnsi="宋体" w:eastAsia="宋体"/>
          <w:sz w:val="44"/>
          <w:szCs w:val="44"/>
        </w:rPr>
        <w:t>目录</w:t>
      </w:r>
    </w:p>
    <w:p w14:paraId="2330970A">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TOC \o "1-3" \h \u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_Toc7556 </w:instrText>
      </w:r>
      <w:r>
        <w:rPr>
          <w:rFonts w:hint="eastAsia" w:ascii="宋体" w:hAnsi="宋体" w:eastAsia="宋体" w:cs="宋体"/>
        </w:rPr>
        <w:fldChar w:fldCharType="separate"/>
      </w:r>
      <w:r>
        <w:rPr>
          <w:rFonts w:hint="eastAsia" w:ascii="宋体" w:hAnsi="宋体" w:eastAsia="宋体" w:cs="宋体"/>
        </w:rPr>
        <w:t>第</w:t>
      </w:r>
      <w:r>
        <w:rPr>
          <w:rFonts w:hint="eastAsia" w:ascii="宋体" w:hAnsi="宋体" w:eastAsia="宋体" w:cs="宋体"/>
          <w:lang w:val="en-US" w:eastAsia="zh-CN"/>
        </w:rPr>
        <w:t>一</w:t>
      </w:r>
      <w:r>
        <w:rPr>
          <w:rFonts w:hint="eastAsia" w:ascii="宋体" w:hAnsi="宋体" w:eastAsia="宋体" w:cs="宋体"/>
        </w:rPr>
        <w:t>章 面临形势</w:t>
      </w:r>
      <w:r>
        <w:tab/>
      </w:r>
      <w:r>
        <w:fldChar w:fldCharType="begin"/>
      </w:r>
      <w:r>
        <w:instrText xml:space="preserve"> PAGEREF _Toc7556 \h </w:instrText>
      </w:r>
      <w:r>
        <w:fldChar w:fldCharType="separate"/>
      </w:r>
      <w:r>
        <w:t>1</w:t>
      </w:r>
      <w:r>
        <w:fldChar w:fldCharType="end"/>
      </w:r>
      <w:r>
        <w:rPr>
          <w:rFonts w:hint="eastAsia" w:ascii="宋体" w:hAnsi="宋体" w:eastAsia="宋体" w:cs="宋体"/>
        </w:rPr>
        <w:fldChar w:fldCharType="end"/>
      </w:r>
    </w:p>
    <w:p w14:paraId="7F11CAED">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_Toc27454 </w:instrText>
      </w:r>
      <w:r>
        <w:rPr>
          <w:rFonts w:hint="eastAsia" w:ascii="宋体" w:hAnsi="宋体" w:eastAsia="宋体" w:cs="宋体"/>
        </w:rPr>
        <w:fldChar w:fldCharType="separate"/>
      </w:r>
      <w:r>
        <w:rPr>
          <w:rFonts w:hint="eastAsia"/>
        </w:rPr>
        <w:t>第一节 面临形势与要求</w:t>
      </w:r>
      <w:r>
        <w:tab/>
      </w:r>
      <w:r>
        <w:fldChar w:fldCharType="begin"/>
      </w:r>
      <w:r>
        <w:instrText xml:space="preserve"> PAGEREF _Toc27454 \h </w:instrText>
      </w:r>
      <w:r>
        <w:fldChar w:fldCharType="separate"/>
      </w:r>
      <w:r>
        <w:t>1</w:t>
      </w:r>
      <w:r>
        <w:fldChar w:fldCharType="end"/>
      </w:r>
      <w:r>
        <w:rPr>
          <w:rFonts w:hint="eastAsia" w:ascii="宋体" w:hAnsi="宋体" w:eastAsia="宋体" w:cs="宋体"/>
        </w:rPr>
        <w:fldChar w:fldCharType="end"/>
      </w:r>
    </w:p>
    <w:p w14:paraId="5AA08690">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_Toc10048 </w:instrText>
      </w:r>
      <w:r>
        <w:rPr>
          <w:rFonts w:hint="eastAsia" w:ascii="宋体" w:hAnsi="宋体" w:eastAsia="宋体" w:cs="宋体"/>
        </w:rPr>
        <w:fldChar w:fldCharType="separate"/>
      </w:r>
      <w:r>
        <w:rPr>
          <w:rFonts w:hint="eastAsia" w:ascii="仿宋" w:hAnsi="仿宋" w:eastAsia="仿宋" w:cs="仿宋"/>
          <w:bCs/>
          <w:szCs w:val="28"/>
          <w:lang w:val="en-US" w:eastAsia="zh-CN"/>
        </w:rPr>
        <w:t>第1条面临形势与要求</w:t>
      </w:r>
      <w:r>
        <w:tab/>
      </w:r>
      <w:r>
        <w:fldChar w:fldCharType="begin"/>
      </w:r>
      <w:r>
        <w:instrText xml:space="preserve"> PAGEREF _Toc10048 \h </w:instrText>
      </w:r>
      <w:r>
        <w:fldChar w:fldCharType="separate"/>
      </w:r>
      <w:r>
        <w:t>1</w:t>
      </w:r>
      <w:r>
        <w:fldChar w:fldCharType="end"/>
      </w:r>
      <w:r>
        <w:rPr>
          <w:rFonts w:hint="eastAsia" w:ascii="宋体" w:hAnsi="宋体" w:eastAsia="宋体" w:cs="宋体"/>
        </w:rPr>
        <w:fldChar w:fldCharType="end"/>
      </w:r>
    </w:p>
    <w:p w14:paraId="4061FC24">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_Toc22681 </w:instrText>
      </w:r>
      <w:r>
        <w:rPr>
          <w:rFonts w:hint="eastAsia" w:ascii="宋体" w:hAnsi="宋体" w:eastAsia="宋体" w:cs="宋体"/>
        </w:rPr>
        <w:fldChar w:fldCharType="separate"/>
      </w:r>
      <w:r>
        <w:rPr>
          <w:rFonts w:hint="eastAsia"/>
        </w:rPr>
        <w:t>第二节 生态修复工作成效</w:t>
      </w:r>
      <w:r>
        <w:tab/>
      </w:r>
      <w:r>
        <w:fldChar w:fldCharType="begin"/>
      </w:r>
      <w:r>
        <w:instrText xml:space="preserve"> PAGEREF _Toc22681 \h </w:instrText>
      </w:r>
      <w:r>
        <w:fldChar w:fldCharType="separate"/>
      </w:r>
      <w:r>
        <w:t>2</w:t>
      </w:r>
      <w:r>
        <w:fldChar w:fldCharType="end"/>
      </w:r>
      <w:r>
        <w:rPr>
          <w:rFonts w:hint="eastAsia" w:ascii="宋体" w:hAnsi="宋体" w:eastAsia="宋体" w:cs="宋体"/>
        </w:rPr>
        <w:fldChar w:fldCharType="end"/>
      </w:r>
    </w:p>
    <w:p w14:paraId="181ED0DD">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_Toc21922 </w:instrText>
      </w:r>
      <w:r>
        <w:rPr>
          <w:rFonts w:hint="eastAsia" w:ascii="宋体" w:hAnsi="宋体" w:eastAsia="宋体" w:cs="宋体"/>
        </w:rPr>
        <w:fldChar w:fldCharType="separate"/>
      </w:r>
      <w:r>
        <w:rPr>
          <w:rFonts w:hint="eastAsia" w:ascii="仿宋" w:hAnsi="仿宋" w:eastAsia="仿宋" w:cs="仿宋"/>
          <w:bCs/>
          <w:szCs w:val="28"/>
          <w:lang w:val="en-US" w:eastAsia="zh-CN"/>
        </w:rPr>
        <w:t>第2条矿山生态修复</w:t>
      </w:r>
      <w:r>
        <w:tab/>
      </w:r>
      <w:r>
        <w:fldChar w:fldCharType="begin"/>
      </w:r>
      <w:r>
        <w:instrText xml:space="preserve"> PAGEREF _Toc21922 \h </w:instrText>
      </w:r>
      <w:r>
        <w:fldChar w:fldCharType="separate"/>
      </w:r>
      <w:r>
        <w:t>2</w:t>
      </w:r>
      <w:r>
        <w:fldChar w:fldCharType="end"/>
      </w:r>
      <w:r>
        <w:rPr>
          <w:rFonts w:hint="eastAsia" w:ascii="宋体" w:hAnsi="宋体" w:eastAsia="宋体" w:cs="宋体"/>
        </w:rPr>
        <w:fldChar w:fldCharType="end"/>
      </w:r>
    </w:p>
    <w:p w14:paraId="252E1D49">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_Toc10170 </w:instrText>
      </w:r>
      <w:r>
        <w:rPr>
          <w:rFonts w:hint="eastAsia" w:ascii="宋体" w:hAnsi="宋体" w:eastAsia="宋体" w:cs="宋体"/>
        </w:rPr>
        <w:fldChar w:fldCharType="separate"/>
      </w:r>
      <w:r>
        <w:rPr>
          <w:rFonts w:hint="eastAsia" w:ascii="仿宋" w:hAnsi="仿宋" w:eastAsia="仿宋" w:cs="仿宋"/>
          <w:bCs/>
          <w:szCs w:val="28"/>
          <w:lang w:val="en-US" w:eastAsia="zh-CN"/>
        </w:rPr>
        <w:t>第3条流域生态修复</w:t>
      </w:r>
      <w:r>
        <w:tab/>
      </w:r>
      <w:r>
        <w:fldChar w:fldCharType="begin"/>
      </w:r>
      <w:r>
        <w:instrText xml:space="preserve"> PAGEREF _Toc10170 \h </w:instrText>
      </w:r>
      <w:r>
        <w:fldChar w:fldCharType="separate"/>
      </w:r>
      <w:r>
        <w:t>3</w:t>
      </w:r>
      <w:r>
        <w:fldChar w:fldCharType="end"/>
      </w:r>
      <w:r>
        <w:rPr>
          <w:rFonts w:hint="eastAsia" w:ascii="宋体" w:hAnsi="宋体" w:eastAsia="宋体" w:cs="宋体"/>
        </w:rPr>
        <w:fldChar w:fldCharType="end"/>
      </w:r>
    </w:p>
    <w:p w14:paraId="2B62AACC">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_Toc8329 </w:instrText>
      </w:r>
      <w:r>
        <w:rPr>
          <w:rFonts w:hint="eastAsia" w:ascii="宋体" w:hAnsi="宋体" w:eastAsia="宋体" w:cs="宋体"/>
        </w:rPr>
        <w:fldChar w:fldCharType="separate"/>
      </w:r>
      <w:r>
        <w:rPr>
          <w:rFonts w:hint="eastAsia" w:ascii="仿宋" w:hAnsi="仿宋" w:eastAsia="仿宋" w:cs="仿宋"/>
          <w:bCs/>
          <w:szCs w:val="28"/>
          <w:lang w:val="en-US" w:eastAsia="zh-CN"/>
        </w:rPr>
        <w:t>第4条森林生态修复</w:t>
      </w:r>
      <w:r>
        <w:tab/>
      </w:r>
      <w:r>
        <w:fldChar w:fldCharType="begin"/>
      </w:r>
      <w:r>
        <w:instrText xml:space="preserve"> PAGEREF _Toc8329 \h </w:instrText>
      </w:r>
      <w:r>
        <w:fldChar w:fldCharType="separate"/>
      </w:r>
      <w:r>
        <w:t>5</w:t>
      </w:r>
      <w:r>
        <w:fldChar w:fldCharType="end"/>
      </w:r>
      <w:r>
        <w:rPr>
          <w:rFonts w:hint="eastAsia" w:ascii="宋体" w:hAnsi="宋体" w:eastAsia="宋体" w:cs="宋体"/>
        </w:rPr>
        <w:fldChar w:fldCharType="end"/>
      </w:r>
    </w:p>
    <w:p w14:paraId="18EE896F">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_Toc18630 </w:instrText>
      </w:r>
      <w:r>
        <w:rPr>
          <w:rFonts w:hint="eastAsia" w:ascii="宋体" w:hAnsi="宋体" w:eastAsia="宋体" w:cs="宋体"/>
        </w:rPr>
        <w:fldChar w:fldCharType="separate"/>
      </w:r>
      <w:r>
        <w:rPr>
          <w:rFonts w:hint="eastAsia" w:ascii="仿宋" w:hAnsi="仿宋" w:eastAsia="仿宋" w:cs="仿宋"/>
          <w:bCs/>
          <w:szCs w:val="28"/>
          <w:lang w:val="en-US" w:eastAsia="zh-CN"/>
        </w:rPr>
        <w:t>第5条农田生态修复</w:t>
      </w:r>
      <w:r>
        <w:tab/>
      </w:r>
      <w:r>
        <w:fldChar w:fldCharType="begin"/>
      </w:r>
      <w:r>
        <w:instrText xml:space="preserve"> PAGEREF _Toc18630 \h </w:instrText>
      </w:r>
      <w:r>
        <w:fldChar w:fldCharType="separate"/>
      </w:r>
      <w:r>
        <w:t>6</w:t>
      </w:r>
      <w:r>
        <w:fldChar w:fldCharType="end"/>
      </w:r>
      <w:r>
        <w:rPr>
          <w:rFonts w:hint="eastAsia" w:ascii="宋体" w:hAnsi="宋体" w:eastAsia="宋体" w:cs="宋体"/>
        </w:rPr>
        <w:fldChar w:fldCharType="end"/>
      </w:r>
    </w:p>
    <w:p w14:paraId="3F66C604">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_Toc14401 </w:instrText>
      </w:r>
      <w:r>
        <w:rPr>
          <w:rFonts w:hint="eastAsia" w:ascii="宋体" w:hAnsi="宋体" w:eastAsia="宋体" w:cs="宋体"/>
        </w:rPr>
        <w:fldChar w:fldCharType="separate"/>
      </w:r>
      <w:r>
        <w:rPr>
          <w:rFonts w:hint="eastAsia" w:ascii="仿宋" w:hAnsi="仿宋" w:eastAsia="仿宋" w:cs="仿宋"/>
          <w:bCs/>
          <w:szCs w:val="28"/>
          <w:lang w:val="en-US" w:eastAsia="zh-CN"/>
        </w:rPr>
        <w:t>第6条城镇生态修复</w:t>
      </w:r>
      <w:r>
        <w:tab/>
      </w:r>
      <w:r>
        <w:fldChar w:fldCharType="begin"/>
      </w:r>
      <w:r>
        <w:instrText xml:space="preserve"> PAGEREF _Toc14401 \h </w:instrText>
      </w:r>
      <w:r>
        <w:fldChar w:fldCharType="separate"/>
      </w:r>
      <w:r>
        <w:t>9</w:t>
      </w:r>
      <w:r>
        <w:fldChar w:fldCharType="end"/>
      </w:r>
      <w:r>
        <w:rPr>
          <w:rFonts w:hint="eastAsia" w:ascii="宋体" w:hAnsi="宋体" w:eastAsia="宋体" w:cs="宋体"/>
        </w:rPr>
        <w:fldChar w:fldCharType="end"/>
      </w:r>
    </w:p>
    <w:p w14:paraId="1DC749AD">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_Toc4269 </w:instrText>
      </w:r>
      <w:r>
        <w:rPr>
          <w:rFonts w:hint="eastAsia" w:ascii="宋体" w:hAnsi="宋体" w:eastAsia="宋体" w:cs="宋体"/>
        </w:rPr>
        <w:fldChar w:fldCharType="separate"/>
      </w:r>
      <w:r>
        <w:rPr>
          <w:rFonts w:hint="eastAsia"/>
        </w:rPr>
        <w:t>第三节 机遇与挑战</w:t>
      </w:r>
      <w:r>
        <w:tab/>
      </w:r>
      <w:r>
        <w:fldChar w:fldCharType="begin"/>
      </w:r>
      <w:r>
        <w:instrText xml:space="preserve"> PAGEREF _Toc4269 \h </w:instrText>
      </w:r>
      <w:r>
        <w:fldChar w:fldCharType="separate"/>
      </w:r>
      <w:r>
        <w:t>10</w:t>
      </w:r>
      <w:r>
        <w:fldChar w:fldCharType="end"/>
      </w:r>
      <w:r>
        <w:rPr>
          <w:rFonts w:hint="eastAsia" w:ascii="宋体" w:hAnsi="宋体" w:eastAsia="宋体" w:cs="宋体"/>
        </w:rPr>
        <w:fldChar w:fldCharType="end"/>
      </w:r>
    </w:p>
    <w:p w14:paraId="40AB6761">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_Toc13442 </w:instrText>
      </w:r>
      <w:r>
        <w:rPr>
          <w:rFonts w:hint="eastAsia" w:ascii="宋体" w:hAnsi="宋体" w:eastAsia="宋体" w:cs="宋体"/>
        </w:rPr>
        <w:fldChar w:fldCharType="separate"/>
      </w:r>
      <w:r>
        <w:rPr>
          <w:rFonts w:hint="eastAsia" w:ascii="仿宋" w:hAnsi="仿宋" w:eastAsia="仿宋" w:cs="仿宋"/>
          <w:bCs/>
          <w:szCs w:val="28"/>
          <w:lang w:val="en-US" w:eastAsia="zh-CN"/>
        </w:rPr>
        <w:t>第7条面临机遇</w:t>
      </w:r>
      <w:r>
        <w:tab/>
      </w:r>
      <w:r>
        <w:fldChar w:fldCharType="begin"/>
      </w:r>
      <w:r>
        <w:instrText xml:space="preserve"> PAGEREF _Toc13442 \h </w:instrText>
      </w:r>
      <w:r>
        <w:fldChar w:fldCharType="separate"/>
      </w:r>
      <w:r>
        <w:t>10</w:t>
      </w:r>
      <w:r>
        <w:fldChar w:fldCharType="end"/>
      </w:r>
      <w:r>
        <w:rPr>
          <w:rFonts w:hint="eastAsia" w:ascii="宋体" w:hAnsi="宋体" w:eastAsia="宋体" w:cs="宋体"/>
        </w:rPr>
        <w:fldChar w:fldCharType="end"/>
      </w:r>
    </w:p>
    <w:p w14:paraId="2E1FFEB7">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_Toc7332 </w:instrText>
      </w:r>
      <w:r>
        <w:rPr>
          <w:rFonts w:hint="eastAsia" w:ascii="宋体" w:hAnsi="宋体" w:eastAsia="宋体" w:cs="宋体"/>
        </w:rPr>
        <w:fldChar w:fldCharType="separate"/>
      </w:r>
      <w:r>
        <w:rPr>
          <w:rFonts w:hint="eastAsia" w:ascii="仿宋" w:hAnsi="仿宋" w:eastAsia="仿宋" w:cs="仿宋"/>
          <w:bCs/>
          <w:szCs w:val="28"/>
          <w:lang w:val="en-US" w:eastAsia="zh-CN"/>
        </w:rPr>
        <w:t>第8条存在挑战</w:t>
      </w:r>
      <w:r>
        <w:tab/>
      </w:r>
      <w:r>
        <w:fldChar w:fldCharType="begin"/>
      </w:r>
      <w:r>
        <w:instrText xml:space="preserve"> PAGEREF _Toc7332 \h </w:instrText>
      </w:r>
      <w:r>
        <w:fldChar w:fldCharType="separate"/>
      </w:r>
      <w:r>
        <w:t>12</w:t>
      </w:r>
      <w:r>
        <w:fldChar w:fldCharType="end"/>
      </w:r>
      <w:r>
        <w:rPr>
          <w:rFonts w:hint="eastAsia" w:ascii="宋体" w:hAnsi="宋体" w:eastAsia="宋体" w:cs="宋体"/>
        </w:rPr>
        <w:fldChar w:fldCharType="end"/>
      </w:r>
    </w:p>
    <w:p w14:paraId="31171916">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_Toc6281 </w:instrText>
      </w:r>
      <w:r>
        <w:rPr>
          <w:rFonts w:hint="eastAsia" w:ascii="宋体" w:hAnsi="宋体" w:eastAsia="宋体" w:cs="宋体"/>
        </w:rPr>
        <w:fldChar w:fldCharType="separate"/>
      </w:r>
      <w:r>
        <w:rPr>
          <w:rFonts w:hint="eastAsia" w:ascii="宋体" w:hAnsi="宋体" w:eastAsia="宋体" w:cs="宋体"/>
          <w:bCs/>
          <w:kern w:val="44"/>
          <w:szCs w:val="44"/>
          <w:lang w:val="en-US" w:eastAsia="zh-CN" w:bidi="ar-SA"/>
        </w:rPr>
        <w:t>第二章 生态现状与主要问题</w:t>
      </w:r>
      <w:r>
        <w:tab/>
      </w:r>
      <w:r>
        <w:fldChar w:fldCharType="begin"/>
      </w:r>
      <w:r>
        <w:instrText xml:space="preserve"> PAGEREF _Toc6281 \h </w:instrText>
      </w:r>
      <w:r>
        <w:fldChar w:fldCharType="separate"/>
      </w:r>
      <w:r>
        <w:t>15</w:t>
      </w:r>
      <w:r>
        <w:fldChar w:fldCharType="end"/>
      </w:r>
      <w:r>
        <w:rPr>
          <w:rFonts w:hint="eastAsia" w:ascii="宋体" w:hAnsi="宋体" w:eastAsia="宋体" w:cs="宋体"/>
        </w:rPr>
        <w:fldChar w:fldCharType="end"/>
      </w:r>
    </w:p>
    <w:p w14:paraId="56341C76">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_Toc14955 </w:instrText>
      </w:r>
      <w:r>
        <w:rPr>
          <w:rFonts w:hint="eastAsia" w:ascii="宋体" w:hAnsi="宋体" w:eastAsia="宋体" w:cs="宋体"/>
        </w:rPr>
        <w:fldChar w:fldCharType="separate"/>
      </w:r>
      <w:r>
        <w:rPr>
          <w:rFonts w:hint="eastAsia" w:ascii="宋体" w:hAnsi="宋体" w:eastAsia="宋体" w:cs="宋体"/>
          <w:bCs/>
          <w:szCs w:val="28"/>
        </w:rPr>
        <w:t>第一节 基础分析</w:t>
      </w:r>
      <w:r>
        <w:tab/>
      </w:r>
      <w:r>
        <w:fldChar w:fldCharType="begin"/>
      </w:r>
      <w:r>
        <w:instrText xml:space="preserve"> PAGEREF _Toc14955 \h </w:instrText>
      </w:r>
      <w:r>
        <w:fldChar w:fldCharType="separate"/>
      </w:r>
      <w:r>
        <w:t>15</w:t>
      </w:r>
      <w:r>
        <w:fldChar w:fldCharType="end"/>
      </w:r>
      <w:r>
        <w:rPr>
          <w:rFonts w:hint="eastAsia" w:ascii="宋体" w:hAnsi="宋体" w:eastAsia="宋体" w:cs="宋体"/>
        </w:rPr>
        <w:fldChar w:fldCharType="end"/>
      </w:r>
    </w:p>
    <w:p w14:paraId="42DA37C5">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_Toc15551 </w:instrText>
      </w:r>
      <w:r>
        <w:rPr>
          <w:rFonts w:hint="eastAsia" w:ascii="宋体" w:hAnsi="宋体" w:eastAsia="宋体" w:cs="宋体"/>
        </w:rPr>
        <w:fldChar w:fldCharType="separate"/>
      </w:r>
      <w:r>
        <w:rPr>
          <w:rFonts w:hint="eastAsia" w:ascii="仿宋" w:hAnsi="仿宋" w:eastAsia="仿宋" w:cs="仿宋"/>
          <w:bCs/>
          <w:szCs w:val="28"/>
          <w:lang w:val="en-US" w:eastAsia="zh-CN"/>
        </w:rPr>
        <w:t>第9条自然地理</w:t>
      </w:r>
      <w:r>
        <w:tab/>
      </w:r>
      <w:r>
        <w:fldChar w:fldCharType="begin"/>
      </w:r>
      <w:r>
        <w:instrText xml:space="preserve"> PAGEREF _Toc15551 \h </w:instrText>
      </w:r>
      <w:r>
        <w:fldChar w:fldCharType="separate"/>
      </w:r>
      <w:r>
        <w:t>15</w:t>
      </w:r>
      <w:r>
        <w:fldChar w:fldCharType="end"/>
      </w:r>
      <w:r>
        <w:rPr>
          <w:rFonts w:hint="eastAsia" w:ascii="宋体" w:hAnsi="宋体" w:eastAsia="宋体" w:cs="宋体"/>
        </w:rPr>
        <w:fldChar w:fldCharType="end"/>
      </w:r>
    </w:p>
    <w:p w14:paraId="23C719E8">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_Toc17354 </w:instrText>
      </w:r>
      <w:r>
        <w:rPr>
          <w:rFonts w:hint="eastAsia" w:ascii="宋体" w:hAnsi="宋体" w:eastAsia="宋体" w:cs="宋体"/>
        </w:rPr>
        <w:fldChar w:fldCharType="separate"/>
      </w:r>
      <w:r>
        <w:rPr>
          <w:rFonts w:hint="eastAsia" w:ascii="仿宋" w:hAnsi="仿宋" w:eastAsia="仿宋" w:cs="仿宋"/>
          <w:bCs/>
          <w:szCs w:val="28"/>
          <w:lang w:val="en-US" w:eastAsia="zh-CN"/>
        </w:rPr>
        <w:t>第10条生态现状</w:t>
      </w:r>
      <w:r>
        <w:tab/>
      </w:r>
      <w:r>
        <w:fldChar w:fldCharType="begin"/>
      </w:r>
      <w:r>
        <w:instrText xml:space="preserve"> PAGEREF _Toc17354 \h </w:instrText>
      </w:r>
      <w:r>
        <w:fldChar w:fldCharType="separate"/>
      </w:r>
      <w:r>
        <w:t>16</w:t>
      </w:r>
      <w:r>
        <w:fldChar w:fldCharType="end"/>
      </w:r>
      <w:r>
        <w:rPr>
          <w:rFonts w:hint="eastAsia" w:ascii="宋体" w:hAnsi="宋体" w:eastAsia="宋体" w:cs="宋体"/>
        </w:rPr>
        <w:fldChar w:fldCharType="end"/>
      </w:r>
    </w:p>
    <w:p w14:paraId="268B310E">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_Toc29381 </w:instrText>
      </w:r>
      <w:r>
        <w:rPr>
          <w:rFonts w:hint="eastAsia" w:ascii="宋体" w:hAnsi="宋体" w:eastAsia="宋体" w:cs="宋体"/>
        </w:rPr>
        <w:fldChar w:fldCharType="separate"/>
      </w:r>
      <w:r>
        <w:rPr>
          <w:rFonts w:hint="eastAsia" w:ascii="宋体" w:hAnsi="宋体" w:eastAsia="宋体" w:cs="宋体"/>
          <w:bCs/>
          <w:szCs w:val="28"/>
        </w:rPr>
        <w:t>第二节 主要生态问题</w:t>
      </w:r>
      <w:r>
        <w:tab/>
      </w:r>
      <w:r>
        <w:fldChar w:fldCharType="begin"/>
      </w:r>
      <w:r>
        <w:instrText xml:space="preserve"> PAGEREF _Toc29381 \h </w:instrText>
      </w:r>
      <w:r>
        <w:fldChar w:fldCharType="separate"/>
      </w:r>
      <w:r>
        <w:t>18</w:t>
      </w:r>
      <w:r>
        <w:fldChar w:fldCharType="end"/>
      </w:r>
      <w:r>
        <w:rPr>
          <w:rFonts w:hint="eastAsia" w:ascii="宋体" w:hAnsi="宋体" w:eastAsia="宋体" w:cs="宋体"/>
        </w:rPr>
        <w:fldChar w:fldCharType="end"/>
      </w:r>
    </w:p>
    <w:p w14:paraId="3230186A">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_Toc3817 </w:instrText>
      </w:r>
      <w:r>
        <w:rPr>
          <w:rFonts w:hint="eastAsia" w:ascii="宋体" w:hAnsi="宋体" w:eastAsia="宋体" w:cs="宋体"/>
        </w:rPr>
        <w:fldChar w:fldCharType="separate"/>
      </w:r>
      <w:r>
        <w:rPr>
          <w:rFonts w:hint="eastAsia" w:ascii="仿宋" w:hAnsi="仿宋" w:eastAsia="仿宋" w:cs="仿宋"/>
          <w:bCs/>
          <w:szCs w:val="28"/>
          <w:lang w:val="en-US" w:eastAsia="zh-CN"/>
        </w:rPr>
        <w:t>第11条矿山生态问题</w:t>
      </w:r>
      <w:r>
        <w:tab/>
      </w:r>
      <w:r>
        <w:fldChar w:fldCharType="begin"/>
      </w:r>
      <w:r>
        <w:instrText xml:space="preserve"> PAGEREF _Toc3817 \h </w:instrText>
      </w:r>
      <w:r>
        <w:fldChar w:fldCharType="separate"/>
      </w:r>
      <w:r>
        <w:t>18</w:t>
      </w:r>
      <w:r>
        <w:fldChar w:fldCharType="end"/>
      </w:r>
      <w:r>
        <w:rPr>
          <w:rFonts w:hint="eastAsia" w:ascii="宋体" w:hAnsi="宋体" w:eastAsia="宋体" w:cs="宋体"/>
        </w:rPr>
        <w:fldChar w:fldCharType="end"/>
      </w:r>
    </w:p>
    <w:p w14:paraId="67B132EA">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_Toc7923 </w:instrText>
      </w:r>
      <w:r>
        <w:rPr>
          <w:rFonts w:hint="eastAsia" w:ascii="宋体" w:hAnsi="宋体" w:eastAsia="宋体" w:cs="宋体"/>
        </w:rPr>
        <w:fldChar w:fldCharType="separate"/>
      </w:r>
      <w:r>
        <w:rPr>
          <w:rFonts w:hint="eastAsia" w:ascii="仿宋" w:hAnsi="仿宋" w:eastAsia="仿宋" w:cs="仿宋"/>
          <w:bCs/>
          <w:szCs w:val="28"/>
          <w:lang w:val="en-US" w:eastAsia="zh-CN"/>
        </w:rPr>
        <w:t>第12条水流域生态问题</w:t>
      </w:r>
      <w:r>
        <w:tab/>
      </w:r>
      <w:r>
        <w:fldChar w:fldCharType="begin"/>
      </w:r>
      <w:r>
        <w:instrText xml:space="preserve"> PAGEREF _Toc7923 \h </w:instrText>
      </w:r>
      <w:r>
        <w:fldChar w:fldCharType="separate"/>
      </w:r>
      <w:r>
        <w:t>19</w:t>
      </w:r>
      <w:r>
        <w:fldChar w:fldCharType="end"/>
      </w:r>
      <w:r>
        <w:rPr>
          <w:rFonts w:hint="eastAsia" w:ascii="宋体" w:hAnsi="宋体" w:eastAsia="宋体" w:cs="宋体"/>
        </w:rPr>
        <w:fldChar w:fldCharType="end"/>
      </w:r>
    </w:p>
    <w:p w14:paraId="66E1356F">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_Toc25194 </w:instrText>
      </w:r>
      <w:r>
        <w:rPr>
          <w:rFonts w:hint="eastAsia" w:ascii="宋体" w:hAnsi="宋体" w:eastAsia="宋体" w:cs="宋体"/>
        </w:rPr>
        <w:fldChar w:fldCharType="separate"/>
      </w:r>
      <w:r>
        <w:rPr>
          <w:rFonts w:hint="eastAsia" w:ascii="仿宋" w:hAnsi="仿宋" w:eastAsia="仿宋" w:cs="仿宋"/>
          <w:bCs/>
          <w:szCs w:val="28"/>
          <w:lang w:val="en-US" w:eastAsia="zh-CN"/>
        </w:rPr>
        <w:t>第13条森林生态问题</w:t>
      </w:r>
      <w:r>
        <w:tab/>
      </w:r>
      <w:r>
        <w:fldChar w:fldCharType="begin"/>
      </w:r>
      <w:r>
        <w:instrText xml:space="preserve"> PAGEREF _Toc25194 \h </w:instrText>
      </w:r>
      <w:r>
        <w:fldChar w:fldCharType="separate"/>
      </w:r>
      <w:r>
        <w:t>20</w:t>
      </w:r>
      <w:r>
        <w:fldChar w:fldCharType="end"/>
      </w:r>
      <w:r>
        <w:rPr>
          <w:rFonts w:hint="eastAsia" w:ascii="宋体" w:hAnsi="宋体" w:eastAsia="宋体" w:cs="宋体"/>
        </w:rPr>
        <w:fldChar w:fldCharType="end"/>
      </w:r>
    </w:p>
    <w:p w14:paraId="5E6C5168">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_Toc6770 </w:instrText>
      </w:r>
      <w:r>
        <w:rPr>
          <w:rFonts w:hint="eastAsia" w:ascii="宋体" w:hAnsi="宋体" w:eastAsia="宋体" w:cs="宋体"/>
        </w:rPr>
        <w:fldChar w:fldCharType="separate"/>
      </w:r>
      <w:r>
        <w:rPr>
          <w:rFonts w:hint="eastAsia" w:ascii="仿宋" w:hAnsi="仿宋" w:eastAsia="仿宋" w:cs="仿宋"/>
          <w:bCs/>
          <w:szCs w:val="28"/>
          <w:lang w:val="en-US" w:eastAsia="zh-CN"/>
        </w:rPr>
        <w:t>第14条农田生态问题</w:t>
      </w:r>
      <w:r>
        <w:tab/>
      </w:r>
      <w:r>
        <w:fldChar w:fldCharType="begin"/>
      </w:r>
      <w:r>
        <w:instrText xml:space="preserve"> PAGEREF _Toc6770 \h </w:instrText>
      </w:r>
      <w:r>
        <w:fldChar w:fldCharType="separate"/>
      </w:r>
      <w:r>
        <w:t>21</w:t>
      </w:r>
      <w:r>
        <w:fldChar w:fldCharType="end"/>
      </w:r>
      <w:r>
        <w:rPr>
          <w:rFonts w:hint="eastAsia" w:ascii="宋体" w:hAnsi="宋体" w:eastAsia="宋体" w:cs="宋体"/>
        </w:rPr>
        <w:fldChar w:fldCharType="end"/>
      </w:r>
    </w:p>
    <w:p w14:paraId="50CE206D">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_Toc4988 </w:instrText>
      </w:r>
      <w:r>
        <w:rPr>
          <w:rFonts w:hint="eastAsia" w:ascii="宋体" w:hAnsi="宋体" w:eastAsia="宋体" w:cs="宋体"/>
        </w:rPr>
        <w:fldChar w:fldCharType="separate"/>
      </w:r>
      <w:r>
        <w:rPr>
          <w:rFonts w:hint="eastAsia" w:ascii="仿宋" w:hAnsi="仿宋" w:eastAsia="仿宋" w:cs="仿宋"/>
          <w:bCs/>
          <w:szCs w:val="28"/>
          <w:lang w:val="en-US" w:eastAsia="zh-CN"/>
        </w:rPr>
        <w:t>第15条人居环境问题</w:t>
      </w:r>
      <w:r>
        <w:tab/>
      </w:r>
      <w:r>
        <w:fldChar w:fldCharType="begin"/>
      </w:r>
      <w:r>
        <w:instrText xml:space="preserve"> PAGEREF _Toc4988 \h </w:instrText>
      </w:r>
      <w:r>
        <w:fldChar w:fldCharType="separate"/>
      </w:r>
      <w:r>
        <w:t>23</w:t>
      </w:r>
      <w:r>
        <w:fldChar w:fldCharType="end"/>
      </w:r>
      <w:r>
        <w:rPr>
          <w:rFonts w:hint="eastAsia" w:ascii="宋体" w:hAnsi="宋体" w:eastAsia="宋体" w:cs="宋体"/>
        </w:rPr>
        <w:fldChar w:fldCharType="end"/>
      </w:r>
    </w:p>
    <w:p w14:paraId="327E8944">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_Toc2986 </w:instrText>
      </w:r>
      <w:r>
        <w:rPr>
          <w:rFonts w:hint="eastAsia" w:ascii="宋体" w:hAnsi="宋体" w:eastAsia="宋体" w:cs="宋体"/>
        </w:rPr>
        <w:fldChar w:fldCharType="separate"/>
      </w:r>
      <w:r>
        <w:rPr>
          <w:rFonts w:hint="eastAsia" w:ascii="宋体" w:hAnsi="宋体" w:eastAsia="宋体" w:cs="宋体"/>
          <w:bCs/>
          <w:szCs w:val="28"/>
        </w:rPr>
        <w:t>第三节 生态系统恢复力评价</w:t>
      </w:r>
      <w:r>
        <w:tab/>
      </w:r>
      <w:r>
        <w:fldChar w:fldCharType="begin"/>
      </w:r>
      <w:r>
        <w:instrText xml:space="preserve"> PAGEREF _Toc2986 \h </w:instrText>
      </w:r>
      <w:r>
        <w:fldChar w:fldCharType="separate"/>
      </w:r>
      <w:r>
        <w:t>24</w:t>
      </w:r>
      <w:r>
        <w:fldChar w:fldCharType="end"/>
      </w:r>
      <w:r>
        <w:rPr>
          <w:rFonts w:hint="eastAsia" w:ascii="宋体" w:hAnsi="宋体" w:eastAsia="宋体" w:cs="宋体"/>
        </w:rPr>
        <w:fldChar w:fldCharType="end"/>
      </w:r>
    </w:p>
    <w:p w14:paraId="7FEDB10B">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_Toc25905 </w:instrText>
      </w:r>
      <w:r>
        <w:rPr>
          <w:rFonts w:hint="eastAsia" w:ascii="宋体" w:hAnsi="宋体" w:eastAsia="宋体" w:cs="宋体"/>
        </w:rPr>
        <w:fldChar w:fldCharType="separate"/>
      </w:r>
      <w:r>
        <w:rPr>
          <w:rFonts w:hint="eastAsia" w:ascii="仿宋" w:hAnsi="仿宋" w:eastAsia="仿宋" w:cs="仿宋"/>
          <w:bCs/>
          <w:szCs w:val="28"/>
          <w:lang w:val="en-US" w:eastAsia="zh-CN"/>
        </w:rPr>
        <w:t>第16条生态系统恢复力总体评价</w:t>
      </w:r>
      <w:r>
        <w:tab/>
      </w:r>
      <w:r>
        <w:fldChar w:fldCharType="begin"/>
      </w:r>
      <w:r>
        <w:instrText xml:space="preserve"> PAGEREF _Toc25905 \h </w:instrText>
      </w:r>
      <w:r>
        <w:fldChar w:fldCharType="separate"/>
      </w:r>
      <w:r>
        <w:t>24</w:t>
      </w:r>
      <w:r>
        <w:fldChar w:fldCharType="end"/>
      </w:r>
      <w:r>
        <w:rPr>
          <w:rFonts w:hint="eastAsia" w:ascii="宋体" w:hAnsi="宋体" w:eastAsia="宋体" w:cs="宋体"/>
        </w:rPr>
        <w:fldChar w:fldCharType="end"/>
      </w:r>
    </w:p>
    <w:p w14:paraId="5E25E702">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_Toc3734 </w:instrText>
      </w:r>
      <w:r>
        <w:rPr>
          <w:rFonts w:hint="eastAsia" w:ascii="宋体" w:hAnsi="宋体" w:eastAsia="宋体" w:cs="宋体"/>
        </w:rPr>
        <w:fldChar w:fldCharType="separate"/>
      </w:r>
      <w:r>
        <w:rPr>
          <w:rFonts w:hint="eastAsia" w:ascii="仿宋" w:hAnsi="仿宋" w:eastAsia="仿宋" w:cs="仿宋"/>
          <w:bCs/>
          <w:szCs w:val="28"/>
          <w:lang w:val="en-US" w:eastAsia="zh-CN"/>
        </w:rPr>
        <w:t>第17条矿山生态系统恢复力评价</w:t>
      </w:r>
      <w:r>
        <w:tab/>
      </w:r>
      <w:r>
        <w:fldChar w:fldCharType="begin"/>
      </w:r>
      <w:r>
        <w:instrText xml:space="preserve"> PAGEREF _Toc3734 \h </w:instrText>
      </w:r>
      <w:r>
        <w:fldChar w:fldCharType="separate"/>
      </w:r>
      <w:r>
        <w:t>26</w:t>
      </w:r>
      <w:r>
        <w:fldChar w:fldCharType="end"/>
      </w:r>
      <w:r>
        <w:rPr>
          <w:rFonts w:hint="eastAsia" w:ascii="宋体" w:hAnsi="宋体" w:eastAsia="宋体" w:cs="宋体"/>
        </w:rPr>
        <w:fldChar w:fldCharType="end"/>
      </w:r>
    </w:p>
    <w:p w14:paraId="639A7AE6">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_Toc15331 </w:instrText>
      </w:r>
      <w:r>
        <w:rPr>
          <w:rFonts w:hint="eastAsia" w:ascii="宋体" w:hAnsi="宋体" w:eastAsia="宋体" w:cs="宋体"/>
        </w:rPr>
        <w:fldChar w:fldCharType="separate"/>
      </w:r>
      <w:r>
        <w:rPr>
          <w:rFonts w:hint="eastAsia" w:ascii="仿宋" w:hAnsi="仿宋" w:eastAsia="仿宋" w:cs="仿宋"/>
          <w:bCs/>
          <w:szCs w:val="28"/>
          <w:lang w:val="en-US" w:eastAsia="zh-CN"/>
        </w:rPr>
        <w:t>第18条水环境生态系统恢复力评价</w:t>
      </w:r>
      <w:r>
        <w:tab/>
      </w:r>
      <w:r>
        <w:fldChar w:fldCharType="begin"/>
      </w:r>
      <w:r>
        <w:instrText xml:space="preserve"> PAGEREF _Toc15331 \h </w:instrText>
      </w:r>
      <w:r>
        <w:fldChar w:fldCharType="separate"/>
      </w:r>
      <w:r>
        <w:t>28</w:t>
      </w:r>
      <w:r>
        <w:fldChar w:fldCharType="end"/>
      </w:r>
      <w:r>
        <w:rPr>
          <w:rFonts w:hint="eastAsia" w:ascii="宋体" w:hAnsi="宋体" w:eastAsia="宋体" w:cs="宋体"/>
        </w:rPr>
        <w:fldChar w:fldCharType="end"/>
      </w:r>
    </w:p>
    <w:p w14:paraId="79AF098F">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_Toc5434 </w:instrText>
      </w:r>
      <w:r>
        <w:rPr>
          <w:rFonts w:hint="eastAsia" w:ascii="宋体" w:hAnsi="宋体" w:eastAsia="宋体" w:cs="宋体"/>
        </w:rPr>
        <w:fldChar w:fldCharType="separate"/>
      </w:r>
      <w:r>
        <w:rPr>
          <w:rFonts w:hint="eastAsia" w:ascii="仿宋" w:hAnsi="仿宋" w:eastAsia="仿宋" w:cs="仿宋"/>
          <w:bCs/>
          <w:szCs w:val="28"/>
          <w:lang w:val="en-US" w:eastAsia="zh-CN"/>
        </w:rPr>
        <w:t>第19条农田生态系统恢复力评价</w:t>
      </w:r>
      <w:r>
        <w:tab/>
      </w:r>
      <w:r>
        <w:fldChar w:fldCharType="begin"/>
      </w:r>
      <w:r>
        <w:instrText xml:space="preserve"> PAGEREF _Toc5434 \h </w:instrText>
      </w:r>
      <w:r>
        <w:fldChar w:fldCharType="separate"/>
      </w:r>
      <w:r>
        <w:t>30</w:t>
      </w:r>
      <w:r>
        <w:fldChar w:fldCharType="end"/>
      </w:r>
      <w:r>
        <w:rPr>
          <w:rFonts w:hint="eastAsia" w:ascii="宋体" w:hAnsi="宋体" w:eastAsia="宋体" w:cs="宋体"/>
        </w:rPr>
        <w:fldChar w:fldCharType="end"/>
      </w:r>
    </w:p>
    <w:p w14:paraId="2DAC0D54">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_Toc3183 </w:instrText>
      </w:r>
      <w:r>
        <w:rPr>
          <w:rFonts w:hint="eastAsia" w:ascii="宋体" w:hAnsi="宋体" w:eastAsia="宋体" w:cs="宋体"/>
        </w:rPr>
        <w:fldChar w:fldCharType="separate"/>
      </w:r>
      <w:r>
        <w:rPr>
          <w:rFonts w:hint="eastAsia" w:ascii="仿宋" w:hAnsi="仿宋" w:eastAsia="仿宋" w:cs="仿宋"/>
          <w:bCs/>
          <w:szCs w:val="28"/>
          <w:lang w:val="en-US" w:eastAsia="zh-CN"/>
        </w:rPr>
        <w:t>第20条森林生态系统恢复力评价</w:t>
      </w:r>
      <w:r>
        <w:tab/>
      </w:r>
      <w:r>
        <w:fldChar w:fldCharType="begin"/>
      </w:r>
      <w:r>
        <w:instrText xml:space="preserve"> PAGEREF _Toc3183 \h </w:instrText>
      </w:r>
      <w:r>
        <w:fldChar w:fldCharType="separate"/>
      </w:r>
      <w:r>
        <w:t>31</w:t>
      </w:r>
      <w:r>
        <w:fldChar w:fldCharType="end"/>
      </w:r>
      <w:r>
        <w:rPr>
          <w:rFonts w:hint="eastAsia" w:ascii="宋体" w:hAnsi="宋体" w:eastAsia="宋体" w:cs="宋体"/>
        </w:rPr>
        <w:fldChar w:fldCharType="end"/>
      </w:r>
    </w:p>
    <w:p w14:paraId="4F880355">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_Toc26708 </w:instrText>
      </w:r>
      <w:r>
        <w:rPr>
          <w:rFonts w:hint="eastAsia" w:ascii="宋体" w:hAnsi="宋体" w:eastAsia="宋体" w:cs="宋体"/>
        </w:rPr>
        <w:fldChar w:fldCharType="separate"/>
      </w:r>
      <w:sdt>
        <w:sdtPr>
          <w:rPr>
            <w:rFonts w:hint="eastAsia" w:ascii="宋体" w:hAnsi="宋体" w:eastAsia="宋体" w:cs="宋体"/>
            <w:bCs/>
            <w:kern w:val="44"/>
            <w:szCs w:val="44"/>
          </w:rPr>
          <w:id w:val="147479654"/>
        </w:sdtPr>
        <w:sdtEndPr>
          <w:rPr>
            <w:rFonts w:hint="eastAsia" w:ascii="宋体" w:hAnsi="宋体" w:eastAsia="宋体" w:cs="宋体"/>
            <w:bCs/>
            <w:kern w:val="44"/>
            <w:szCs w:val="44"/>
          </w:rPr>
        </w:sdtEndPr>
        <w:sdtContent>
          <w:r>
            <w:rPr>
              <w:rFonts w:hint="eastAsia" w:ascii="宋体" w:hAnsi="宋体" w:eastAsia="宋体" w:cs="宋体"/>
              <w:bCs/>
              <w:kern w:val="44"/>
              <w:szCs w:val="44"/>
            </w:rPr>
            <w:t>第</w:t>
          </w:r>
          <w:r>
            <w:rPr>
              <w:rFonts w:hint="eastAsia" w:ascii="宋体" w:hAnsi="宋体" w:eastAsia="宋体" w:cs="宋体"/>
              <w:bCs/>
              <w:kern w:val="44"/>
              <w:szCs w:val="44"/>
              <w:lang w:val="en-US" w:eastAsia="zh-CN"/>
            </w:rPr>
            <w:t>三</w:t>
          </w:r>
          <w:r>
            <w:rPr>
              <w:rFonts w:hint="eastAsia" w:ascii="宋体" w:hAnsi="宋体" w:eastAsia="宋体" w:cs="宋体"/>
              <w:bCs/>
              <w:kern w:val="44"/>
              <w:szCs w:val="44"/>
            </w:rPr>
            <w:t>章 总体要求与规划目标</w:t>
          </w:r>
        </w:sdtContent>
      </w:sdt>
      <w:r>
        <w:tab/>
      </w:r>
      <w:r>
        <w:fldChar w:fldCharType="begin"/>
      </w:r>
      <w:r>
        <w:instrText xml:space="preserve"> PAGEREF _Toc26708 \h </w:instrText>
      </w:r>
      <w:r>
        <w:fldChar w:fldCharType="separate"/>
      </w:r>
      <w:r>
        <w:t>33</w:t>
      </w:r>
      <w:r>
        <w:fldChar w:fldCharType="end"/>
      </w:r>
      <w:r>
        <w:rPr>
          <w:rFonts w:hint="eastAsia" w:ascii="宋体" w:hAnsi="宋体" w:eastAsia="宋体" w:cs="宋体"/>
        </w:rPr>
        <w:fldChar w:fldCharType="end"/>
      </w:r>
    </w:p>
    <w:p w14:paraId="7390EB1D">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_Toc28296 </w:instrText>
      </w:r>
      <w:r>
        <w:rPr>
          <w:rFonts w:hint="eastAsia" w:ascii="宋体" w:hAnsi="宋体" w:eastAsia="宋体" w:cs="宋体"/>
        </w:rPr>
        <w:fldChar w:fldCharType="separate"/>
      </w:r>
      <w:r>
        <w:rPr>
          <w:rFonts w:hint="eastAsia" w:ascii="宋体" w:hAnsi="宋体" w:eastAsia="宋体" w:cs="宋体"/>
          <w:kern w:val="2"/>
          <w:szCs w:val="28"/>
          <w:lang w:val="en-US" w:eastAsia="zh-CN" w:bidi="ar-SA"/>
        </w:rPr>
        <w:t>第一节 指导思想</w:t>
      </w:r>
      <w:r>
        <w:tab/>
      </w:r>
      <w:r>
        <w:fldChar w:fldCharType="begin"/>
      </w:r>
      <w:r>
        <w:instrText xml:space="preserve"> PAGEREF _Toc28296 \h </w:instrText>
      </w:r>
      <w:r>
        <w:fldChar w:fldCharType="separate"/>
      </w:r>
      <w:r>
        <w:t>33</w:t>
      </w:r>
      <w:r>
        <w:fldChar w:fldCharType="end"/>
      </w:r>
      <w:r>
        <w:rPr>
          <w:rFonts w:hint="eastAsia" w:ascii="宋体" w:hAnsi="宋体" w:eastAsia="宋体" w:cs="宋体"/>
        </w:rPr>
        <w:fldChar w:fldCharType="end"/>
      </w:r>
    </w:p>
    <w:p w14:paraId="51A0BF20">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_Toc13046 </w:instrText>
      </w:r>
      <w:r>
        <w:rPr>
          <w:rFonts w:hint="eastAsia" w:ascii="宋体" w:hAnsi="宋体" w:eastAsia="宋体" w:cs="宋体"/>
        </w:rPr>
        <w:fldChar w:fldCharType="separate"/>
      </w:r>
      <w:r>
        <w:rPr>
          <w:rFonts w:hint="eastAsia" w:ascii="仿宋" w:hAnsi="仿宋" w:eastAsia="仿宋" w:cs="仿宋"/>
          <w:bCs/>
          <w:szCs w:val="28"/>
          <w:lang w:val="en-US" w:eastAsia="zh-CN"/>
        </w:rPr>
        <w:t>第21条指导思想</w:t>
      </w:r>
      <w:r>
        <w:tab/>
      </w:r>
      <w:r>
        <w:fldChar w:fldCharType="begin"/>
      </w:r>
      <w:r>
        <w:instrText xml:space="preserve"> PAGEREF _Toc13046 \h </w:instrText>
      </w:r>
      <w:r>
        <w:fldChar w:fldCharType="separate"/>
      </w:r>
      <w:r>
        <w:t>33</w:t>
      </w:r>
      <w:r>
        <w:fldChar w:fldCharType="end"/>
      </w:r>
      <w:r>
        <w:rPr>
          <w:rFonts w:hint="eastAsia" w:ascii="宋体" w:hAnsi="宋体" w:eastAsia="宋体" w:cs="宋体"/>
        </w:rPr>
        <w:fldChar w:fldCharType="end"/>
      </w:r>
    </w:p>
    <w:p w14:paraId="79D2E33D">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_Toc12920 </w:instrText>
      </w:r>
      <w:r>
        <w:rPr>
          <w:rFonts w:hint="eastAsia" w:ascii="宋体" w:hAnsi="宋体" w:eastAsia="宋体" w:cs="宋体"/>
        </w:rPr>
        <w:fldChar w:fldCharType="separate"/>
      </w:r>
      <w:r>
        <w:rPr>
          <w:rFonts w:hint="eastAsia" w:ascii="仿宋" w:hAnsi="仿宋" w:eastAsia="仿宋" w:cs="仿宋"/>
          <w:bCs/>
          <w:szCs w:val="28"/>
          <w:lang w:val="en-US" w:eastAsia="zh-CN"/>
        </w:rPr>
        <w:t>第22条基本原则</w:t>
      </w:r>
      <w:r>
        <w:tab/>
      </w:r>
      <w:r>
        <w:fldChar w:fldCharType="begin"/>
      </w:r>
      <w:r>
        <w:instrText xml:space="preserve"> PAGEREF _Toc12920 \h </w:instrText>
      </w:r>
      <w:r>
        <w:fldChar w:fldCharType="separate"/>
      </w:r>
      <w:r>
        <w:t>35</w:t>
      </w:r>
      <w:r>
        <w:fldChar w:fldCharType="end"/>
      </w:r>
      <w:r>
        <w:rPr>
          <w:rFonts w:hint="eastAsia" w:ascii="宋体" w:hAnsi="宋体" w:eastAsia="宋体" w:cs="宋体"/>
        </w:rPr>
        <w:fldChar w:fldCharType="end"/>
      </w:r>
    </w:p>
    <w:p w14:paraId="3A2B10A7">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_Toc6076 </w:instrText>
      </w:r>
      <w:r>
        <w:rPr>
          <w:rFonts w:hint="eastAsia" w:ascii="宋体" w:hAnsi="宋体" w:eastAsia="宋体" w:cs="宋体"/>
        </w:rPr>
        <w:fldChar w:fldCharType="separate"/>
      </w:r>
      <w:r>
        <w:rPr>
          <w:rFonts w:hint="eastAsia" w:ascii="宋体" w:hAnsi="宋体" w:eastAsia="宋体" w:cs="宋体"/>
          <w:kern w:val="2"/>
          <w:szCs w:val="24"/>
          <w:lang w:val="en-US" w:eastAsia="zh-CN" w:bidi="ar-SA"/>
        </w:rPr>
        <w:t>第二节 规划目标</w:t>
      </w:r>
      <w:r>
        <w:tab/>
      </w:r>
      <w:r>
        <w:fldChar w:fldCharType="begin"/>
      </w:r>
      <w:r>
        <w:instrText xml:space="preserve"> PAGEREF _Toc6076 \h </w:instrText>
      </w:r>
      <w:r>
        <w:fldChar w:fldCharType="separate"/>
      </w:r>
      <w:r>
        <w:t>36</w:t>
      </w:r>
      <w:r>
        <w:fldChar w:fldCharType="end"/>
      </w:r>
      <w:r>
        <w:rPr>
          <w:rFonts w:hint="eastAsia" w:ascii="宋体" w:hAnsi="宋体" w:eastAsia="宋体" w:cs="宋体"/>
        </w:rPr>
        <w:fldChar w:fldCharType="end"/>
      </w:r>
    </w:p>
    <w:p w14:paraId="3B0DADB4">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_Toc7683 </w:instrText>
      </w:r>
      <w:r>
        <w:rPr>
          <w:rFonts w:hint="eastAsia" w:ascii="宋体" w:hAnsi="宋体" w:eastAsia="宋体" w:cs="宋体"/>
        </w:rPr>
        <w:fldChar w:fldCharType="separate"/>
      </w:r>
      <w:r>
        <w:rPr>
          <w:rFonts w:hint="eastAsia" w:ascii="仿宋" w:hAnsi="仿宋" w:eastAsia="仿宋" w:cs="仿宋"/>
          <w:bCs/>
          <w:szCs w:val="28"/>
          <w:lang w:val="en-US" w:eastAsia="zh-CN"/>
        </w:rPr>
        <w:t>第23条规划目标</w:t>
      </w:r>
      <w:r>
        <w:tab/>
      </w:r>
      <w:r>
        <w:fldChar w:fldCharType="begin"/>
      </w:r>
      <w:r>
        <w:instrText xml:space="preserve"> PAGEREF _Toc7683 \h </w:instrText>
      </w:r>
      <w:r>
        <w:fldChar w:fldCharType="separate"/>
      </w:r>
      <w:r>
        <w:t>37</w:t>
      </w:r>
      <w:r>
        <w:fldChar w:fldCharType="end"/>
      </w:r>
      <w:r>
        <w:rPr>
          <w:rFonts w:hint="eastAsia" w:ascii="宋体" w:hAnsi="宋体" w:eastAsia="宋体" w:cs="宋体"/>
        </w:rPr>
        <w:fldChar w:fldCharType="end"/>
      </w:r>
    </w:p>
    <w:p w14:paraId="6E09032C">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_Toc1190 </w:instrText>
      </w:r>
      <w:r>
        <w:rPr>
          <w:rFonts w:hint="eastAsia" w:ascii="宋体" w:hAnsi="宋体" w:eastAsia="宋体" w:cs="宋体"/>
        </w:rPr>
        <w:fldChar w:fldCharType="separate"/>
      </w:r>
      <w:r>
        <w:rPr>
          <w:rFonts w:hint="eastAsia" w:ascii="宋体" w:hAnsi="宋体" w:eastAsia="宋体" w:cs="宋体"/>
          <w:kern w:val="2"/>
          <w:szCs w:val="28"/>
          <w:lang w:val="en-US" w:eastAsia="zh-CN" w:bidi="ar-SA"/>
        </w:rPr>
        <w:t>第三节 规划指标体系</w:t>
      </w:r>
      <w:r>
        <w:tab/>
      </w:r>
      <w:r>
        <w:fldChar w:fldCharType="begin"/>
      </w:r>
      <w:r>
        <w:instrText xml:space="preserve"> PAGEREF _Toc1190 \h </w:instrText>
      </w:r>
      <w:r>
        <w:fldChar w:fldCharType="separate"/>
      </w:r>
      <w:r>
        <w:t>38</w:t>
      </w:r>
      <w:r>
        <w:fldChar w:fldCharType="end"/>
      </w:r>
      <w:r>
        <w:rPr>
          <w:rFonts w:hint="eastAsia" w:ascii="宋体" w:hAnsi="宋体" w:eastAsia="宋体" w:cs="宋体"/>
        </w:rPr>
        <w:fldChar w:fldCharType="end"/>
      </w:r>
    </w:p>
    <w:p w14:paraId="7879FB21">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_Toc20810 </w:instrText>
      </w:r>
      <w:r>
        <w:rPr>
          <w:rFonts w:hint="eastAsia" w:ascii="宋体" w:hAnsi="宋体" w:eastAsia="宋体" w:cs="宋体"/>
        </w:rPr>
        <w:fldChar w:fldCharType="separate"/>
      </w:r>
      <w:r>
        <w:rPr>
          <w:rFonts w:hint="eastAsia" w:ascii="仿宋" w:hAnsi="仿宋" w:eastAsia="仿宋" w:cs="仿宋"/>
          <w:bCs/>
          <w:szCs w:val="28"/>
          <w:lang w:val="en-US" w:eastAsia="zh-CN"/>
        </w:rPr>
        <w:t>第24条规划指标</w:t>
      </w:r>
      <w:r>
        <w:tab/>
      </w:r>
      <w:r>
        <w:fldChar w:fldCharType="begin"/>
      </w:r>
      <w:r>
        <w:instrText xml:space="preserve"> PAGEREF _Toc20810 \h </w:instrText>
      </w:r>
      <w:r>
        <w:fldChar w:fldCharType="separate"/>
      </w:r>
      <w:r>
        <w:t>38</w:t>
      </w:r>
      <w:r>
        <w:fldChar w:fldCharType="end"/>
      </w:r>
      <w:r>
        <w:rPr>
          <w:rFonts w:hint="eastAsia" w:ascii="宋体" w:hAnsi="宋体" w:eastAsia="宋体" w:cs="宋体"/>
        </w:rPr>
        <w:fldChar w:fldCharType="end"/>
      </w:r>
    </w:p>
    <w:p w14:paraId="5AD9E2F2">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_Toc25320 </w:instrText>
      </w:r>
      <w:r>
        <w:rPr>
          <w:rFonts w:hint="eastAsia" w:ascii="宋体" w:hAnsi="宋体" w:eastAsia="宋体" w:cs="宋体"/>
        </w:rPr>
        <w:fldChar w:fldCharType="separate"/>
      </w:r>
      <w:r>
        <w:rPr>
          <w:rFonts w:hint="eastAsia" w:ascii="宋体" w:hAnsi="宋体" w:eastAsia="宋体" w:cs="宋体"/>
        </w:rPr>
        <w:t>第</w:t>
      </w:r>
      <w:r>
        <w:rPr>
          <w:rFonts w:hint="eastAsia" w:ascii="宋体" w:hAnsi="宋体" w:eastAsia="宋体" w:cs="宋体"/>
          <w:lang w:val="en-US" w:eastAsia="zh-CN"/>
        </w:rPr>
        <w:t>四</w:t>
      </w:r>
      <w:r>
        <w:rPr>
          <w:rFonts w:hint="eastAsia" w:ascii="宋体" w:hAnsi="宋体" w:eastAsia="宋体" w:cs="宋体"/>
        </w:rPr>
        <w:t>章 国土空间生态修复格局</w:t>
      </w:r>
      <w:r>
        <w:tab/>
      </w:r>
      <w:r>
        <w:fldChar w:fldCharType="begin"/>
      </w:r>
      <w:r>
        <w:instrText xml:space="preserve"> PAGEREF _Toc25320 \h </w:instrText>
      </w:r>
      <w:r>
        <w:fldChar w:fldCharType="separate"/>
      </w:r>
      <w:r>
        <w:t>40</w:t>
      </w:r>
      <w:r>
        <w:fldChar w:fldCharType="end"/>
      </w:r>
      <w:r>
        <w:rPr>
          <w:rFonts w:hint="eastAsia" w:ascii="宋体" w:hAnsi="宋体" w:eastAsia="宋体" w:cs="宋体"/>
        </w:rPr>
        <w:fldChar w:fldCharType="end"/>
      </w:r>
    </w:p>
    <w:p w14:paraId="50671884">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_Toc7136 </w:instrText>
      </w:r>
      <w:r>
        <w:rPr>
          <w:rFonts w:hint="eastAsia" w:ascii="宋体" w:hAnsi="宋体" w:eastAsia="宋体" w:cs="宋体"/>
        </w:rPr>
        <w:fldChar w:fldCharType="separate"/>
      </w:r>
      <w:r>
        <w:rPr>
          <w:rFonts w:hint="eastAsia"/>
        </w:rPr>
        <w:t>第一节 总体格局</w:t>
      </w:r>
      <w:r>
        <w:tab/>
      </w:r>
      <w:r>
        <w:fldChar w:fldCharType="begin"/>
      </w:r>
      <w:r>
        <w:instrText xml:space="preserve"> PAGEREF _Toc7136 \h </w:instrText>
      </w:r>
      <w:r>
        <w:fldChar w:fldCharType="separate"/>
      </w:r>
      <w:r>
        <w:t>40</w:t>
      </w:r>
      <w:r>
        <w:fldChar w:fldCharType="end"/>
      </w:r>
      <w:r>
        <w:rPr>
          <w:rFonts w:hint="eastAsia" w:ascii="宋体" w:hAnsi="宋体" w:eastAsia="宋体" w:cs="宋体"/>
        </w:rPr>
        <w:fldChar w:fldCharType="end"/>
      </w:r>
    </w:p>
    <w:p w14:paraId="16186104">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_Toc27188 </w:instrText>
      </w:r>
      <w:r>
        <w:rPr>
          <w:rFonts w:hint="eastAsia" w:ascii="宋体" w:hAnsi="宋体" w:eastAsia="宋体" w:cs="宋体"/>
        </w:rPr>
        <w:fldChar w:fldCharType="separate"/>
      </w:r>
      <w:r>
        <w:rPr>
          <w:rFonts w:hint="eastAsia" w:ascii="仿宋" w:hAnsi="仿宋" w:eastAsia="仿宋" w:cs="仿宋"/>
          <w:bCs/>
          <w:szCs w:val="28"/>
          <w:lang w:val="en-US" w:eastAsia="zh-CN"/>
        </w:rPr>
        <w:t>第25条总体格局</w:t>
      </w:r>
      <w:r>
        <w:tab/>
      </w:r>
      <w:r>
        <w:fldChar w:fldCharType="begin"/>
      </w:r>
      <w:r>
        <w:instrText xml:space="preserve"> PAGEREF _Toc27188 \h </w:instrText>
      </w:r>
      <w:r>
        <w:fldChar w:fldCharType="separate"/>
      </w:r>
      <w:r>
        <w:t>40</w:t>
      </w:r>
      <w:r>
        <w:fldChar w:fldCharType="end"/>
      </w:r>
      <w:r>
        <w:rPr>
          <w:rFonts w:hint="eastAsia" w:ascii="宋体" w:hAnsi="宋体" w:eastAsia="宋体" w:cs="宋体"/>
        </w:rPr>
        <w:fldChar w:fldCharType="end"/>
      </w:r>
    </w:p>
    <w:p w14:paraId="0F04A371">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_Toc2928 </w:instrText>
      </w:r>
      <w:r>
        <w:rPr>
          <w:rFonts w:hint="eastAsia" w:ascii="宋体" w:hAnsi="宋体" w:eastAsia="宋体" w:cs="宋体"/>
        </w:rPr>
        <w:fldChar w:fldCharType="separate"/>
      </w:r>
      <w:r>
        <w:rPr>
          <w:rFonts w:hint="eastAsia"/>
        </w:rPr>
        <w:t>第二节 国土空间生态保护与修复分区</w:t>
      </w:r>
      <w:r>
        <w:tab/>
      </w:r>
      <w:r>
        <w:fldChar w:fldCharType="begin"/>
      </w:r>
      <w:r>
        <w:instrText xml:space="preserve"> PAGEREF _Toc2928 \h </w:instrText>
      </w:r>
      <w:r>
        <w:fldChar w:fldCharType="separate"/>
      </w:r>
      <w:r>
        <w:t>41</w:t>
      </w:r>
      <w:r>
        <w:fldChar w:fldCharType="end"/>
      </w:r>
      <w:r>
        <w:rPr>
          <w:rFonts w:hint="eastAsia" w:ascii="宋体" w:hAnsi="宋体" w:eastAsia="宋体" w:cs="宋体"/>
        </w:rPr>
        <w:fldChar w:fldCharType="end"/>
      </w:r>
    </w:p>
    <w:p w14:paraId="39005BA3">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_Toc23364 </w:instrText>
      </w:r>
      <w:r>
        <w:rPr>
          <w:rFonts w:hint="eastAsia" w:ascii="宋体" w:hAnsi="宋体" w:eastAsia="宋体" w:cs="宋体"/>
        </w:rPr>
        <w:fldChar w:fldCharType="separate"/>
      </w:r>
      <w:r>
        <w:rPr>
          <w:rFonts w:hint="eastAsia" w:ascii="仿宋" w:hAnsi="仿宋" w:eastAsia="仿宋" w:cs="仿宋"/>
          <w:bCs/>
          <w:szCs w:val="28"/>
          <w:lang w:val="en-US" w:eastAsia="zh-CN"/>
        </w:rPr>
        <w:t>第26条生态保护与修复分区</w:t>
      </w:r>
      <w:r>
        <w:tab/>
      </w:r>
      <w:r>
        <w:fldChar w:fldCharType="begin"/>
      </w:r>
      <w:r>
        <w:instrText xml:space="preserve"> PAGEREF _Toc23364 \h </w:instrText>
      </w:r>
      <w:r>
        <w:fldChar w:fldCharType="separate"/>
      </w:r>
      <w:r>
        <w:t>41</w:t>
      </w:r>
      <w:r>
        <w:fldChar w:fldCharType="end"/>
      </w:r>
      <w:r>
        <w:rPr>
          <w:rFonts w:hint="eastAsia" w:ascii="宋体" w:hAnsi="宋体" w:eastAsia="宋体" w:cs="宋体"/>
        </w:rPr>
        <w:fldChar w:fldCharType="end"/>
      </w:r>
    </w:p>
    <w:p w14:paraId="6F51C5F1">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_Toc2210 </w:instrText>
      </w:r>
      <w:r>
        <w:rPr>
          <w:rFonts w:hint="eastAsia" w:ascii="宋体" w:hAnsi="宋体" w:eastAsia="宋体" w:cs="宋体"/>
        </w:rPr>
        <w:fldChar w:fldCharType="separate"/>
      </w:r>
      <w:r>
        <w:rPr>
          <w:rFonts w:hint="eastAsia"/>
        </w:rPr>
        <w:t>第三节 生态修复重点区域</w:t>
      </w:r>
      <w:r>
        <w:tab/>
      </w:r>
      <w:r>
        <w:fldChar w:fldCharType="begin"/>
      </w:r>
      <w:r>
        <w:instrText xml:space="preserve"> PAGEREF _Toc2210 \h </w:instrText>
      </w:r>
      <w:r>
        <w:fldChar w:fldCharType="separate"/>
      </w:r>
      <w:r>
        <w:t>44</w:t>
      </w:r>
      <w:r>
        <w:fldChar w:fldCharType="end"/>
      </w:r>
      <w:r>
        <w:rPr>
          <w:rFonts w:hint="eastAsia" w:ascii="宋体" w:hAnsi="宋体" w:eastAsia="宋体" w:cs="宋体"/>
        </w:rPr>
        <w:fldChar w:fldCharType="end"/>
      </w:r>
    </w:p>
    <w:p w14:paraId="0731F511">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_Toc17320 </w:instrText>
      </w:r>
      <w:r>
        <w:rPr>
          <w:rFonts w:hint="eastAsia" w:ascii="宋体" w:hAnsi="宋体" w:eastAsia="宋体" w:cs="宋体"/>
        </w:rPr>
        <w:fldChar w:fldCharType="separate"/>
      </w:r>
      <w:r>
        <w:rPr>
          <w:rFonts w:hint="eastAsia" w:ascii="仿宋" w:hAnsi="仿宋" w:eastAsia="仿宋" w:cs="仿宋"/>
          <w:bCs/>
          <w:szCs w:val="28"/>
          <w:lang w:val="en-US" w:eastAsia="zh-CN"/>
        </w:rPr>
        <w:t>第27条</w:t>
      </w:r>
      <w:r>
        <w:rPr>
          <w:rFonts w:hint="default" w:ascii="仿宋" w:hAnsi="仿宋" w:eastAsia="仿宋" w:cs="仿宋"/>
          <w:bCs/>
          <w:szCs w:val="28"/>
          <w:lang w:val="en-US" w:eastAsia="zh-CN"/>
        </w:rPr>
        <w:t>生态修复重点区域规划</w:t>
      </w:r>
      <w:r>
        <w:tab/>
      </w:r>
      <w:r>
        <w:fldChar w:fldCharType="begin"/>
      </w:r>
      <w:r>
        <w:instrText xml:space="preserve"> PAGEREF _Toc17320 \h </w:instrText>
      </w:r>
      <w:r>
        <w:fldChar w:fldCharType="separate"/>
      </w:r>
      <w:r>
        <w:t>44</w:t>
      </w:r>
      <w:r>
        <w:fldChar w:fldCharType="end"/>
      </w:r>
      <w:r>
        <w:rPr>
          <w:rFonts w:hint="eastAsia" w:ascii="宋体" w:hAnsi="宋体" w:eastAsia="宋体" w:cs="宋体"/>
        </w:rPr>
        <w:fldChar w:fldCharType="end"/>
      </w:r>
    </w:p>
    <w:p w14:paraId="25399CD2">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_Toc15398 </w:instrText>
      </w:r>
      <w:r>
        <w:rPr>
          <w:rFonts w:hint="eastAsia" w:ascii="宋体" w:hAnsi="宋体" w:eastAsia="宋体" w:cs="宋体"/>
        </w:rPr>
        <w:fldChar w:fldCharType="separate"/>
      </w:r>
      <w:r>
        <w:rPr>
          <w:rFonts w:hint="eastAsia" w:ascii="仿宋" w:hAnsi="仿宋" w:eastAsia="仿宋" w:cs="仿宋"/>
          <w:bCs/>
          <w:szCs w:val="28"/>
          <w:lang w:val="en-US" w:eastAsia="zh-CN"/>
        </w:rPr>
        <w:t>第28条历史遗留矿山生态修复重点区</w:t>
      </w:r>
      <w:r>
        <w:tab/>
      </w:r>
      <w:r>
        <w:fldChar w:fldCharType="begin"/>
      </w:r>
      <w:r>
        <w:instrText xml:space="preserve"> PAGEREF _Toc15398 \h </w:instrText>
      </w:r>
      <w:r>
        <w:fldChar w:fldCharType="separate"/>
      </w:r>
      <w:r>
        <w:t>46</w:t>
      </w:r>
      <w:r>
        <w:fldChar w:fldCharType="end"/>
      </w:r>
      <w:r>
        <w:rPr>
          <w:rFonts w:hint="eastAsia" w:ascii="宋体" w:hAnsi="宋体" w:eastAsia="宋体" w:cs="宋体"/>
        </w:rPr>
        <w:fldChar w:fldCharType="end"/>
      </w:r>
    </w:p>
    <w:p w14:paraId="59B622ED">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_Toc15661 </w:instrText>
      </w:r>
      <w:r>
        <w:rPr>
          <w:rFonts w:hint="eastAsia" w:ascii="宋体" w:hAnsi="宋体" w:eastAsia="宋体" w:cs="宋体"/>
        </w:rPr>
        <w:fldChar w:fldCharType="separate"/>
      </w:r>
      <w:r>
        <w:rPr>
          <w:rFonts w:hint="eastAsia" w:ascii="仿宋" w:hAnsi="仿宋" w:eastAsia="仿宋" w:cs="仿宋"/>
          <w:bCs/>
          <w:szCs w:val="28"/>
          <w:lang w:val="en-US" w:eastAsia="zh-CN"/>
        </w:rPr>
        <w:t>第29条流域水生态修复重点区</w:t>
      </w:r>
      <w:r>
        <w:tab/>
      </w:r>
      <w:r>
        <w:fldChar w:fldCharType="begin"/>
      </w:r>
      <w:r>
        <w:instrText xml:space="preserve"> PAGEREF _Toc15661 \h </w:instrText>
      </w:r>
      <w:r>
        <w:fldChar w:fldCharType="separate"/>
      </w:r>
      <w:r>
        <w:t>48</w:t>
      </w:r>
      <w:r>
        <w:fldChar w:fldCharType="end"/>
      </w:r>
      <w:r>
        <w:rPr>
          <w:rFonts w:hint="eastAsia" w:ascii="宋体" w:hAnsi="宋体" w:eastAsia="宋体" w:cs="宋体"/>
        </w:rPr>
        <w:fldChar w:fldCharType="end"/>
      </w:r>
    </w:p>
    <w:p w14:paraId="6730BA50">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_Toc1287 </w:instrText>
      </w:r>
      <w:r>
        <w:rPr>
          <w:rFonts w:hint="eastAsia" w:ascii="宋体" w:hAnsi="宋体" w:eastAsia="宋体" w:cs="宋体"/>
        </w:rPr>
        <w:fldChar w:fldCharType="separate"/>
      </w:r>
      <w:r>
        <w:rPr>
          <w:rFonts w:hint="eastAsia" w:ascii="仿宋" w:hAnsi="仿宋" w:eastAsia="仿宋" w:cs="仿宋"/>
          <w:bCs/>
          <w:szCs w:val="28"/>
          <w:lang w:val="en-US" w:eastAsia="zh-CN"/>
        </w:rPr>
        <w:t>第30条森林生态系统保育保护与生态修复重点区</w:t>
      </w:r>
      <w:r>
        <w:tab/>
      </w:r>
      <w:r>
        <w:fldChar w:fldCharType="begin"/>
      </w:r>
      <w:r>
        <w:instrText xml:space="preserve"> PAGEREF _Toc1287 \h </w:instrText>
      </w:r>
      <w:r>
        <w:fldChar w:fldCharType="separate"/>
      </w:r>
      <w:r>
        <w:t>49</w:t>
      </w:r>
      <w:r>
        <w:fldChar w:fldCharType="end"/>
      </w:r>
      <w:r>
        <w:rPr>
          <w:rFonts w:hint="eastAsia" w:ascii="宋体" w:hAnsi="宋体" w:eastAsia="宋体" w:cs="宋体"/>
        </w:rPr>
        <w:fldChar w:fldCharType="end"/>
      </w:r>
    </w:p>
    <w:p w14:paraId="7B686E3E">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_Toc27990 </w:instrText>
      </w:r>
      <w:r>
        <w:rPr>
          <w:rFonts w:hint="eastAsia" w:ascii="宋体" w:hAnsi="宋体" w:eastAsia="宋体" w:cs="宋体"/>
        </w:rPr>
        <w:fldChar w:fldCharType="separate"/>
      </w:r>
      <w:r>
        <w:rPr>
          <w:rFonts w:hint="eastAsia" w:ascii="仿宋" w:hAnsi="仿宋" w:eastAsia="仿宋" w:cs="仿宋"/>
          <w:bCs/>
          <w:szCs w:val="28"/>
          <w:lang w:val="en-US" w:eastAsia="zh-CN"/>
        </w:rPr>
        <w:t>第31条水土保持功能维护与水土流失治理生态修复重点区</w:t>
      </w:r>
      <w:r>
        <w:tab/>
      </w:r>
      <w:r>
        <w:fldChar w:fldCharType="begin"/>
      </w:r>
      <w:r>
        <w:instrText xml:space="preserve"> PAGEREF _Toc27990 \h </w:instrText>
      </w:r>
      <w:r>
        <w:fldChar w:fldCharType="separate"/>
      </w:r>
      <w:r>
        <w:t>50</w:t>
      </w:r>
      <w:r>
        <w:fldChar w:fldCharType="end"/>
      </w:r>
      <w:r>
        <w:rPr>
          <w:rFonts w:hint="eastAsia" w:ascii="宋体" w:hAnsi="宋体" w:eastAsia="宋体" w:cs="宋体"/>
        </w:rPr>
        <w:fldChar w:fldCharType="end"/>
      </w:r>
    </w:p>
    <w:p w14:paraId="337722E6">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_Toc21181 </w:instrText>
      </w:r>
      <w:r>
        <w:rPr>
          <w:rFonts w:hint="eastAsia" w:ascii="宋体" w:hAnsi="宋体" w:eastAsia="宋体" w:cs="宋体"/>
        </w:rPr>
        <w:fldChar w:fldCharType="separate"/>
      </w:r>
      <w:r>
        <w:rPr>
          <w:rFonts w:hint="eastAsia" w:ascii="仿宋" w:hAnsi="仿宋" w:eastAsia="仿宋" w:cs="仿宋"/>
          <w:bCs/>
          <w:szCs w:val="28"/>
          <w:lang w:val="en-US" w:eastAsia="zh-CN"/>
        </w:rPr>
        <w:t>第32条农业空间整治生态修复重点区</w:t>
      </w:r>
      <w:r>
        <w:tab/>
      </w:r>
      <w:r>
        <w:fldChar w:fldCharType="begin"/>
      </w:r>
      <w:r>
        <w:instrText xml:space="preserve"> PAGEREF _Toc21181 \h </w:instrText>
      </w:r>
      <w:r>
        <w:fldChar w:fldCharType="separate"/>
      </w:r>
      <w:r>
        <w:t>52</w:t>
      </w:r>
      <w:r>
        <w:fldChar w:fldCharType="end"/>
      </w:r>
      <w:r>
        <w:rPr>
          <w:rFonts w:hint="eastAsia" w:ascii="宋体" w:hAnsi="宋体" w:eastAsia="宋体" w:cs="宋体"/>
        </w:rPr>
        <w:fldChar w:fldCharType="end"/>
      </w:r>
    </w:p>
    <w:p w14:paraId="3092F194">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_Toc28094 </w:instrText>
      </w:r>
      <w:r>
        <w:rPr>
          <w:rFonts w:hint="eastAsia" w:ascii="宋体" w:hAnsi="宋体" w:eastAsia="宋体" w:cs="宋体"/>
        </w:rPr>
        <w:fldChar w:fldCharType="separate"/>
      </w:r>
      <w:r>
        <w:rPr>
          <w:rFonts w:hint="eastAsia" w:ascii="宋体" w:hAnsi="宋体" w:eastAsia="宋体" w:cs="宋体"/>
          <w:bCs/>
          <w:kern w:val="44"/>
          <w:szCs w:val="44"/>
          <w:lang w:val="en-US" w:eastAsia="zh-CN" w:bidi="ar-SA"/>
        </w:rPr>
        <w:t>第五章 国土空间生态修复重点任务和工程</w:t>
      </w:r>
      <w:r>
        <w:tab/>
      </w:r>
      <w:r>
        <w:fldChar w:fldCharType="begin"/>
      </w:r>
      <w:r>
        <w:instrText xml:space="preserve"> PAGEREF _Toc28094 \h </w:instrText>
      </w:r>
      <w:r>
        <w:fldChar w:fldCharType="separate"/>
      </w:r>
      <w:r>
        <w:t>54</w:t>
      </w:r>
      <w:r>
        <w:fldChar w:fldCharType="end"/>
      </w:r>
      <w:r>
        <w:rPr>
          <w:rFonts w:hint="eastAsia" w:ascii="宋体" w:hAnsi="宋体" w:eastAsia="宋体" w:cs="宋体"/>
        </w:rPr>
        <w:fldChar w:fldCharType="end"/>
      </w:r>
    </w:p>
    <w:p w14:paraId="09DE9A98">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_Toc2190 </w:instrText>
      </w:r>
      <w:r>
        <w:rPr>
          <w:rFonts w:hint="eastAsia" w:ascii="宋体" w:hAnsi="宋体" w:eastAsia="宋体" w:cs="宋体"/>
        </w:rPr>
        <w:fldChar w:fldCharType="separate"/>
      </w:r>
      <w:r>
        <w:rPr>
          <w:rFonts w:hint="eastAsia" w:ascii="宋体" w:hAnsi="宋体" w:eastAsia="宋体" w:cs="宋体"/>
          <w:kern w:val="2"/>
          <w:szCs w:val="28"/>
          <w:lang w:val="en-US" w:eastAsia="zh-CN" w:bidi="ar-SA"/>
        </w:rPr>
        <w:t>第一节 重点任务和工程</w:t>
      </w:r>
      <w:r>
        <w:tab/>
      </w:r>
      <w:r>
        <w:fldChar w:fldCharType="begin"/>
      </w:r>
      <w:r>
        <w:instrText xml:space="preserve"> PAGEREF _Toc2190 \h </w:instrText>
      </w:r>
      <w:r>
        <w:fldChar w:fldCharType="separate"/>
      </w:r>
      <w:r>
        <w:t>54</w:t>
      </w:r>
      <w:r>
        <w:fldChar w:fldCharType="end"/>
      </w:r>
      <w:r>
        <w:rPr>
          <w:rFonts w:hint="eastAsia" w:ascii="宋体" w:hAnsi="宋体" w:eastAsia="宋体" w:cs="宋体"/>
        </w:rPr>
        <w:fldChar w:fldCharType="end"/>
      </w:r>
    </w:p>
    <w:p w14:paraId="35BB3EFF">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_Toc19542 </w:instrText>
      </w:r>
      <w:r>
        <w:rPr>
          <w:rFonts w:hint="eastAsia" w:ascii="宋体" w:hAnsi="宋体" w:eastAsia="宋体" w:cs="宋体"/>
        </w:rPr>
        <w:fldChar w:fldCharType="separate"/>
      </w:r>
      <w:r>
        <w:rPr>
          <w:rFonts w:hint="eastAsia" w:ascii="仿宋" w:hAnsi="仿宋" w:eastAsia="仿宋" w:cs="仿宋"/>
          <w:bCs/>
          <w:szCs w:val="28"/>
          <w:lang w:val="en-US" w:eastAsia="zh-CN"/>
        </w:rPr>
        <w:t>第33条生态修复的重点任务和工程总结</w:t>
      </w:r>
      <w:r>
        <w:tab/>
      </w:r>
      <w:r>
        <w:fldChar w:fldCharType="begin"/>
      </w:r>
      <w:r>
        <w:instrText xml:space="preserve"> PAGEREF _Toc19542 \h </w:instrText>
      </w:r>
      <w:r>
        <w:fldChar w:fldCharType="separate"/>
      </w:r>
      <w:r>
        <w:t>54</w:t>
      </w:r>
      <w:r>
        <w:fldChar w:fldCharType="end"/>
      </w:r>
      <w:r>
        <w:rPr>
          <w:rFonts w:hint="eastAsia" w:ascii="宋体" w:hAnsi="宋体" w:eastAsia="宋体" w:cs="宋体"/>
        </w:rPr>
        <w:fldChar w:fldCharType="end"/>
      </w:r>
    </w:p>
    <w:p w14:paraId="6965EA8A">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_Toc32065 </w:instrText>
      </w:r>
      <w:r>
        <w:rPr>
          <w:rFonts w:hint="eastAsia" w:ascii="宋体" w:hAnsi="宋体" w:eastAsia="宋体" w:cs="宋体"/>
        </w:rPr>
        <w:fldChar w:fldCharType="separate"/>
      </w:r>
      <w:r>
        <w:rPr>
          <w:rFonts w:hint="eastAsia" w:ascii="宋体" w:hAnsi="宋体" w:eastAsia="宋体" w:cs="宋体"/>
          <w:bCs/>
          <w:kern w:val="2"/>
          <w:szCs w:val="28"/>
          <w:shd w:val="clear" w:color="auto" w:fill="FFFFFF"/>
          <w:lang w:val="en-US" w:eastAsia="zh-CN" w:bidi="ar-SA"/>
        </w:rPr>
        <w:t>第二节 重点工程</w:t>
      </w:r>
      <w:r>
        <w:tab/>
      </w:r>
      <w:r>
        <w:fldChar w:fldCharType="begin"/>
      </w:r>
      <w:r>
        <w:instrText xml:space="preserve"> PAGEREF _Toc32065 \h </w:instrText>
      </w:r>
      <w:r>
        <w:fldChar w:fldCharType="separate"/>
      </w:r>
      <w:r>
        <w:t>57</w:t>
      </w:r>
      <w:r>
        <w:fldChar w:fldCharType="end"/>
      </w:r>
      <w:r>
        <w:rPr>
          <w:rFonts w:hint="eastAsia" w:ascii="宋体" w:hAnsi="宋体" w:eastAsia="宋体" w:cs="宋体"/>
        </w:rPr>
        <w:fldChar w:fldCharType="end"/>
      </w:r>
    </w:p>
    <w:p w14:paraId="0D6ACE18">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_Toc2790 </w:instrText>
      </w:r>
      <w:r>
        <w:rPr>
          <w:rFonts w:hint="eastAsia" w:ascii="宋体" w:hAnsi="宋体" w:eastAsia="宋体" w:cs="宋体"/>
        </w:rPr>
        <w:fldChar w:fldCharType="separate"/>
      </w:r>
      <w:r>
        <w:rPr>
          <w:rFonts w:hint="eastAsia" w:ascii="仿宋" w:hAnsi="仿宋" w:eastAsia="仿宋" w:cs="仿宋"/>
          <w:bCs/>
          <w:szCs w:val="28"/>
          <w:lang w:val="en-US" w:eastAsia="zh-CN"/>
        </w:rPr>
        <w:t>第34条（Ⅰ）区重点工程</w:t>
      </w:r>
      <w:r>
        <w:tab/>
      </w:r>
      <w:r>
        <w:fldChar w:fldCharType="begin"/>
      </w:r>
      <w:r>
        <w:instrText xml:space="preserve"> PAGEREF _Toc2790 \h </w:instrText>
      </w:r>
      <w:r>
        <w:fldChar w:fldCharType="separate"/>
      </w:r>
      <w:r>
        <w:t>57</w:t>
      </w:r>
      <w:r>
        <w:fldChar w:fldCharType="end"/>
      </w:r>
      <w:r>
        <w:rPr>
          <w:rFonts w:hint="eastAsia" w:ascii="宋体" w:hAnsi="宋体" w:eastAsia="宋体" w:cs="宋体"/>
        </w:rPr>
        <w:fldChar w:fldCharType="end"/>
      </w:r>
    </w:p>
    <w:p w14:paraId="6DE61046">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_Toc311 </w:instrText>
      </w:r>
      <w:r>
        <w:rPr>
          <w:rFonts w:hint="eastAsia" w:ascii="宋体" w:hAnsi="宋体" w:eastAsia="宋体" w:cs="宋体"/>
        </w:rPr>
        <w:fldChar w:fldCharType="separate"/>
      </w:r>
      <w:r>
        <w:rPr>
          <w:rFonts w:hint="eastAsia" w:ascii="仿宋" w:hAnsi="仿宋" w:eastAsia="仿宋" w:cs="仿宋"/>
          <w:bCs/>
          <w:szCs w:val="28"/>
          <w:lang w:val="en-US" w:eastAsia="zh-CN"/>
        </w:rPr>
        <w:t>第35条（Ⅱ）区重点工程</w:t>
      </w:r>
      <w:r>
        <w:tab/>
      </w:r>
      <w:r>
        <w:fldChar w:fldCharType="begin"/>
      </w:r>
      <w:r>
        <w:instrText xml:space="preserve"> PAGEREF _Toc311 \h </w:instrText>
      </w:r>
      <w:r>
        <w:fldChar w:fldCharType="separate"/>
      </w:r>
      <w:r>
        <w:t>59</w:t>
      </w:r>
      <w:r>
        <w:fldChar w:fldCharType="end"/>
      </w:r>
      <w:r>
        <w:rPr>
          <w:rFonts w:hint="eastAsia" w:ascii="宋体" w:hAnsi="宋体" w:eastAsia="宋体" w:cs="宋体"/>
        </w:rPr>
        <w:fldChar w:fldCharType="end"/>
      </w:r>
    </w:p>
    <w:p w14:paraId="2090DB91">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_Toc32565 </w:instrText>
      </w:r>
      <w:r>
        <w:rPr>
          <w:rFonts w:hint="eastAsia" w:ascii="宋体" w:hAnsi="宋体" w:eastAsia="宋体" w:cs="宋体"/>
        </w:rPr>
        <w:fldChar w:fldCharType="separate"/>
      </w:r>
      <w:r>
        <w:rPr>
          <w:rFonts w:hint="eastAsia" w:ascii="仿宋" w:hAnsi="仿宋" w:eastAsia="仿宋" w:cs="仿宋"/>
          <w:bCs/>
          <w:szCs w:val="28"/>
          <w:lang w:val="en-US" w:eastAsia="zh-CN"/>
        </w:rPr>
        <w:t>第36条（Ⅲ）区重点工程</w:t>
      </w:r>
      <w:r>
        <w:tab/>
      </w:r>
      <w:r>
        <w:fldChar w:fldCharType="begin"/>
      </w:r>
      <w:r>
        <w:instrText xml:space="preserve"> PAGEREF _Toc32565 \h </w:instrText>
      </w:r>
      <w:r>
        <w:fldChar w:fldCharType="separate"/>
      </w:r>
      <w:r>
        <w:t>62</w:t>
      </w:r>
      <w:r>
        <w:fldChar w:fldCharType="end"/>
      </w:r>
      <w:r>
        <w:rPr>
          <w:rFonts w:hint="eastAsia" w:ascii="宋体" w:hAnsi="宋体" w:eastAsia="宋体" w:cs="宋体"/>
        </w:rPr>
        <w:fldChar w:fldCharType="end"/>
      </w:r>
    </w:p>
    <w:p w14:paraId="3467E80B">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_Toc26202 </w:instrText>
      </w:r>
      <w:r>
        <w:rPr>
          <w:rFonts w:hint="eastAsia" w:ascii="宋体" w:hAnsi="宋体" w:eastAsia="宋体" w:cs="宋体"/>
        </w:rPr>
        <w:fldChar w:fldCharType="separate"/>
      </w:r>
      <w:r>
        <w:rPr>
          <w:rFonts w:hint="eastAsia" w:ascii="仿宋" w:hAnsi="仿宋" w:eastAsia="仿宋" w:cs="仿宋"/>
          <w:bCs/>
          <w:szCs w:val="28"/>
          <w:lang w:val="en-US" w:eastAsia="zh-CN"/>
        </w:rPr>
        <w:t>第37条（Ⅳ）区重点工程</w:t>
      </w:r>
      <w:r>
        <w:tab/>
      </w:r>
      <w:r>
        <w:fldChar w:fldCharType="begin"/>
      </w:r>
      <w:r>
        <w:instrText xml:space="preserve"> PAGEREF _Toc26202 \h </w:instrText>
      </w:r>
      <w:r>
        <w:fldChar w:fldCharType="separate"/>
      </w:r>
      <w:r>
        <w:t>63</w:t>
      </w:r>
      <w:r>
        <w:fldChar w:fldCharType="end"/>
      </w:r>
      <w:r>
        <w:rPr>
          <w:rFonts w:hint="eastAsia" w:ascii="宋体" w:hAnsi="宋体" w:eastAsia="宋体" w:cs="宋体"/>
        </w:rPr>
        <w:fldChar w:fldCharType="end"/>
      </w:r>
    </w:p>
    <w:p w14:paraId="4D418E61">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_Toc16830 </w:instrText>
      </w:r>
      <w:r>
        <w:rPr>
          <w:rFonts w:hint="eastAsia" w:ascii="宋体" w:hAnsi="宋体" w:eastAsia="宋体" w:cs="宋体"/>
        </w:rPr>
        <w:fldChar w:fldCharType="separate"/>
      </w:r>
      <w:r>
        <w:rPr>
          <w:rFonts w:hint="eastAsia" w:ascii="宋体" w:hAnsi="宋体" w:eastAsia="宋体" w:cs="宋体"/>
          <w:bCs/>
          <w:kern w:val="0"/>
          <w:szCs w:val="36"/>
          <w:lang w:bidi="ar"/>
        </w:rPr>
        <w:t>第</w:t>
      </w:r>
      <w:r>
        <w:rPr>
          <w:rFonts w:hint="eastAsia" w:ascii="宋体" w:hAnsi="宋体" w:eastAsia="宋体" w:cs="宋体"/>
          <w:bCs/>
          <w:kern w:val="0"/>
          <w:szCs w:val="36"/>
          <w:lang w:val="en-US" w:eastAsia="zh-CN" w:bidi="ar"/>
        </w:rPr>
        <w:t>六</w:t>
      </w:r>
      <w:r>
        <w:rPr>
          <w:rFonts w:hint="eastAsia" w:ascii="宋体" w:hAnsi="宋体" w:eastAsia="宋体" w:cs="宋体"/>
          <w:bCs/>
          <w:kern w:val="0"/>
          <w:szCs w:val="36"/>
          <w:lang w:bidi="ar"/>
        </w:rPr>
        <w:t xml:space="preserve">章 </w:t>
      </w:r>
      <w:r>
        <w:rPr>
          <w:rFonts w:hint="eastAsia" w:ascii="宋体" w:hAnsi="宋体" w:eastAsia="宋体" w:cs="宋体"/>
          <w:bCs/>
          <w:kern w:val="0"/>
          <w:szCs w:val="36"/>
          <w:lang w:val="en-US" w:eastAsia="zh-CN" w:bidi="ar"/>
        </w:rPr>
        <w:t>成本效益</w:t>
      </w:r>
      <w:r>
        <w:tab/>
      </w:r>
      <w:r>
        <w:fldChar w:fldCharType="begin"/>
      </w:r>
      <w:r>
        <w:instrText xml:space="preserve"> PAGEREF _Toc16830 \h </w:instrText>
      </w:r>
      <w:r>
        <w:fldChar w:fldCharType="separate"/>
      </w:r>
      <w:r>
        <w:t>66</w:t>
      </w:r>
      <w:r>
        <w:fldChar w:fldCharType="end"/>
      </w:r>
      <w:r>
        <w:rPr>
          <w:rFonts w:hint="eastAsia" w:ascii="宋体" w:hAnsi="宋体" w:eastAsia="宋体" w:cs="宋体"/>
        </w:rPr>
        <w:fldChar w:fldCharType="end"/>
      </w:r>
    </w:p>
    <w:p w14:paraId="1383478E">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_Toc8330 </w:instrText>
      </w:r>
      <w:r>
        <w:rPr>
          <w:rFonts w:hint="eastAsia" w:ascii="宋体" w:hAnsi="宋体" w:eastAsia="宋体" w:cs="宋体"/>
        </w:rPr>
        <w:fldChar w:fldCharType="separate"/>
      </w:r>
      <w:r>
        <w:rPr>
          <w:rFonts w:hint="eastAsia" w:ascii="宋体" w:hAnsi="宋体" w:eastAsia="宋体" w:cs="宋体"/>
          <w:bCs/>
          <w:kern w:val="2"/>
          <w:szCs w:val="28"/>
          <w:shd w:val="clear" w:color="auto" w:fill="FFFFFF"/>
          <w:lang w:val="en-US" w:eastAsia="zh-CN" w:bidi="ar-SA"/>
        </w:rPr>
        <w:t>第一节 匡算依据</w:t>
      </w:r>
      <w:r>
        <w:tab/>
      </w:r>
      <w:r>
        <w:fldChar w:fldCharType="begin"/>
      </w:r>
      <w:r>
        <w:instrText xml:space="preserve"> PAGEREF _Toc8330 \h </w:instrText>
      </w:r>
      <w:r>
        <w:fldChar w:fldCharType="separate"/>
      </w:r>
      <w:r>
        <w:t>66</w:t>
      </w:r>
      <w:r>
        <w:fldChar w:fldCharType="end"/>
      </w:r>
      <w:r>
        <w:rPr>
          <w:rFonts w:hint="eastAsia" w:ascii="宋体" w:hAnsi="宋体" w:eastAsia="宋体" w:cs="宋体"/>
        </w:rPr>
        <w:fldChar w:fldCharType="end"/>
      </w:r>
    </w:p>
    <w:p w14:paraId="3B70902F">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_Toc1770 </w:instrText>
      </w:r>
      <w:r>
        <w:rPr>
          <w:rFonts w:hint="eastAsia" w:ascii="宋体" w:hAnsi="宋体" w:eastAsia="宋体" w:cs="宋体"/>
        </w:rPr>
        <w:fldChar w:fldCharType="separate"/>
      </w:r>
      <w:r>
        <w:rPr>
          <w:rFonts w:hint="eastAsia" w:ascii="仿宋" w:hAnsi="仿宋" w:eastAsia="仿宋" w:cs="仿宋"/>
          <w:bCs/>
          <w:szCs w:val="28"/>
          <w:lang w:val="en-US" w:eastAsia="zh-CN"/>
        </w:rPr>
        <w:t>第38条资金预算框架</w:t>
      </w:r>
      <w:r>
        <w:tab/>
      </w:r>
      <w:r>
        <w:fldChar w:fldCharType="begin"/>
      </w:r>
      <w:r>
        <w:instrText xml:space="preserve"> PAGEREF _Toc1770 \h </w:instrText>
      </w:r>
      <w:r>
        <w:fldChar w:fldCharType="separate"/>
      </w:r>
      <w:r>
        <w:t>66</w:t>
      </w:r>
      <w:r>
        <w:fldChar w:fldCharType="end"/>
      </w:r>
      <w:r>
        <w:rPr>
          <w:rFonts w:hint="eastAsia" w:ascii="宋体" w:hAnsi="宋体" w:eastAsia="宋体" w:cs="宋体"/>
        </w:rPr>
        <w:fldChar w:fldCharType="end"/>
      </w:r>
    </w:p>
    <w:p w14:paraId="73358236">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_Toc2672 </w:instrText>
      </w:r>
      <w:r>
        <w:rPr>
          <w:rFonts w:hint="eastAsia" w:ascii="宋体" w:hAnsi="宋体" w:eastAsia="宋体" w:cs="宋体"/>
        </w:rPr>
        <w:fldChar w:fldCharType="separate"/>
      </w:r>
      <w:r>
        <w:rPr>
          <w:rFonts w:hint="eastAsia" w:ascii="宋体" w:hAnsi="宋体" w:eastAsia="宋体" w:cs="宋体"/>
          <w:bCs/>
          <w:kern w:val="2"/>
          <w:szCs w:val="28"/>
          <w:shd w:val="clear" w:fill="FFFFFF"/>
          <w:lang w:val="en-US" w:eastAsia="zh-CN" w:bidi="ar-SA"/>
        </w:rPr>
        <w:t xml:space="preserve">第二节 </w:t>
      </w:r>
      <w:r>
        <w:rPr>
          <w:rFonts w:hint="eastAsia" w:ascii="宋体" w:hAnsi="宋体" w:eastAsia="宋体" w:cs="宋体"/>
          <w:bCs/>
          <w:kern w:val="2"/>
          <w:szCs w:val="28"/>
          <w:shd w:val="clear" w:color="auto" w:fill="FFFFFF"/>
          <w:lang w:val="en-US" w:eastAsia="zh-CN" w:bidi="ar-SA"/>
        </w:rPr>
        <w:t>资金需求</w:t>
      </w:r>
      <w:r>
        <w:tab/>
      </w:r>
      <w:r>
        <w:fldChar w:fldCharType="begin"/>
      </w:r>
      <w:r>
        <w:instrText xml:space="preserve"> PAGEREF _Toc2672 \h </w:instrText>
      </w:r>
      <w:r>
        <w:fldChar w:fldCharType="separate"/>
      </w:r>
      <w:r>
        <w:t>68</w:t>
      </w:r>
      <w:r>
        <w:fldChar w:fldCharType="end"/>
      </w:r>
      <w:r>
        <w:rPr>
          <w:rFonts w:hint="eastAsia" w:ascii="宋体" w:hAnsi="宋体" w:eastAsia="宋体" w:cs="宋体"/>
        </w:rPr>
        <w:fldChar w:fldCharType="end"/>
      </w:r>
    </w:p>
    <w:p w14:paraId="2859C941">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_Toc24346 </w:instrText>
      </w:r>
      <w:r>
        <w:rPr>
          <w:rFonts w:hint="eastAsia" w:ascii="宋体" w:hAnsi="宋体" w:eastAsia="宋体" w:cs="宋体"/>
        </w:rPr>
        <w:fldChar w:fldCharType="separate"/>
      </w:r>
      <w:r>
        <w:rPr>
          <w:rFonts w:hint="eastAsia" w:ascii="仿宋" w:hAnsi="仿宋" w:eastAsia="仿宋" w:cs="仿宋"/>
          <w:bCs/>
          <w:szCs w:val="28"/>
          <w:lang w:val="en-US" w:eastAsia="zh-CN"/>
        </w:rPr>
        <w:t>第39条资金需求</w:t>
      </w:r>
      <w:r>
        <w:tab/>
      </w:r>
      <w:r>
        <w:fldChar w:fldCharType="begin"/>
      </w:r>
      <w:r>
        <w:instrText xml:space="preserve"> PAGEREF _Toc24346 \h </w:instrText>
      </w:r>
      <w:r>
        <w:fldChar w:fldCharType="separate"/>
      </w:r>
      <w:r>
        <w:t>68</w:t>
      </w:r>
      <w:r>
        <w:fldChar w:fldCharType="end"/>
      </w:r>
      <w:r>
        <w:rPr>
          <w:rFonts w:hint="eastAsia" w:ascii="宋体" w:hAnsi="宋体" w:eastAsia="宋体" w:cs="宋体"/>
        </w:rPr>
        <w:fldChar w:fldCharType="end"/>
      </w:r>
    </w:p>
    <w:p w14:paraId="0D67382D">
      <w:pPr>
        <w:pStyle w:val="12"/>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_Toc31194 </w:instrText>
      </w:r>
      <w:r>
        <w:rPr>
          <w:rFonts w:hint="eastAsia" w:ascii="宋体" w:hAnsi="宋体" w:eastAsia="宋体" w:cs="宋体"/>
        </w:rPr>
        <w:fldChar w:fldCharType="separate"/>
      </w:r>
      <w:r>
        <w:rPr>
          <w:rFonts w:hint="eastAsia" w:ascii="宋体" w:hAnsi="宋体" w:eastAsia="宋体" w:cs="宋体"/>
          <w:bCs/>
          <w:kern w:val="2"/>
          <w:szCs w:val="28"/>
          <w:shd w:val="clear" w:fill="FFFFFF"/>
          <w:lang w:val="en-US" w:eastAsia="zh-CN" w:bidi="ar-SA"/>
        </w:rPr>
        <w:t xml:space="preserve">第三节 </w:t>
      </w:r>
      <w:r>
        <w:rPr>
          <w:rFonts w:hint="eastAsia" w:ascii="宋体" w:hAnsi="宋体" w:eastAsia="宋体" w:cs="宋体"/>
          <w:bCs/>
          <w:kern w:val="2"/>
          <w:szCs w:val="28"/>
          <w:shd w:val="clear" w:color="auto" w:fill="FFFFFF"/>
          <w:lang w:val="en-US" w:eastAsia="zh-CN" w:bidi="ar-SA"/>
        </w:rPr>
        <w:t>综合效益分析</w:t>
      </w:r>
      <w:r>
        <w:tab/>
      </w:r>
      <w:r>
        <w:fldChar w:fldCharType="begin"/>
      </w:r>
      <w:r>
        <w:instrText xml:space="preserve"> PAGEREF _Toc31194 \h </w:instrText>
      </w:r>
      <w:r>
        <w:fldChar w:fldCharType="separate"/>
      </w:r>
      <w:r>
        <w:t>69</w:t>
      </w:r>
      <w:r>
        <w:fldChar w:fldCharType="end"/>
      </w:r>
      <w:r>
        <w:rPr>
          <w:rFonts w:hint="eastAsia" w:ascii="宋体" w:hAnsi="宋体" w:eastAsia="宋体" w:cs="宋体"/>
        </w:rPr>
        <w:fldChar w:fldCharType="end"/>
      </w:r>
    </w:p>
    <w:p w14:paraId="4CEBC622">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_Toc31756 </w:instrText>
      </w:r>
      <w:r>
        <w:rPr>
          <w:rFonts w:hint="eastAsia" w:ascii="宋体" w:hAnsi="宋体" w:eastAsia="宋体" w:cs="宋体"/>
        </w:rPr>
        <w:fldChar w:fldCharType="separate"/>
      </w:r>
      <w:r>
        <w:rPr>
          <w:rFonts w:hint="eastAsia" w:ascii="仿宋" w:hAnsi="仿宋" w:eastAsia="仿宋" w:cs="仿宋"/>
          <w:bCs/>
          <w:szCs w:val="28"/>
          <w:lang w:val="en-US" w:eastAsia="zh-CN"/>
        </w:rPr>
        <w:t>第40条生态效益</w:t>
      </w:r>
      <w:r>
        <w:tab/>
      </w:r>
      <w:r>
        <w:fldChar w:fldCharType="begin"/>
      </w:r>
      <w:r>
        <w:instrText xml:space="preserve"> PAGEREF _Toc31756 \h </w:instrText>
      </w:r>
      <w:r>
        <w:fldChar w:fldCharType="separate"/>
      </w:r>
      <w:r>
        <w:t>69</w:t>
      </w:r>
      <w:r>
        <w:fldChar w:fldCharType="end"/>
      </w:r>
      <w:r>
        <w:rPr>
          <w:rFonts w:hint="eastAsia" w:ascii="宋体" w:hAnsi="宋体" w:eastAsia="宋体" w:cs="宋体"/>
        </w:rPr>
        <w:fldChar w:fldCharType="end"/>
      </w:r>
    </w:p>
    <w:p w14:paraId="6A7D2C14">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_Toc26642 </w:instrText>
      </w:r>
      <w:r>
        <w:rPr>
          <w:rFonts w:hint="eastAsia" w:ascii="宋体" w:hAnsi="宋体" w:eastAsia="宋体" w:cs="宋体"/>
        </w:rPr>
        <w:fldChar w:fldCharType="separate"/>
      </w:r>
      <w:r>
        <w:rPr>
          <w:rFonts w:hint="eastAsia" w:ascii="仿宋" w:hAnsi="仿宋" w:eastAsia="仿宋" w:cs="仿宋"/>
          <w:bCs/>
          <w:szCs w:val="28"/>
          <w:lang w:val="en-US" w:eastAsia="zh-CN"/>
        </w:rPr>
        <w:t>第41条社会效益</w:t>
      </w:r>
      <w:r>
        <w:tab/>
      </w:r>
      <w:r>
        <w:fldChar w:fldCharType="begin"/>
      </w:r>
      <w:r>
        <w:instrText xml:space="preserve"> PAGEREF _Toc26642 \h </w:instrText>
      </w:r>
      <w:r>
        <w:fldChar w:fldCharType="separate"/>
      </w:r>
      <w:r>
        <w:t>71</w:t>
      </w:r>
      <w:r>
        <w:fldChar w:fldCharType="end"/>
      </w:r>
      <w:r>
        <w:rPr>
          <w:rFonts w:hint="eastAsia" w:ascii="宋体" w:hAnsi="宋体" w:eastAsia="宋体" w:cs="宋体"/>
        </w:rPr>
        <w:fldChar w:fldCharType="end"/>
      </w:r>
    </w:p>
    <w:p w14:paraId="76DE4766">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_Toc20063 </w:instrText>
      </w:r>
      <w:r>
        <w:rPr>
          <w:rFonts w:hint="eastAsia" w:ascii="宋体" w:hAnsi="宋体" w:eastAsia="宋体" w:cs="宋体"/>
        </w:rPr>
        <w:fldChar w:fldCharType="separate"/>
      </w:r>
      <w:r>
        <w:rPr>
          <w:rFonts w:hint="eastAsia" w:ascii="仿宋" w:hAnsi="仿宋" w:eastAsia="仿宋" w:cs="仿宋"/>
          <w:bCs/>
          <w:szCs w:val="28"/>
          <w:lang w:val="en-US" w:eastAsia="zh-CN"/>
        </w:rPr>
        <w:t>第42条经济效益</w:t>
      </w:r>
      <w:r>
        <w:tab/>
      </w:r>
      <w:r>
        <w:fldChar w:fldCharType="begin"/>
      </w:r>
      <w:r>
        <w:instrText xml:space="preserve"> PAGEREF _Toc20063 \h </w:instrText>
      </w:r>
      <w:r>
        <w:fldChar w:fldCharType="separate"/>
      </w:r>
      <w:r>
        <w:t>73</w:t>
      </w:r>
      <w:r>
        <w:fldChar w:fldCharType="end"/>
      </w:r>
      <w:r>
        <w:rPr>
          <w:rFonts w:hint="eastAsia" w:ascii="宋体" w:hAnsi="宋体" w:eastAsia="宋体" w:cs="宋体"/>
        </w:rPr>
        <w:fldChar w:fldCharType="end"/>
      </w:r>
    </w:p>
    <w:p w14:paraId="15E03B13">
      <w:pPr>
        <w:pStyle w:val="11"/>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_Toc21963 </w:instrText>
      </w:r>
      <w:r>
        <w:rPr>
          <w:rFonts w:hint="eastAsia" w:ascii="宋体" w:hAnsi="宋体" w:eastAsia="宋体" w:cs="宋体"/>
        </w:rPr>
        <w:fldChar w:fldCharType="separate"/>
      </w:r>
      <w:r>
        <w:rPr>
          <w:rFonts w:hint="eastAsia" w:ascii="宋体" w:hAnsi="宋体" w:eastAsia="宋体" w:cs="宋体"/>
          <w:bCs/>
          <w:kern w:val="44"/>
          <w:szCs w:val="44"/>
        </w:rPr>
        <w:t>第</w:t>
      </w:r>
      <w:r>
        <w:rPr>
          <w:rFonts w:hint="eastAsia" w:ascii="宋体" w:hAnsi="宋体" w:eastAsia="宋体" w:cs="宋体"/>
          <w:bCs/>
          <w:kern w:val="44"/>
          <w:szCs w:val="44"/>
          <w:lang w:val="en-US" w:eastAsia="zh-CN"/>
        </w:rPr>
        <w:t>七</w:t>
      </w:r>
      <w:r>
        <w:rPr>
          <w:rFonts w:hint="eastAsia" w:ascii="宋体" w:hAnsi="宋体" w:eastAsia="宋体" w:cs="宋体"/>
          <w:bCs/>
          <w:kern w:val="44"/>
          <w:szCs w:val="44"/>
        </w:rPr>
        <w:t>章 保障机制</w:t>
      </w:r>
      <w:r>
        <w:tab/>
      </w:r>
      <w:r>
        <w:fldChar w:fldCharType="begin"/>
      </w:r>
      <w:r>
        <w:instrText xml:space="preserve"> PAGEREF _Toc21963 \h </w:instrText>
      </w:r>
      <w:r>
        <w:fldChar w:fldCharType="separate"/>
      </w:r>
      <w:r>
        <w:t>76</w:t>
      </w:r>
      <w:r>
        <w:fldChar w:fldCharType="end"/>
      </w:r>
      <w:r>
        <w:rPr>
          <w:rFonts w:hint="eastAsia" w:ascii="宋体" w:hAnsi="宋体" w:eastAsia="宋体" w:cs="宋体"/>
        </w:rPr>
        <w:fldChar w:fldCharType="end"/>
      </w:r>
    </w:p>
    <w:p w14:paraId="6054F3EC">
      <w:pPr>
        <w:pStyle w:val="8"/>
        <w:tabs>
          <w:tab w:val="right" w:leader="dot" w:pos="8306"/>
        </w:tabs>
      </w:pPr>
      <w:r>
        <w:rPr>
          <w:rFonts w:hint="eastAsia" w:ascii="宋体" w:hAnsi="宋体" w:eastAsia="宋体" w:cs="宋体"/>
        </w:rPr>
        <w:fldChar w:fldCharType="begin"/>
      </w:r>
      <w:r>
        <w:rPr>
          <w:rFonts w:hint="eastAsia" w:ascii="宋体" w:hAnsi="宋体" w:eastAsia="宋体" w:cs="宋体"/>
        </w:rPr>
        <w:instrText xml:space="preserve"> HYPERLINK \l _Toc9282 </w:instrText>
      </w:r>
      <w:r>
        <w:rPr>
          <w:rFonts w:hint="eastAsia" w:ascii="宋体" w:hAnsi="宋体" w:eastAsia="宋体" w:cs="宋体"/>
        </w:rPr>
        <w:fldChar w:fldCharType="separate"/>
      </w:r>
      <w:r>
        <w:rPr>
          <w:rFonts w:hint="eastAsia" w:ascii="仿宋" w:hAnsi="仿宋" w:eastAsia="仿宋" w:cs="仿宋"/>
          <w:bCs/>
          <w:szCs w:val="28"/>
          <w:lang w:val="en-US" w:eastAsia="zh-CN"/>
        </w:rPr>
        <w:t>第43条保障机制</w:t>
      </w:r>
      <w:r>
        <w:tab/>
      </w:r>
      <w:r>
        <w:fldChar w:fldCharType="begin"/>
      </w:r>
      <w:r>
        <w:instrText xml:space="preserve"> PAGEREF _Toc9282 \h </w:instrText>
      </w:r>
      <w:r>
        <w:fldChar w:fldCharType="separate"/>
      </w:r>
      <w:r>
        <w:t>76</w:t>
      </w:r>
      <w:r>
        <w:fldChar w:fldCharType="end"/>
      </w:r>
      <w:r>
        <w:rPr>
          <w:rFonts w:hint="eastAsia" w:ascii="宋体" w:hAnsi="宋体" w:eastAsia="宋体" w:cs="宋体"/>
        </w:rPr>
        <w:fldChar w:fldCharType="end"/>
      </w:r>
    </w:p>
    <w:p w14:paraId="4795F5CA">
      <w:pPr>
        <w:pStyle w:val="2"/>
        <w:keepNext/>
        <w:keepLines/>
        <w:pageBreakBefore w:val="0"/>
        <w:widowControl w:val="0"/>
        <w:kinsoku/>
        <w:wordWrap/>
        <w:overflowPunct/>
        <w:topLinePunct w:val="0"/>
        <w:autoSpaceDE/>
        <w:autoSpaceDN/>
        <w:bidi w:val="0"/>
        <w:adjustRightInd/>
        <w:snapToGrid/>
        <w:ind w:firstLine="0" w:firstLineChars="0"/>
        <w:jc w:val="center"/>
        <w:textAlignment w:val="auto"/>
        <w:outlineLvl w:val="9"/>
        <w:rPr>
          <w:rFonts w:hint="eastAsia" w:ascii="宋体" w:hAnsi="宋体" w:eastAsia="宋体" w:cs="宋体"/>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rPr>
        <w:fldChar w:fldCharType="end"/>
      </w:r>
    </w:p>
    <w:p w14:paraId="01FAEA25">
      <w:pPr>
        <w:pStyle w:val="2"/>
        <w:keepNext/>
        <w:keepLines/>
        <w:pageBreakBefore w:val="0"/>
        <w:widowControl w:val="0"/>
        <w:kinsoku/>
        <w:wordWrap/>
        <w:overflowPunct/>
        <w:topLinePunct w:val="0"/>
        <w:autoSpaceDE/>
        <w:autoSpaceDN/>
        <w:bidi w:val="0"/>
        <w:adjustRightInd/>
        <w:snapToGrid/>
        <w:ind w:firstLine="0" w:firstLineChars="0"/>
        <w:jc w:val="center"/>
        <w:textAlignment w:val="auto"/>
        <w:rPr>
          <w:rFonts w:ascii="宋体" w:hAnsi="宋体" w:eastAsia="宋体" w:cs="宋体"/>
        </w:rPr>
      </w:pPr>
      <w:bookmarkStart w:id="2" w:name="_Toc7556"/>
      <w:r>
        <w:rPr>
          <w:rFonts w:hint="eastAsia" w:ascii="宋体" w:hAnsi="宋体" w:eastAsia="宋体" w:cs="宋体"/>
        </w:rPr>
        <w:t>第</w:t>
      </w:r>
      <w:r>
        <w:rPr>
          <w:rFonts w:hint="eastAsia" w:ascii="宋体" w:hAnsi="宋体" w:eastAsia="宋体" w:cs="宋体"/>
          <w:lang w:val="en-US" w:eastAsia="zh-CN"/>
        </w:rPr>
        <w:t>一</w:t>
      </w:r>
      <w:r>
        <w:rPr>
          <w:rFonts w:hint="eastAsia" w:ascii="宋体" w:hAnsi="宋体" w:eastAsia="宋体" w:cs="宋体"/>
        </w:rPr>
        <w:t>章 面临形势</w:t>
      </w:r>
      <w:bookmarkEnd w:id="0"/>
      <w:bookmarkEnd w:id="1"/>
      <w:bookmarkEnd w:id="2"/>
    </w:p>
    <w:p w14:paraId="6A15780A">
      <w:pPr>
        <w:pStyle w:val="3"/>
        <w:bidi w:val="0"/>
        <w:ind w:left="0" w:leftChars="0" w:firstLine="0" w:firstLineChars="0"/>
        <w:jc w:val="both"/>
        <w:rPr>
          <w:rFonts w:hint="eastAsia"/>
          <w:lang w:val="en-US" w:eastAsia="zh-CN"/>
        </w:rPr>
      </w:pPr>
      <w:bookmarkStart w:id="3" w:name="_Toc20017_WPSOffice_Level2"/>
      <w:bookmarkStart w:id="4" w:name="_Toc24729"/>
      <w:bookmarkStart w:id="5" w:name="_Toc27454"/>
      <w:r>
        <w:rPr>
          <w:rFonts w:hint="eastAsia"/>
        </w:rPr>
        <w:t>第一节 面临形势与要求</w:t>
      </w:r>
      <w:bookmarkEnd w:id="3"/>
      <w:bookmarkEnd w:id="4"/>
      <w:bookmarkEnd w:id="5"/>
    </w:p>
    <w:p w14:paraId="7EE676CA">
      <w:pPr>
        <w:outlineLvl w:val="2"/>
        <w:rPr>
          <w:rFonts w:hint="eastAsia" w:ascii="仿宋" w:hAnsi="仿宋" w:eastAsia="仿宋" w:cs="仿宋"/>
          <w:b/>
          <w:bCs/>
          <w:sz w:val="28"/>
          <w:szCs w:val="28"/>
          <w:lang w:val="en-US" w:eastAsia="zh-CN"/>
        </w:rPr>
      </w:pPr>
      <w:bookmarkStart w:id="6" w:name="_Toc10048"/>
      <w:r>
        <w:rPr>
          <w:rFonts w:hint="eastAsia" w:ascii="仿宋" w:hAnsi="仿宋" w:eastAsia="仿宋" w:cs="仿宋"/>
          <w:b/>
          <w:bCs/>
          <w:sz w:val="28"/>
          <w:szCs w:val="28"/>
          <w:lang w:val="en-US" w:eastAsia="zh-CN"/>
        </w:rPr>
        <w:t>第1条面临形势与要求</w:t>
      </w:r>
      <w:bookmarkEnd w:id="6"/>
    </w:p>
    <w:p w14:paraId="73612C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上杭县地处福建省西南部，龙岩市西部，位于汀江中游，与多个县区和省份接壤，其独特的地理位置赋予了上杭县优越的区位条件。上杭县拥有丰富的自然资源，特别是金铜产业和绿色生态资源，这些优势为其内生创新发展、加强区域协作、推动绿色发展和促进乡村振兴提供了坚实的基础。</w:t>
      </w:r>
    </w:p>
    <w:p w14:paraId="2FCB30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上杭县政府积极响应国家生态文明建设号召，深入贯彻习近平生态文明思想，以改善生态环境质量为核心，全面加大生态文明建设和环境保护的工作力度。通过实施一系列生态环保措施，截至2021年末，上杭县的森林覆盖率提升至77.28%，城乡水质稳定达标，空气质量保持优良水平，节能减排成效显著，生态环境质量得到明显提升。</w:t>
      </w:r>
    </w:p>
    <w:p w14:paraId="3F7ACD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生态保护机制与力度：在生态保护机制方面，汀江-韩江流域生态补偿等生态环境保护机制不断得到健全和完善。同时，生物多样性保护力度也得到加强，水、土壤等环境整治工作深入推进，有效保障了上杭县的生态资源本底安全。这些生态文明建设成就不仅改善了生态环境质量，还为县域生态旅游、康养、生态农业等产业的发展提供了有力支撑，为生态资源资产化以及生态产品价值实现奠定了坚实基础。</w:t>
      </w:r>
    </w:p>
    <w:p w14:paraId="7DD52E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cs="仿宋" w:eastAsiaTheme="minorEastAsia"/>
          <w:sz w:val="28"/>
          <w:szCs w:val="28"/>
          <w:lang w:val="en-US" w:eastAsia="zh-CN"/>
        </w:rPr>
      </w:pPr>
      <w:r>
        <w:rPr>
          <w:rFonts w:hint="eastAsia" w:ascii="仿宋" w:hAnsi="仿宋" w:eastAsia="仿宋" w:cs="仿宋"/>
          <w:sz w:val="28"/>
          <w:szCs w:val="28"/>
          <w:lang w:val="en-US" w:eastAsia="zh-CN"/>
        </w:rPr>
        <w:t>在上杭县委、县政府的正确领导下，全县上下紧密团结，以习近平新时代中国特色社会主义思想为指导，坚决贯彻落实中央和省市的重大决策部署，成为践行习近平生态文明思想的排头兵和先行地，展示了上杭县在生态文明建设方面的坚定决心和显著成效</w:t>
      </w:r>
      <w:r>
        <w:rPr>
          <w:rFonts w:hint="eastAsia"/>
          <w:lang w:eastAsia="zh-CN"/>
        </w:rPr>
        <w:t>。</w:t>
      </w:r>
    </w:p>
    <w:p w14:paraId="010B07A3">
      <w:pPr>
        <w:pStyle w:val="3"/>
        <w:bidi w:val="0"/>
        <w:ind w:left="0" w:leftChars="0" w:firstLine="0" w:firstLineChars="0"/>
        <w:jc w:val="both"/>
      </w:pPr>
      <w:bookmarkStart w:id="7" w:name="_Toc32122"/>
      <w:bookmarkStart w:id="8" w:name="_Toc30156_WPSOffice_Level2"/>
      <w:bookmarkStart w:id="9" w:name="_Toc22681"/>
      <w:r>
        <w:rPr>
          <w:rFonts w:hint="eastAsia"/>
        </w:rPr>
        <w:t>第二节 生态修复工作成效</w:t>
      </w:r>
      <w:bookmarkEnd w:id="7"/>
      <w:bookmarkEnd w:id="8"/>
      <w:bookmarkEnd w:id="9"/>
    </w:p>
    <w:p w14:paraId="6642AB87">
      <w:pPr>
        <w:outlineLvl w:val="2"/>
        <w:rPr>
          <w:rFonts w:hint="eastAsia" w:ascii="仿宋" w:hAnsi="仿宋" w:eastAsia="仿宋" w:cs="仿宋"/>
          <w:b/>
          <w:bCs/>
          <w:sz w:val="28"/>
          <w:szCs w:val="28"/>
          <w:lang w:val="en-US" w:eastAsia="zh-CN"/>
        </w:rPr>
      </w:pPr>
      <w:bookmarkStart w:id="10" w:name="_Toc21922"/>
      <w:r>
        <w:rPr>
          <w:rFonts w:hint="eastAsia" w:ascii="仿宋" w:hAnsi="仿宋" w:eastAsia="仿宋" w:cs="仿宋"/>
          <w:b/>
          <w:bCs/>
          <w:sz w:val="28"/>
          <w:szCs w:val="28"/>
          <w:lang w:val="en-US" w:eastAsia="zh-CN"/>
        </w:rPr>
        <w:t>第2条矿山生态修复</w:t>
      </w:r>
      <w:bookmarkEnd w:id="10"/>
    </w:p>
    <w:p w14:paraId="4775506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sz w:val="28"/>
          <w:szCs w:val="28"/>
          <w:lang w:val="en-US" w:eastAsia="zh-CN"/>
        </w:rPr>
      </w:pPr>
      <w:r>
        <w:rPr>
          <w:rFonts w:hint="default" w:ascii="仿宋" w:hAnsi="仿宋" w:eastAsia="仿宋" w:cs="仿宋"/>
          <w:b/>
          <w:bCs/>
          <w:sz w:val="28"/>
          <w:szCs w:val="28"/>
          <w:lang w:val="en-US" w:eastAsia="zh-CN"/>
        </w:rPr>
        <w:t>矿山生态修复工作</w:t>
      </w:r>
    </w:p>
    <w:p w14:paraId="555CFC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核心目标：针对矿产资源开采活动导致的地质安全隐患、土地损毁和植被破坏等问题进行修复。</w:t>
      </w:r>
    </w:p>
    <w:p w14:paraId="2FBB78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主要措施：全力推进矿山地质环境恢复治理和土地复垦工作。</w:t>
      </w:r>
    </w:p>
    <w:p w14:paraId="704EE0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在上级部门指导下，坚持绿色矿业发展理念，综合考虑矿产资源开发、区域产业发展布局、矿山生态环境保护和生态文明建设，制定并实施相应的目标任务和政策措施。</w:t>
      </w:r>
    </w:p>
    <w:p w14:paraId="335DC5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严格遵循“谁开发谁保护，谁污染谁治理，谁破坏谁恢复”原则，加大矿山生态环境恢复治理和土地复垦力度，减少矿业活动对环境的污染和破坏。</w:t>
      </w:r>
    </w:p>
    <w:p w14:paraId="16F03A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截至2020年底，已完成9个废弃矿山的治理，总面积达25.34公顷。“三区两线”可视范围内的废弃矿山“青山挂白”状况基本得到治理。</w:t>
      </w:r>
    </w:p>
    <w:p w14:paraId="5E110AA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绿色矿山建设</w:t>
      </w:r>
    </w:p>
    <w:p w14:paraId="49FEDA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核心载体：以创建“绿色矿山”为载体，监督矿山企业严格执行“边开采，边治理”。</w:t>
      </w:r>
    </w:p>
    <w:p w14:paraId="32D109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指导与推进：大力营造绿色矿山创建氛围，加强对矿山企业的指导力度。</w:t>
      </w:r>
    </w:p>
    <w:p w14:paraId="35AD9B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指导矿山企业在矿区环境、资源开采、综合利用、节能减排、科技创新和企业管理与文化等方面按相关标准建设提升。</w:t>
      </w:r>
    </w:p>
    <w:p w14:paraId="0E2032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成功案例：上杭紫金山金铜矿成为国家级绿色矿山，通过坚持“开发一片、稳定一片、治理一片、成效一片”的原则，投入大量资金进行水土保持工程措施和植被恢复工作，成效显著。</w:t>
      </w:r>
    </w:p>
    <w:p w14:paraId="43C85E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紫金山金铜矿不仅是全国工业旅游示范点、首批国家矿山公园，还是国家级绿色矿山试点单位，为上杭县绿色矿业发展树立了标杆。</w:t>
      </w:r>
    </w:p>
    <w:p w14:paraId="315198F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创新模式与推广</w:t>
      </w:r>
    </w:p>
    <w:p w14:paraId="2FC690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探索模式：探索并实施“龙岩紫金山模式”，坚持生产、生活、生态“三生融合”，精准施策、科学修复，将废弃矿山打造成生态主题公园和生态宜居的国家“AAA”景区。</w:t>
      </w:r>
    </w:p>
    <w:p w14:paraId="1109F5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全国推广：该模式被国家发展改革委列为国家生态文明试验区改革模式，并在全国范围内推广。</w:t>
      </w:r>
    </w:p>
    <w:p w14:paraId="3CF0AB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t>综合整治：针对矿山无序开采导致的“青山挂白”“牛奶溪”等问题，实施了石板材行业整治攻坚战役，全面开展饰面石材矿点关闭打击整治和矿山复绿工作。</w:t>
      </w:r>
    </w:p>
    <w:p w14:paraId="11410007">
      <w:pPr>
        <w:outlineLvl w:val="2"/>
        <w:rPr>
          <w:rFonts w:hint="eastAsia" w:ascii="仿宋" w:hAnsi="仿宋" w:eastAsia="仿宋" w:cs="仿宋"/>
          <w:b/>
          <w:bCs/>
          <w:sz w:val="28"/>
          <w:szCs w:val="28"/>
          <w:lang w:val="en-US" w:eastAsia="zh-CN"/>
        </w:rPr>
      </w:pPr>
      <w:bookmarkStart w:id="11" w:name="_Toc10170"/>
      <w:r>
        <w:rPr>
          <w:rFonts w:hint="eastAsia" w:ascii="仿宋" w:hAnsi="仿宋" w:eastAsia="仿宋" w:cs="仿宋"/>
          <w:b/>
          <w:bCs/>
          <w:sz w:val="28"/>
          <w:szCs w:val="28"/>
          <w:lang w:val="en-US" w:eastAsia="zh-CN"/>
        </w:rPr>
        <w:t>第3条流域生态修复</w:t>
      </w:r>
      <w:bookmarkEnd w:id="11"/>
    </w:p>
    <w:p w14:paraId="1D0DE6E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水环境质量显著提升</w:t>
      </w:r>
    </w:p>
    <w:p w14:paraId="24F563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 集中式饮用水源地水质现状</w:t>
      </w:r>
    </w:p>
    <w:p w14:paraId="1EC173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监测情况：上杭县城区共有3处饮用水源地，包括横滩、石禾仓和铁东水库（后者为备用水源）。监测结果显示，2015-2020年期间，横滩和石禾仓饮用水源地水质均达到或优于《地表水环境质量标准》（GB3838-2002）中的Ⅲ类水标准，水质达标率为100%。</w:t>
      </w:r>
    </w:p>
    <w:p w14:paraId="0431D0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监测断面：在横滩水库和石禾仓水源设置了水质监测断面，由县环境监测站每月进行采样监测。</w:t>
      </w:r>
    </w:p>
    <w:p w14:paraId="54F7D97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 河流水质现状</w:t>
      </w:r>
    </w:p>
    <w:p w14:paraId="61D9E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质标准：上杭县主要河流包括汀江及其支流旧县河、黄潭河等，各监测断面严格遵循国家水质标准。汀江主干流李家坪大桥断面自2016年起执行Ⅱ类水标准，达标率为100%；其他主要流域断面均保持Ⅲ类水标准，水质平均达标率为100%。</w:t>
      </w:r>
    </w:p>
    <w:p w14:paraId="4821AD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改善情况：省控小流域考核断面水质逐年改善，2020年水质达标率达到100%，相比2016年有了显著提升。</w:t>
      </w:r>
    </w:p>
    <w:p w14:paraId="4198B72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水土流失治理成效显著</w:t>
      </w:r>
    </w:p>
    <w:p w14:paraId="154FE9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治理面积与投入：“十三五”期间，上杭县治理水土流失面积达到12278公顷，投入资金6921.73万元。</w:t>
      </w:r>
    </w:p>
    <w:p w14:paraId="123D2A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治理成效：水土流失率由6.73%下降至6.25%，生态环境得到显著改善。</w:t>
      </w:r>
    </w:p>
    <w:p w14:paraId="08ECBA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示范工程：多个项目被评为国家级水土保持示范工程，如紫金铜业有限公司年产20万吨铜冶炼项目、紫金山金铜矿联合开发项目等，展现了上杭县在水土保持方面的卓越成就。</w:t>
      </w:r>
    </w:p>
    <w:p w14:paraId="61FF1F5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畜禽养殖污染治理有力推进</w:t>
      </w:r>
    </w:p>
    <w:p w14:paraId="2EAC21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污染治理：成功创建省级畜牧业绿色发展示范县，全县畜禽粪污综合利用率和规模养殖场粪污处理设施装备配套率均达到90%以上。</w:t>
      </w:r>
    </w:p>
    <w:p w14:paraId="657A2E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基础设施：建立了3家畜禽动物无害化集中处理厂和6家有机肥厂，处理规模共计22万吨/日，有效促进了养殖废弃物的资源化利用。</w:t>
      </w:r>
    </w:p>
    <w:p w14:paraId="7C50A3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水质保护：2020年，汀江流域国控李家坪大桥断面水质达Ⅰ类～Ⅲ类比例为100%，显示出畜禽养殖污染治理的显著成效。</w:t>
      </w:r>
    </w:p>
    <w:p w14:paraId="1A8993B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信息化建设全面加强</w:t>
      </w:r>
    </w:p>
    <w:p w14:paraId="576021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河流治理系统：建立了全国中小河流治理项目管理系统，实现了项目的可视化管理、进展状态实时更新等功能，提升了项目管理的效率和透明度。</w:t>
      </w:r>
    </w:p>
    <w:p w14:paraId="27BB7A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河长制管理平台：构建了河长制管理信息平台，利用先进技术实现协同办公、信息共享、移动调度、远程监控等功能，为河流管理提供了强有力的技术支撑。</w:t>
      </w:r>
    </w:p>
    <w:p w14:paraId="24205E1D">
      <w:pPr>
        <w:outlineLvl w:val="2"/>
        <w:rPr>
          <w:rFonts w:hint="eastAsia" w:ascii="仿宋" w:hAnsi="仿宋" w:eastAsia="仿宋" w:cs="仿宋"/>
          <w:b/>
          <w:bCs/>
          <w:sz w:val="28"/>
          <w:szCs w:val="28"/>
          <w:lang w:val="en-US" w:eastAsia="zh-CN"/>
        </w:rPr>
      </w:pPr>
      <w:bookmarkStart w:id="12" w:name="_Toc8329"/>
      <w:r>
        <w:rPr>
          <w:rFonts w:hint="eastAsia" w:ascii="仿宋" w:hAnsi="仿宋" w:eastAsia="仿宋" w:cs="仿宋"/>
          <w:b/>
          <w:bCs/>
          <w:sz w:val="28"/>
          <w:szCs w:val="28"/>
          <w:lang w:val="en-US" w:eastAsia="zh-CN"/>
        </w:rPr>
        <w:t>第4条森林生态修复</w:t>
      </w:r>
      <w:bookmarkEnd w:id="12"/>
    </w:p>
    <w:p w14:paraId="47E079D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森林资源保护与造林绿化成果显著</w:t>
      </w:r>
    </w:p>
    <w:p w14:paraId="7A5F16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造林绿化成效：在“十三五”期间，上杭县高度重视林业生态建设，持续推进造林绿化工作。全县共完成植树造林8851公顷，超额完成上级下达的任务（129.97%），森林抚育面积达到25862公顷（完成率118.56%），封山育林22951公顷（完成率124.73%）。这些举措有效提升了森林覆盖率和蓄积量，为改善生态环境奠定了坚实基础。</w:t>
      </w:r>
    </w:p>
    <w:p w14:paraId="535E0D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森林覆盖率与蓄积量：经过五年的努力，上杭县的森林覆盖率提升至77.50%，森林蓄积量达到2047.9万立方米，比“十三五”规划目标（1696.1万立方米）增加了351.8万立方米。这一显著增长标志着上杭县在森林资源保护方面取得了重要成果。</w:t>
      </w:r>
    </w:p>
    <w:p w14:paraId="239EE26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森林资源管理制度与保护措施完善</w:t>
      </w:r>
    </w:p>
    <w:p w14:paraId="015E69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资源管理制度：上杭县严格落实森林资源分类管理制度，强化对生态公益林、森林公园和自然保护小区的管理。全县已划入生态林面积6116.67公顷，建立了116个自然保护小区，保护面积达到12065公顷，并设立了1个国家级森林公园，总面积为4894.92公顷。这些措施为森林资源的可持续利用提供了有力保障。</w:t>
      </w:r>
    </w:p>
    <w:p w14:paraId="49C809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执法力度加强：为打击破坏森林资源的违法犯罪行为，上杭县持续加强林业执法力度。自2016年以来至2023年9月，累计查处各类行政案件1256起（其中森林公安974起、林业执法大队282起），森林公安立案并破获森林刑事案件220起。这些举措有效维护了林区治安稳定，保障了林权所有者的合法权益。</w:t>
      </w:r>
    </w:p>
    <w:p w14:paraId="49C481C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生态宜居环境建设取得成效</w:t>
      </w:r>
    </w:p>
    <w:p w14:paraId="758E3B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宜居项目：上杭县积极开展村庄绿化和森林县城、森林城镇、森林村庄建设，努力打造生态宜居环境。全县已建成7个国家森林乡村和15个省级森林村庄，不仅提升了居民的生活质量，也增强了公众对生态保护的认同感和参与度。</w:t>
      </w:r>
    </w:p>
    <w:p w14:paraId="44B5C7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荣誉称号：由于在林业生态建设方面的突出表现，上杭县于2016年荣获“福建省森林县城”称号，2018年古田镇也获得了“福建省森林城镇”的荣誉称号。这些荣誉不仅是对上杭县林业生态建设工作的肯定，也为后续工作的开展提供了动力和示范效应。</w:t>
      </w:r>
    </w:p>
    <w:p w14:paraId="217410A7">
      <w:pPr>
        <w:outlineLvl w:val="2"/>
        <w:rPr>
          <w:rFonts w:hint="eastAsia" w:ascii="仿宋" w:hAnsi="仿宋" w:eastAsia="仿宋" w:cs="仿宋"/>
          <w:b/>
          <w:bCs/>
          <w:sz w:val="28"/>
          <w:szCs w:val="28"/>
          <w:lang w:val="en-US" w:eastAsia="zh-CN"/>
        </w:rPr>
      </w:pPr>
      <w:bookmarkStart w:id="13" w:name="_Toc18630"/>
      <w:r>
        <w:rPr>
          <w:rFonts w:hint="eastAsia" w:ascii="仿宋" w:hAnsi="仿宋" w:eastAsia="仿宋" w:cs="仿宋"/>
          <w:b/>
          <w:bCs/>
          <w:sz w:val="28"/>
          <w:szCs w:val="28"/>
          <w:lang w:val="en-US" w:eastAsia="zh-CN"/>
        </w:rPr>
        <w:t>第5条农田生态修复</w:t>
      </w:r>
      <w:bookmarkEnd w:id="13"/>
    </w:p>
    <w:p w14:paraId="0601CAE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土壤污染状况详查与监测网络建设</w:t>
      </w:r>
    </w:p>
    <w:p w14:paraId="408479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详查工作启动：自2017年起，上杭县积极响应国家号召，配合全国土壤污染状况详查工作，编制了详细的土壤污染防治工作方案，明确了治理与修复责任主体及工程规范。</w:t>
      </w:r>
    </w:p>
    <w:p w14:paraId="004F79A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监测网络建设：上杭县完成了土壤环境质量国控监测点位的设置，构建了全面的土壤环境监测网络，实现了对土壤污染状况的实时监测和数据收集，为污染防治提供了科学依据。</w:t>
      </w:r>
    </w:p>
    <w:p w14:paraId="770786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污染地块管理：逐步建立了污染地块名录及其开发利用负面清单，确保了受污染土地得到妥善管理和修复，防止了污染扩散和二次污染的发生。</w:t>
      </w:r>
    </w:p>
    <w:p w14:paraId="67E85D8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土壤污染防治行动计划实施</w:t>
      </w:r>
    </w:p>
    <w:p w14:paraId="010C78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2018年行动计划：2018年，上杭县全面实施了土壤污染防治行动计划，以保障农产品质量和人居环境安全为出发点，坚持预防为主、保护优先、风险管控的原则，对重点区域、行业和污染物进行了有力管控。</w:t>
      </w:r>
    </w:p>
    <w:p w14:paraId="19E0C4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风险防控试点：根据《福建省环境保护厅关于开展土壤污染风险防控试点工作的通知》要求，上杭县积极开展土壤污染风险防控试点，探索并实践了一系列有效的防控措施，为全省提供了可复制、可推广的土壤污染防控模式。</w:t>
      </w:r>
    </w:p>
    <w:p w14:paraId="14AC394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土壤污染治理与修复</w:t>
      </w:r>
    </w:p>
    <w:p w14:paraId="74E472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分类管理与治理：上杭县对农用地实行了分类管控制度，根据不同污染程度制定了相应的保护和治理措施。对于优先保护类耕地，加强了监测和保护；对于安全利用类耕地，实施了受污染耕地管理规划；对于严格管控类耕地，则采取了种植结构调整和退耕还林还草等措施。</w:t>
      </w:r>
    </w:p>
    <w:p w14:paraId="3C9A91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污染地块修复：针对受污染地块，上杭县采取了有效的治理与修复措施，恢复了土壤功能，减少了污染对环境和人类健康的影响。</w:t>
      </w:r>
    </w:p>
    <w:p w14:paraId="4440894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农业农村污染防治</w:t>
      </w:r>
    </w:p>
    <w:p w14:paraId="2FF75C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畜禽养殖污染治理：十三五期间，上杭县大力开展生猪养殖污染整治和畜禽粪污资源化利用工作，累计关闭拆除了大量非法和不符合环保要求的生猪养殖场户，完成了禁养区生猪养殖场户的拆除任务，并对保留猪场进行了标准化改造和污染隐患排查。全县畜禽粪污资源化利用配套率和利用率均达到了较高水平。</w:t>
      </w:r>
    </w:p>
    <w:p w14:paraId="00C45D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农业废弃物资源化利用：上杭县积极推广秸秆综合利用技术，提高了秸秆还田率；同时加强了废弃农膜和农药包装物的回收利用工作，减少了农业废弃物的环境污染。此外，还实施了肥药减量增效行动，有效降低了农药和化肥的使用量，提高了农业生产效率和环境友好性。</w:t>
      </w:r>
    </w:p>
    <w:p w14:paraId="6FD5B22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土壤污染防治机制创新</w:t>
      </w:r>
    </w:p>
    <w:p w14:paraId="1FCF77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防控治”新机制：2020年，上杭县深入贯彻落实《中华人民共和国土壤污染防治法》和《土壤污染防治行动计划》的要求，创新了土壤污染“防控治”新机制。通过明确全面掌握土壤环境质量状况、严格监管各类土壤污染源、加强农用地保护与安全利用等措施，全面改善和提升了土壤环境质量。</w:t>
      </w:r>
    </w:p>
    <w:p w14:paraId="2722E35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监管体系完善：进一步健全了土壤保护及污染防控管理体制机制，强化了土壤环境监管能力。通过建立健全的监管体系，确保了土壤污染防治工作的有效实施和持续推进。</w:t>
      </w:r>
    </w:p>
    <w:p w14:paraId="50709B00">
      <w:pPr>
        <w:outlineLvl w:val="2"/>
        <w:rPr>
          <w:rFonts w:hint="eastAsia" w:ascii="仿宋" w:hAnsi="仿宋" w:eastAsia="仿宋" w:cs="仿宋"/>
          <w:b/>
          <w:bCs/>
          <w:sz w:val="28"/>
          <w:szCs w:val="28"/>
          <w:lang w:val="en-US" w:eastAsia="zh-CN"/>
        </w:rPr>
      </w:pPr>
      <w:bookmarkStart w:id="14" w:name="_Toc14401"/>
      <w:r>
        <w:rPr>
          <w:rFonts w:hint="eastAsia" w:ascii="仿宋" w:hAnsi="仿宋" w:eastAsia="仿宋" w:cs="仿宋"/>
          <w:b/>
          <w:bCs/>
          <w:sz w:val="28"/>
          <w:szCs w:val="28"/>
          <w:lang w:val="en-US" w:eastAsia="zh-CN"/>
        </w:rPr>
        <w:t>第6条城镇生态修复</w:t>
      </w:r>
      <w:bookmarkEnd w:id="14"/>
    </w:p>
    <w:p w14:paraId="519D04A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湿地监测与保护</w:t>
      </w:r>
    </w:p>
    <w:p w14:paraId="102686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湿地资源概况：截至2020年末，上杭县湿地总面积达到4656公顷，共包含133块湿地斑块。其中，永久性河流湿地、洪泛平原湿地、库塘湿地及水产养殖场等多种类型湿地得到了有效监测和保护。</w:t>
      </w:r>
    </w:p>
    <w:p w14:paraId="50A6CA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监测机制：上杭县严格按照《福建省湿地保护中心关于上报湿地监测成果的通知》要求，对湿地资源进行全面监测，确保了湿地生态系统的健康稳定。</w:t>
      </w:r>
    </w:p>
    <w:p w14:paraId="347FB53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污水处理与循环利用</w:t>
      </w:r>
    </w:p>
    <w:p w14:paraId="6DECC3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基础设施建设：“十三五”期间，上杭县大力补齐水生态环境基础设施短板，完成了黑臭水体摸排和整治工作，并加快了污水处理厂及污水管网建设。目前，上杭县佳波污水处理厂日处理能力达到6万立方米，城区污水提升泵站规模不断扩大，有效提升了污水收集处理效能。</w:t>
      </w:r>
    </w:p>
    <w:p w14:paraId="63BF4A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工业与农业防治：工业水污染防治得到强化，蛟洋工业园区内企业污水接管率达到100%。同时，乡镇和农村生活污水治理工作也取得显著进展，通过“厕所革命”和PPP项目模式，新建改造了大量三格式化粪池，并对尾水进行纳管收集处理，乡镇污水处理率大幅提升。</w:t>
      </w:r>
    </w:p>
    <w:p w14:paraId="10D02ED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垃圾处理与资源化利用</w:t>
      </w:r>
    </w:p>
    <w:p w14:paraId="283F71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城乡垃圾处理体系：上杭县建立了完善的城乡垃圾处理体系，县城区生活垃圾由专业公司统一运营处理，乡镇生活垃圾则通过“村收集、乡（镇）转运、县（市）处理”的机制进行统一处理。同时，上杭县还积极推广垃圾分类工作，引导农民自觉缴纳垃圾清理费，提高了垃圾处理的效率和资源化利用水平。</w:t>
      </w:r>
    </w:p>
    <w:p w14:paraId="45FF85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垃圾焚烧发电项目：总投资3.8亿元的生活垃圾焚烧发电厂项目已开工建设，该项目将进一步提升上杭县垃圾处理能力和资源化利用水平。</w:t>
      </w:r>
    </w:p>
    <w:p w14:paraId="4B14419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生态文明建设成效</w:t>
      </w:r>
    </w:p>
    <w:p w14:paraId="434DBCA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绿地与公园建设：至2020年，上杭县绿地率、人均绿地面积、人均公园绿地面积等指标均达到较高水平，城镇生态环境显著改善。</w:t>
      </w:r>
    </w:p>
    <w:p w14:paraId="3C7A92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荣誉称号：上杭县因在生态文明建设方面的突出表现，于2019年荣获“国家园林县城”称号，这既是对上杭县生态文明建设工作的肯定，也为未来的发展提供了强大的动力。</w:t>
      </w:r>
    </w:p>
    <w:p w14:paraId="42B4D5CD">
      <w:pPr>
        <w:pStyle w:val="3"/>
        <w:bidi w:val="0"/>
        <w:ind w:left="0" w:leftChars="0" w:firstLine="0" w:firstLineChars="0"/>
        <w:jc w:val="both"/>
      </w:pPr>
      <w:bookmarkStart w:id="15" w:name="_Toc4269"/>
      <w:bookmarkStart w:id="16" w:name="_Toc19320"/>
      <w:bookmarkStart w:id="17" w:name="_Toc21237_WPSOffice_Level2"/>
      <w:r>
        <w:rPr>
          <w:rFonts w:hint="eastAsia"/>
        </w:rPr>
        <w:t>第三节 机遇与挑战</w:t>
      </w:r>
      <w:bookmarkEnd w:id="15"/>
      <w:bookmarkEnd w:id="16"/>
      <w:bookmarkEnd w:id="17"/>
    </w:p>
    <w:p w14:paraId="072520A0">
      <w:pPr>
        <w:outlineLvl w:val="2"/>
        <w:rPr>
          <w:rFonts w:hint="eastAsia" w:ascii="仿宋" w:hAnsi="仿宋" w:eastAsia="仿宋" w:cs="仿宋"/>
          <w:b/>
          <w:bCs/>
          <w:sz w:val="28"/>
          <w:szCs w:val="28"/>
          <w:lang w:val="en-US" w:eastAsia="zh-CN"/>
        </w:rPr>
      </w:pPr>
      <w:bookmarkStart w:id="18" w:name="_Toc13442"/>
      <w:r>
        <w:rPr>
          <w:rFonts w:hint="eastAsia" w:ascii="仿宋" w:hAnsi="仿宋" w:eastAsia="仿宋" w:cs="仿宋"/>
          <w:b/>
          <w:bCs/>
          <w:sz w:val="28"/>
          <w:szCs w:val="28"/>
          <w:lang w:val="en-US" w:eastAsia="zh-CN"/>
        </w:rPr>
        <w:t>第7条面临机遇</w:t>
      </w:r>
      <w:bookmarkEnd w:id="18"/>
    </w:p>
    <w:p w14:paraId="02AA7FB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习近平生态文明思想的引领</w:t>
      </w:r>
    </w:p>
    <w:p w14:paraId="60D8C5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核心引领：作为习近平生态文明思想的重要孕育地和实践地，上杭县得到了总书记的高度关注和指导。总书记曾多次到访闽西地区，对长汀水土流失治理、福建集体林权制度改革等生态环保工作作出重要批示和指示，为新时期上杭县的生态文明建设工作指明了方向。</w:t>
      </w:r>
    </w:p>
    <w:p w14:paraId="0DACF8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战略意义：习近平生态文明思想的深入贯彻，将确保上杭县在生态环境保护与经济发展之间找到最佳平衡点，推动区域实现绿色、可持续的发展。</w:t>
      </w:r>
    </w:p>
    <w:p w14:paraId="0F2B151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红色古邑与生态福地的双重优势</w:t>
      </w:r>
    </w:p>
    <w:p w14:paraId="09EF2A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历史底蕴：上杭县不仅是革命老区，更是中国共产党确立思想建党、政治建军原则的重要地点。古田会议和才溪乡调查等历史事件赋予了上杭县深厚的红色文化底蕴，也为其生态环境保护工作提供了独特的历史支撑。</w:t>
      </w:r>
    </w:p>
    <w:p w14:paraId="0DA6E5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政策支持：中央和福建省委、省政府对闽西老区的高度重视，以及出台的一系列支持政策，如《关于新时代支持革命老区振兴发展的意见》，为上杭县的生态环保工作提供了强有力的政策保障和资金支持。</w:t>
      </w:r>
    </w:p>
    <w:p w14:paraId="381F2A8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环保法制的逐步完善</w:t>
      </w:r>
    </w:p>
    <w:p w14:paraId="3A3928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法律体系：随着新《环境保护法》、《大气污染防治法》等一系列环保法律的实施，以及《大气污染防治行动计划》、《水污染防治行动计划》等政策的出台，中国已经形成了较为完善的生态环境法律法规体系。</w:t>
      </w:r>
    </w:p>
    <w:p w14:paraId="4C036E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执法保障：环保法制的健全为依法治污提供了有力保障，通过严格的执法监管，可以更有效地打击环境违法行为，推动环境质量的持续改善。</w:t>
      </w:r>
    </w:p>
    <w:p w14:paraId="358FA6E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科技革命的驱动作用</w:t>
      </w:r>
    </w:p>
    <w:p w14:paraId="63CF49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技术革新：5G、人工智能、物联网、大数据、区块链等信息技术的快速发展，为上杭县的生态环境保护工作提供了强大的技术支持。这些新技术可以帮助提高环境监测的准确性和效率，优化污染治理方案，推动环保产业的创新发展。</w:t>
      </w:r>
    </w:p>
    <w:p w14:paraId="1BC7E7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结构优化：新一轮科技革命和产业变革将推动上杭县经济社会发展向高质量高效益转变，进一步优化产业结构和发展方式，减少污染物排放，促进绿色发展。</w:t>
      </w:r>
    </w:p>
    <w:p w14:paraId="7A43F11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公众环保意识的提升</w:t>
      </w:r>
    </w:p>
    <w:p w14:paraId="453C34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全民参与：“绿水青山就是金山银山”、“山水林田湖草是生命共同体”等理念已经深入人心，公众对生态环境保护的重视程度不断提高。这种全民参与的环保氛围有助于形成共商共建、共治共享的良好机制，推动上杭县生态环境质量的持续提升。</w:t>
      </w:r>
    </w:p>
    <w:p w14:paraId="3141C9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自觉行动：随着生态文明意识的普及和提高，越来越多的人开始将环保理念转化为实际行动，积极参与到各种环保活动中来，为上杭县的生态环境保护工作注入了新的活力和动力。</w:t>
      </w:r>
    </w:p>
    <w:p w14:paraId="16D26D04">
      <w:pPr>
        <w:outlineLvl w:val="2"/>
        <w:rPr>
          <w:rFonts w:hint="eastAsia" w:ascii="仿宋" w:hAnsi="仿宋" w:eastAsia="仿宋" w:cs="仿宋"/>
          <w:b/>
          <w:bCs/>
          <w:sz w:val="28"/>
          <w:szCs w:val="28"/>
          <w:lang w:val="en-US" w:eastAsia="zh-CN"/>
        </w:rPr>
      </w:pPr>
      <w:bookmarkStart w:id="19" w:name="_Toc7332"/>
      <w:r>
        <w:rPr>
          <w:rFonts w:hint="eastAsia" w:ascii="仿宋" w:hAnsi="仿宋" w:eastAsia="仿宋" w:cs="仿宋"/>
          <w:b/>
          <w:bCs/>
          <w:sz w:val="28"/>
          <w:szCs w:val="28"/>
          <w:lang w:val="en-US" w:eastAsia="zh-CN"/>
        </w:rPr>
        <w:t>第8条存在挑战</w:t>
      </w:r>
      <w:bookmarkEnd w:id="19"/>
    </w:p>
    <w:p w14:paraId="4FBAB3E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经济下行压力增加统筹发展与保护的难度</w:t>
      </w:r>
    </w:p>
    <w:p w14:paraId="5C1C81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经济压力：国内经济社会发展面临诸多困难和不确定性，经济下行压力未减。在此背景下，传统高耗能行业规模扩张较快，而新动能培育相对不足。这导致在经济恢复期，大量停摆、蛰伏的产能和产品生产会在短时间内集中快速恢复性增长，进而给生态环境带来更大的反弹压力。</w:t>
      </w:r>
    </w:p>
    <w:p w14:paraId="507C53B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统筹难度：如何在经济发展与环境保护之间找到平衡点，是上杭县面临的一大挑战。既要保证经济稳定增长，又要确保生态环境质量的持续改善，这需要制定科学合理的政策和措施。</w:t>
      </w:r>
    </w:p>
    <w:p w14:paraId="743CB4F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生态环境质量改善成效未稳，生态保护性发展压力重</w:t>
      </w:r>
    </w:p>
    <w:p w14:paraId="613BFF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高质量要求：随着生活水平的提高，老百姓对生态环境质量的要求也越来越高，对生态环境问题的容忍度降低。这要求上杭县在生态环境保护方面不能有丝毫松懈，必须持续努力保持生态环境质量的高位运行。</w:t>
      </w:r>
    </w:p>
    <w:p w14:paraId="6BC86F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基础设施薄弱：尽管上杭县在环保基础设施方面取得了一定进展，但仍存在不少薄弱环节。工业园区众多，对周边水、大气、土壤等环境存在不同程度的影响，部分流域断面水质未达到优于Ⅲ类水质标准，小流域水质改善尚不全面。</w:t>
      </w:r>
    </w:p>
    <w:p w14:paraId="64F9B2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长期性难题：城市扬尘、臭气扰民等长期性生态环境问题亟待解决，这些问题直接关系到老百姓的日常生活质量，必须引起高度重视。</w:t>
      </w:r>
    </w:p>
    <w:p w14:paraId="1E0D0E2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生态环境领域风险仍然存在，安全压力高</w:t>
      </w:r>
    </w:p>
    <w:p w14:paraId="1EC95E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业开采问题：上杭县矿业开采历史悠久，为社会经济发展做出了巨大贡献，但同时也留下了诸多地质环境问题。采矿作业及修筑矿山道路对地形地貌、地表植被、土壤及岩层造成强烈破坏，导致大面积山体裸露，引发水土流失等生态问题。</w:t>
      </w:r>
    </w:p>
    <w:p w14:paraId="5000F2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地质灾害风险：露天采矿区开采面边坡陡、高差大，容易形成高陡边坡，存在潜在的边坡崩塌、掉块、滑坡等地质灾害风险。这些风险不仅威胁到生态环境的安全，也对周边居民的生命财产安全构成威胁。</w:t>
      </w:r>
    </w:p>
    <w:p w14:paraId="5C52A84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生态环境治理手段单一，治理能力现代化不足</w:t>
      </w:r>
    </w:p>
    <w:p w14:paraId="2DDBB7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治理手段局限：当前上杭县的生态环境治理手段相对单一，缺乏多样化的治理措施和手段。这导致在面对复杂多变的生态环境问题时，往往难以取得理想的治理效果。</w:t>
      </w:r>
    </w:p>
    <w:p w14:paraId="2CD178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智慧环保建设不足：随着信息技术的发展，智慧环保已成为生态环境治理的重要趋势。然而上杭县在智慧环保建设方面还存在不足，需要进一步加强相关技术和手段的应用和推广。</w:t>
      </w:r>
    </w:p>
    <w:p w14:paraId="16B8BB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执法力度与队伍建设：在生态环境保护过程中，执法力度和队伍建设也是关键因素。近年来松材线虫病防控形势严峻，一些地方乱砍滥伐林木、乱捕滥猎野生动物等破坏森林资源现象时有发生。这要求相关部门加大执法力度和队伍建设力度，确保生态环境得到有效保护。</w:t>
      </w:r>
    </w:p>
    <w:p w14:paraId="70B21F8E">
      <w:pPr>
        <w:numPr>
          <w:ilvl w:val="0"/>
          <w:numId w:val="0"/>
        </w:numPr>
        <w:jc w:val="both"/>
        <w:outlineLvl w:val="0"/>
        <w:rPr>
          <w:rFonts w:hint="eastAsia" w:ascii="宋体" w:hAnsi="宋体" w:eastAsia="宋体" w:cs="宋体"/>
          <w:b/>
          <w:bCs/>
          <w:kern w:val="44"/>
          <w:sz w:val="36"/>
          <w:szCs w:val="44"/>
          <w:lang w:val="en-US" w:eastAsia="zh-CN" w:bidi="ar-SA"/>
        </w:rPr>
      </w:pPr>
      <w:r>
        <w:rPr>
          <w:rFonts w:hint="eastAsia" w:ascii="宋体" w:hAnsi="宋体" w:eastAsia="宋体" w:cs="宋体"/>
          <w:b/>
          <w:bCs/>
          <w:kern w:val="44"/>
          <w:sz w:val="36"/>
          <w:szCs w:val="44"/>
          <w:lang w:val="en-US" w:eastAsia="zh-CN" w:bidi="ar-SA"/>
        </w:rPr>
        <w:t>第二章</w:t>
      </w:r>
      <w:bookmarkStart w:id="20" w:name="_Toc6281"/>
      <w:bookmarkStart w:id="21" w:name="_Toc4875"/>
      <w:r>
        <w:rPr>
          <w:rFonts w:hint="eastAsia" w:ascii="宋体" w:hAnsi="宋体" w:eastAsia="宋体" w:cs="宋体"/>
          <w:b/>
          <w:bCs/>
          <w:kern w:val="44"/>
          <w:sz w:val="36"/>
          <w:szCs w:val="44"/>
          <w:lang w:val="en-US" w:eastAsia="zh-CN" w:bidi="ar-SA"/>
        </w:rPr>
        <w:t xml:space="preserve"> 生态现状与主要问题</w:t>
      </w:r>
      <w:bookmarkEnd w:id="20"/>
      <w:bookmarkEnd w:id="21"/>
    </w:p>
    <w:p w14:paraId="0D83F371">
      <w:pPr>
        <w:ind w:firstLine="0" w:firstLineChars="0"/>
        <w:outlineLvl w:val="1"/>
        <w:rPr>
          <w:rFonts w:asciiTheme="minorHAnsi" w:hAnsiTheme="minorHAnsi"/>
          <w:sz w:val="28"/>
          <w:szCs w:val="28"/>
        </w:rPr>
      </w:pPr>
      <w:bookmarkStart w:id="22" w:name="_Toc2395"/>
      <w:bookmarkStart w:id="23" w:name="_Toc14955"/>
      <w:r>
        <w:rPr>
          <w:rFonts w:hint="eastAsia" w:ascii="宋体" w:hAnsi="宋体" w:eastAsia="宋体" w:cs="宋体"/>
          <w:b/>
          <w:bCs/>
          <w:sz w:val="28"/>
          <w:szCs w:val="28"/>
        </w:rPr>
        <w:t>第一节 基础分析</w:t>
      </w:r>
      <w:bookmarkEnd w:id="22"/>
      <w:bookmarkEnd w:id="23"/>
      <w:r>
        <w:rPr>
          <w:rFonts w:hint="eastAsia" w:asciiTheme="minorHAnsi" w:hAnsiTheme="minorHAnsi"/>
          <w:sz w:val="28"/>
          <w:szCs w:val="28"/>
        </w:rPr>
        <w:t xml:space="preserve"> </w:t>
      </w:r>
    </w:p>
    <w:p w14:paraId="027EC551">
      <w:pPr>
        <w:outlineLvl w:val="2"/>
        <w:rPr>
          <w:rFonts w:hint="eastAsia" w:ascii="仿宋" w:hAnsi="仿宋" w:eastAsia="仿宋" w:cs="仿宋"/>
          <w:b/>
          <w:bCs/>
          <w:sz w:val="28"/>
          <w:szCs w:val="28"/>
          <w:lang w:val="en-US" w:eastAsia="zh-CN"/>
        </w:rPr>
      </w:pPr>
      <w:bookmarkStart w:id="24" w:name="_Toc15551"/>
      <w:r>
        <w:rPr>
          <w:rFonts w:hint="eastAsia" w:ascii="仿宋" w:hAnsi="仿宋" w:eastAsia="仿宋" w:cs="仿宋"/>
          <w:b/>
          <w:bCs/>
          <w:sz w:val="28"/>
          <w:szCs w:val="28"/>
          <w:lang w:val="en-US" w:eastAsia="zh-CN"/>
        </w:rPr>
        <w:t>第9条自然地理</w:t>
      </w:r>
      <w:bookmarkEnd w:id="24"/>
    </w:p>
    <w:p w14:paraId="013D4CA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地理位置</w:t>
      </w:r>
    </w:p>
    <w:p w14:paraId="31B1FCF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上杭县位于福建省西南部，北接长汀县、连城县，南接永定区和广东省蕉岭县，东临新罗区，西与武平县接壤。地理坐标介于东经116°15′50″至116°56′47″，北纬24°46′02″至25°27′47″之间。</w:t>
      </w:r>
    </w:p>
    <w:p w14:paraId="26A303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总面积：上杭县总面积约为2879平方千米。</w:t>
      </w:r>
    </w:p>
    <w:p w14:paraId="5D24ED9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地形地貌</w:t>
      </w:r>
    </w:p>
    <w:p w14:paraId="622863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地势特点：上杭县地势由东北向西南倾斜，地形以中低山和低山为主，少部分为丘陵。境内最高峰为梅花山，海拔达1778米。</w:t>
      </w:r>
    </w:p>
    <w:p w14:paraId="6701FE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山脉分布：旧县河以东属玳瑁山脉主体，以西则属武夷山脉南段东侧。地形切割较强，相对高差悬殊，一般相对高差在200至800米之间，部分地区超过千米。</w:t>
      </w:r>
    </w:p>
    <w:p w14:paraId="6C922FD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水系特征</w:t>
      </w:r>
    </w:p>
    <w:p w14:paraId="2DA31C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水系发育：上杭县水系发达，沟谷纵横，河流总体呈树枝状展布。</w:t>
      </w:r>
    </w:p>
    <w:p w14:paraId="3D72BA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主要河流：境内最大的河流为汀江，全长85千米。主要支流包括旧县河、黄潭河、才溪、元丰溪、濑溪、安乡溪、下都溪等。</w:t>
      </w:r>
    </w:p>
    <w:p w14:paraId="0C512BA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交通网络</w:t>
      </w:r>
    </w:p>
    <w:p w14:paraId="00CF0C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交通方式：上杭县的交通以公路为主，辅以铁路和水运。</w:t>
      </w:r>
    </w:p>
    <w:p w14:paraId="357AF2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主干公路：包括龙（岩）—长（汀）高速公路、国道205线、国道319线和省道206线。</w:t>
      </w:r>
    </w:p>
    <w:p w14:paraId="368AAA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支线公路：有众多通往各乡镇、村的支线或简易公路，部分已延伸至邻县。</w:t>
      </w:r>
    </w:p>
    <w:p w14:paraId="78D8C4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铁路：赣—龙铁路斜贯上杭县东北部。</w:t>
      </w:r>
    </w:p>
    <w:p w14:paraId="2F60EF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水运：汀江可部分通航。</w:t>
      </w:r>
    </w:p>
    <w:p w14:paraId="61C8BC2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自然资源</w:t>
      </w:r>
    </w:p>
    <w:p w14:paraId="0557A3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林业资源：上杭县是南方林区重点县，林业资源丰富，特别是梅花山自然保护区（境内面积7400公顷）内拥有诸多珍稀动植物。</w:t>
      </w:r>
    </w:p>
    <w:p w14:paraId="7C9D8C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矿产资源：上杭县矿产资源丰富，矿业发展迅速。主要矿产包括金、石灰石、锰、铜、硫铁、铁、钨、萤石、稀土、铅锌等。紫金山金铜矿是我国重要的贵金属基地。</w:t>
      </w:r>
    </w:p>
    <w:p w14:paraId="714FDA0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经济发展</w:t>
      </w:r>
    </w:p>
    <w:p w14:paraId="509D52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工业发展：改革开放以来，上杭县工矿企业发展迅速，陆续建有水电厂、水泥厂、化肥厂、竹木制品加工厂等。</w:t>
      </w:r>
    </w:p>
    <w:p w14:paraId="2D8FA4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主导产业：矿业是上杭县的支柱产业之一，紫金山金铜矿等大型矿山的开发和运营对当地经济发展起到了重要推动作用。</w:t>
      </w:r>
    </w:p>
    <w:p w14:paraId="175D8684">
      <w:pPr>
        <w:outlineLvl w:val="2"/>
        <w:rPr>
          <w:rFonts w:hint="eastAsia" w:ascii="仿宋" w:hAnsi="仿宋" w:eastAsia="仿宋" w:cs="仿宋"/>
          <w:b/>
          <w:bCs/>
          <w:sz w:val="28"/>
          <w:szCs w:val="28"/>
          <w:lang w:val="en-US" w:eastAsia="zh-CN"/>
        </w:rPr>
      </w:pPr>
      <w:bookmarkStart w:id="25" w:name="_Toc17354"/>
      <w:r>
        <w:rPr>
          <w:rFonts w:hint="eastAsia" w:ascii="仿宋" w:hAnsi="仿宋" w:eastAsia="仿宋" w:cs="仿宋"/>
          <w:b/>
          <w:bCs/>
          <w:sz w:val="28"/>
          <w:szCs w:val="28"/>
          <w:lang w:val="en-US" w:eastAsia="zh-CN"/>
        </w:rPr>
        <w:t>第10条生态现状</w:t>
      </w:r>
      <w:bookmarkEnd w:id="25"/>
    </w:p>
    <w:p w14:paraId="0DCD0FF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矿产资源丰富，开采利用合理</w:t>
      </w:r>
    </w:p>
    <w:p w14:paraId="731290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是全省乃至全国范围内重要的有色和贵金属矿产地之一，矿产资源种类繁多，储量可观。已探明的矿种包括金、铜、铀、稀土、铁、锰、铅锌、石灰石等43种，潜在经济价值巨大。这些矿产资源的合理开发和利用，不仅促进了当地经济的快速增长，也为国家能源和原材料供应做出了重要贡献。</w:t>
      </w:r>
    </w:p>
    <w:p w14:paraId="4A7F8BB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森林覆盖率高，生态环境良好</w:t>
      </w:r>
    </w:p>
    <w:p w14:paraId="266967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上杭县作为福建省的森林县城，拥有广阔的林地面积和较高的森林覆盖率。</w:t>
      </w:r>
      <w:r>
        <w:rPr>
          <w:rFonts w:hint="eastAsia" w:ascii="仿宋" w:hAnsi="仿宋" w:eastAsia="仿宋" w:cs="仿宋"/>
          <w:b w:val="0"/>
          <w:bCs w:val="0"/>
          <w:sz w:val="28"/>
          <w:szCs w:val="28"/>
          <w:lang w:val="en-US" w:eastAsia="zh-CN"/>
        </w:rPr>
        <w:t>截止2021年，</w:t>
      </w:r>
      <w:r>
        <w:rPr>
          <w:rFonts w:hint="default" w:ascii="仿宋" w:hAnsi="仿宋" w:eastAsia="仿宋" w:cs="仿宋"/>
          <w:b w:val="0"/>
          <w:bCs w:val="0"/>
          <w:sz w:val="28"/>
          <w:szCs w:val="28"/>
          <w:lang w:val="en-US" w:eastAsia="zh-CN"/>
        </w:rPr>
        <w:t>全县森林覆盖率达到77.28%，林业资源丰富，是当地的一大绿色优势和生态屏障。政府通过实施绿化美化宜居工程，建设国家森林乡村和省级森林村庄，进一步提升了县域内的生态环境质量。同时，建立了多个自然保护小区和国家级森林公园，有效保护了生物多样性。</w:t>
      </w:r>
    </w:p>
    <w:p w14:paraId="35B9BD6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水资源丰富，水质优良</w:t>
      </w:r>
    </w:p>
    <w:p w14:paraId="7B660F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年降水量充沛，水系发达，境内主要河流如汀江、旧县河、黄潭河等水质优良，为当地居民提供了充足的生活和生产用水。全县多年平均水资源量达到29.92亿立方米，人均水资源量丰富。各主要河流断面水质监测结果显示，水质普遍达到或优于地表水环境质量标准，展现了上杭县在水资源保护方面的显著成效。</w:t>
      </w:r>
    </w:p>
    <w:p w14:paraId="59F17DB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农田生态系统稳定，耕地质量逐步提升</w:t>
      </w:r>
    </w:p>
    <w:p w14:paraId="7044DA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的耕地类型以水田为主，分布相对零散但总量稳定。近年来，政府加大了对农田基础设施和水利建设的投入，新建和修复了一批高标准水渠和灌溉设施，有效提高了农田的灌溉效率和排水能力。同时，通过实施耕地地力保护补贴政策等措施，激励农民积极投入农业生产并注重耕地质量的提升，从而促进了农田生态系统的持续稳定发展。</w:t>
      </w:r>
    </w:p>
    <w:p w14:paraId="426B38B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农村生态建设成效显著</w:t>
      </w:r>
    </w:p>
    <w:p w14:paraId="647504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委、县政府高度重视农村生态建设，通过实施农村“家园清洁行动”和“全县小流域”整治等一系列工程，显著改善了农村人居环境。植树造林、绿化美化等项目的推进不仅美化了乡村景观还提升了生态系统的稳定性和自我恢复能力。这些举措为构建美丽乡村、促进农业可持续发展奠定了坚实基础。</w:t>
      </w:r>
    </w:p>
    <w:p w14:paraId="1E72BB7F">
      <w:pPr>
        <w:ind w:firstLine="0" w:firstLineChars="0"/>
        <w:outlineLvl w:val="1"/>
        <w:rPr>
          <w:rFonts w:ascii="宋体" w:hAnsi="宋体" w:eastAsia="宋体" w:cs="宋体"/>
          <w:b/>
          <w:bCs/>
          <w:sz w:val="28"/>
          <w:szCs w:val="28"/>
        </w:rPr>
      </w:pPr>
      <w:bookmarkStart w:id="26" w:name="_Toc23102"/>
      <w:bookmarkStart w:id="27" w:name="_Toc29381"/>
      <w:bookmarkStart w:id="28" w:name="_Toc10763_WPSOffice_Level2"/>
      <w:r>
        <w:rPr>
          <w:rFonts w:hint="eastAsia" w:ascii="宋体" w:hAnsi="宋体" w:eastAsia="宋体" w:cs="宋体"/>
          <w:b/>
          <w:bCs/>
          <w:sz w:val="28"/>
          <w:szCs w:val="28"/>
        </w:rPr>
        <w:t>第二节 主要生态问题</w:t>
      </w:r>
      <w:bookmarkEnd w:id="26"/>
      <w:bookmarkEnd w:id="27"/>
      <w:bookmarkEnd w:id="28"/>
    </w:p>
    <w:p w14:paraId="0305C03C">
      <w:pPr>
        <w:outlineLvl w:val="2"/>
        <w:rPr>
          <w:rFonts w:hint="eastAsia" w:ascii="仿宋" w:hAnsi="仿宋" w:eastAsia="仿宋" w:cs="仿宋"/>
          <w:b/>
          <w:bCs/>
          <w:sz w:val="28"/>
          <w:szCs w:val="28"/>
          <w:lang w:val="en-US" w:eastAsia="zh-CN"/>
        </w:rPr>
      </w:pPr>
      <w:bookmarkStart w:id="29" w:name="_Toc3817"/>
      <w:r>
        <w:rPr>
          <w:rFonts w:hint="eastAsia" w:ascii="仿宋" w:hAnsi="仿宋" w:eastAsia="仿宋" w:cs="仿宋"/>
          <w:b/>
          <w:bCs/>
          <w:sz w:val="28"/>
          <w:szCs w:val="28"/>
          <w:lang w:val="en-US" w:eastAsia="zh-CN"/>
        </w:rPr>
        <w:t>第11条矿山生态问题</w:t>
      </w:r>
      <w:bookmarkEnd w:id="29"/>
    </w:p>
    <w:p w14:paraId="3E0D655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废弃矿山的水土流失问题</w:t>
      </w:r>
    </w:p>
    <w:p w14:paraId="61DEF8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形成原因：部分矿山由于历史上的无序盗采，导致矿区地表裸露，植被破坏严重。裸露的地表在雨水冲刷下极易发生水土流失，形成侵蚀沟，地表支离破碎。</w:t>
      </w:r>
    </w:p>
    <w:p w14:paraId="14AC0A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具体表现：废弃矿区的裸露边坡不规则，土质坡面情况复杂，缺土、缺水，边坡安全稳定性差。这些因素导致植被难以自然恢复，水土流失严重。</w:t>
      </w:r>
    </w:p>
    <w:p w14:paraId="1F4350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影响：水土流失不仅影响了当地居民的生活安全，还对周边环境造成了严重破坏，加剧了区域生态退化。</w:t>
      </w:r>
    </w:p>
    <w:p w14:paraId="546415A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固废污染问题</w:t>
      </w:r>
    </w:p>
    <w:p w14:paraId="7DB5CF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主要污染源：矿山固体废物污染主要来源于尾矿与废弃土石。这些固体废弃物被随意倾倒，不仅破坏地貌景观，还容易淤塞河道，引发水患。</w:t>
      </w:r>
    </w:p>
    <w:p w14:paraId="1C6BAF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污染机制：尾矿及弃土、弃渣中含有重金属、有机物及其他有毒有害物质。这些物质在雨水冲刷和淋滤作用下，逐渐释放到周边水体和土壤中，造成严重的环境污染。</w:t>
      </w:r>
    </w:p>
    <w:p w14:paraId="101E44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影响：固废污染不仅破坏自然景观，还严重影响周边水体和土壤的质量，对生态系统和人类健康构成威胁。</w:t>
      </w:r>
    </w:p>
    <w:p w14:paraId="016CD2F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大气污染问题</w:t>
      </w:r>
    </w:p>
    <w:p w14:paraId="76872B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主要污染源：上杭县露天开采矿山占比较大，这些矿山在生产过程中会产生大量粉尘。</w:t>
      </w:r>
    </w:p>
    <w:p w14:paraId="06943E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污染环节：露天开采的各个环节，包括穿孔、爆破、铲装、运输、破碎、排土等，均会产生粉尘污染。</w:t>
      </w:r>
    </w:p>
    <w:p w14:paraId="11ED5A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具体表现：生产过程中产生的大量粉尘悬浮在空气中，不仅污染了周边大气环境，还影响了附近居民的身体健康。此外，选矿和冶炼过程中产生的硫化物等有害物质，如遇降水还可能形成酸雨，进一步加剧大气污染。</w:t>
      </w:r>
    </w:p>
    <w:p w14:paraId="3694ED5E">
      <w:pPr>
        <w:outlineLvl w:val="2"/>
        <w:rPr>
          <w:rFonts w:hint="eastAsia" w:ascii="仿宋" w:hAnsi="仿宋" w:eastAsia="仿宋" w:cs="仿宋"/>
          <w:b/>
          <w:bCs/>
          <w:sz w:val="28"/>
          <w:szCs w:val="28"/>
          <w:lang w:val="en-US" w:eastAsia="zh-CN"/>
        </w:rPr>
      </w:pPr>
      <w:bookmarkStart w:id="30" w:name="_Toc7923"/>
      <w:r>
        <w:rPr>
          <w:rFonts w:hint="eastAsia" w:ascii="仿宋" w:hAnsi="仿宋" w:eastAsia="仿宋" w:cs="仿宋"/>
          <w:b/>
          <w:bCs/>
          <w:sz w:val="28"/>
          <w:szCs w:val="28"/>
          <w:lang w:val="en-US" w:eastAsia="zh-CN"/>
        </w:rPr>
        <w:t>第12条水流域生态问题</w:t>
      </w:r>
      <w:bookmarkEnd w:id="30"/>
    </w:p>
    <w:p w14:paraId="6AC74F0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水土流失现状</w:t>
      </w:r>
    </w:p>
    <w:p w14:paraId="37ECC7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类型与分布：按全国水土流失类型区划分，上杭县属于南方红壤丘陵区，水土流失类型主要以水力侵蚀为主。</w:t>
      </w:r>
    </w:p>
    <w:p w14:paraId="5D4EE0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面积与比例：截至2020年底，全县水土流失总面积为182.51平方公里，占全县土地总面积的6.39%。其中，不同程度的水土流失面积分布如下：</w:t>
      </w:r>
    </w:p>
    <w:p w14:paraId="5E04AB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轻度流失：120.81平方公里，占水土流失总面积的66.20%。</w:t>
      </w:r>
    </w:p>
    <w:p w14:paraId="16811F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中度流失：44.57平方公里，占水土流失总面积的24.42%。</w:t>
      </w:r>
    </w:p>
    <w:p w14:paraId="67B8B3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强烈流失：7.70平方公里，占水土流失总面积的4.22%。</w:t>
      </w:r>
    </w:p>
    <w:p w14:paraId="672A21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极强烈流失：9.42平方公里，占水土流失总面积的5.16%。</w:t>
      </w:r>
    </w:p>
    <w:p w14:paraId="419B74F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剧烈流失：0.01平方公里，占水土流失总面积的0.01%。</w:t>
      </w:r>
    </w:p>
    <w:p w14:paraId="29244B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治理难点：强烈流失、极强烈流失和剧烈流失区域的水土保持工作难度较大，需要采取更为严格的治理措施。</w:t>
      </w:r>
    </w:p>
    <w:p w14:paraId="6672E13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水环境质量问题及成因</w:t>
      </w:r>
    </w:p>
    <w:p w14:paraId="0B9678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水环境质量的恶化影响：水环境质量的恶化不仅影响当地生态系统的稳定性，还对居民生活和经济发展带来负面影响。</w:t>
      </w:r>
    </w:p>
    <w:p w14:paraId="200E1D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主要污染来源：</w:t>
      </w:r>
    </w:p>
    <w:p w14:paraId="47D0F0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工业排放：部分工业企业可能存在违规排放现象，导致水体受到污染。需要加强工业企业的环保监管，确保达标排放。</w:t>
      </w:r>
    </w:p>
    <w:p w14:paraId="2BD4D2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农业面源污染：农药、化肥的过量使用以及畜禽养殖的排泄物未经有效处理直接排入水体，是农业面源污染的主要原因。需推广生态农业技术，减少农药化肥使用量，并加强畜禽养殖废弃物资源化利用。</w:t>
      </w:r>
    </w:p>
    <w:p w14:paraId="0609578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生活污水：城镇和农村的生活污水未经处理或处理不当直接排入水体，是水质下降的重要原因。应完善污水处理设施，提高污水处理率。</w:t>
      </w:r>
    </w:p>
    <w:p w14:paraId="5B2C35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流域管理不善：部分流域缺乏有效的监管和管理措施，导致上游生活垃圾直接投入水中，产生大量河漂垃圾聚集于下游流域。需加强流域监管力度，实施定期清理和维护。</w:t>
      </w:r>
    </w:p>
    <w:p w14:paraId="25FC0CD1">
      <w:pPr>
        <w:outlineLvl w:val="2"/>
        <w:rPr>
          <w:rFonts w:hint="eastAsia" w:ascii="仿宋" w:hAnsi="仿宋" w:eastAsia="仿宋" w:cs="仿宋"/>
          <w:b/>
          <w:bCs/>
          <w:sz w:val="28"/>
          <w:szCs w:val="28"/>
          <w:lang w:val="en-US" w:eastAsia="zh-CN"/>
        </w:rPr>
      </w:pPr>
      <w:bookmarkStart w:id="31" w:name="_Toc25194"/>
      <w:r>
        <w:rPr>
          <w:rFonts w:hint="eastAsia" w:ascii="仿宋" w:hAnsi="仿宋" w:eastAsia="仿宋" w:cs="仿宋"/>
          <w:b/>
          <w:bCs/>
          <w:sz w:val="28"/>
          <w:szCs w:val="28"/>
          <w:lang w:val="en-US" w:eastAsia="zh-CN"/>
        </w:rPr>
        <w:t>第13条森林生态问题</w:t>
      </w:r>
      <w:bookmarkEnd w:id="31"/>
    </w:p>
    <w:p w14:paraId="5FD3331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森林质量提升方面</w:t>
      </w:r>
    </w:p>
    <w:p w14:paraId="286A0A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p>
    <w:p w14:paraId="47A9AA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现状分析：</w:t>
      </w:r>
    </w:p>
    <w:p w14:paraId="3754AD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亩蓄积量：全县林分平均亩蓄积量为6.6立方米/亩，表明森林质量整体偏低。</w:t>
      </w:r>
    </w:p>
    <w:p w14:paraId="5CE89C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森林结构与树种结构：全县森林结构、树种结构不合理现象严重，低产低效林分仍占一定比重，树种结构以马尾松为主，缺乏多样性。</w:t>
      </w:r>
    </w:p>
    <w:p w14:paraId="1A520B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存在问题：</w:t>
      </w:r>
    </w:p>
    <w:p w14:paraId="7202DF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林分质量不高，影响森林生态系统的整体功能和稳定性。</w:t>
      </w:r>
    </w:p>
    <w:p w14:paraId="3E4B20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树种结构单一，马尾松占比较高，不利于生态系统的复杂性和稳定性。</w:t>
      </w:r>
    </w:p>
    <w:p w14:paraId="36E0A38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森林资源保护方面</w:t>
      </w:r>
    </w:p>
    <w:p w14:paraId="3A625A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现状分析：</w:t>
      </w:r>
    </w:p>
    <w:p w14:paraId="3B9CDD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生态安全需求：随着生态文明建设的推进，老百姓对美好生态和生态安全的需求快速增加，森林资源保护成为重要议题。</w:t>
      </w:r>
    </w:p>
    <w:p w14:paraId="610093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灾害防控：森林防灾减灾能力有待提升，尤其是森林防火基础设施建设和病虫害监测体系需进一步完善。</w:t>
      </w:r>
    </w:p>
    <w:p w14:paraId="685B65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存在问题：</w:t>
      </w:r>
    </w:p>
    <w:p w14:paraId="0FEAAB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松材线虫病：近年来松材线虫病防控形势严峻，部分乡镇出现松材线虫疫区，对森林资源构成严重威胁。</w:t>
      </w:r>
    </w:p>
    <w:p w14:paraId="53F2E6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破坏森林资源现象：乱砍滥伐林木、乱收乱购木材、乱捕滥猎野生动物、乱挖滥采野生植物、非法占用林地等现象时有发生。</w:t>
      </w:r>
    </w:p>
    <w:p w14:paraId="2A7EBA2C">
      <w:pPr>
        <w:outlineLvl w:val="2"/>
        <w:rPr>
          <w:rFonts w:hint="eastAsia" w:ascii="仿宋" w:hAnsi="仿宋" w:eastAsia="仿宋" w:cs="仿宋"/>
          <w:b/>
          <w:bCs/>
          <w:sz w:val="28"/>
          <w:szCs w:val="28"/>
          <w:lang w:val="en-US" w:eastAsia="zh-CN"/>
        </w:rPr>
      </w:pPr>
      <w:bookmarkStart w:id="32" w:name="_Toc6770"/>
      <w:r>
        <w:rPr>
          <w:rFonts w:hint="eastAsia" w:ascii="仿宋" w:hAnsi="仿宋" w:eastAsia="仿宋" w:cs="仿宋"/>
          <w:b/>
          <w:bCs/>
          <w:sz w:val="28"/>
          <w:szCs w:val="28"/>
          <w:lang w:val="en-US" w:eastAsia="zh-CN"/>
        </w:rPr>
        <w:t>第14条农田生态问题</w:t>
      </w:r>
      <w:bookmarkEnd w:id="32"/>
    </w:p>
    <w:p w14:paraId="2CCB9C2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畜禽养殖废弃物污染问题</w:t>
      </w:r>
    </w:p>
    <w:p w14:paraId="004348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污染成因：</w:t>
      </w:r>
    </w:p>
    <w:p w14:paraId="0FD81A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畜禽养殖规模扩大：近年来，上杭县畜禽养殖数量和规模不断扩大，导致畜禽养殖废弃物产生量急剧增加。</w:t>
      </w:r>
    </w:p>
    <w:p w14:paraId="13B777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种养分离加剧：随着养殖集约化程度提高，传统的种养结合模式逐渐被打破，养殖废弃物难以被及时消纳，加剧了污染问题。</w:t>
      </w:r>
    </w:p>
    <w:p w14:paraId="6D45B0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处理设施建设滞后：养殖废弃物处理设施建设相对滞后，大量畜禽粪便未能得到有效处理和利用，成为农业面源污染的首要因素。</w:t>
      </w:r>
    </w:p>
    <w:p w14:paraId="4045E6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污染表现：</w:t>
      </w:r>
    </w:p>
    <w:p w14:paraId="0A874B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畜禽粪便处理不当，导致氮、磷等营养元素大量流失，污染水体和土壤。</w:t>
      </w:r>
    </w:p>
    <w:p w14:paraId="11417D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未经处理的畜禽养殖废弃物直接排放，严重影响空气质量，产生恶臭气体。</w:t>
      </w:r>
    </w:p>
    <w:p w14:paraId="13AF14B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农村环境问题</w:t>
      </w:r>
    </w:p>
    <w:p w14:paraId="172240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农作物秸秆处理不当：</w:t>
      </w:r>
    </w:p>
    <w:p w14:paraId="697128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秸秆还田率低：农作物秸秆还田率仅为30%，不仅浪费资源，还造成空气污染和土壤质量下降。</w:t>
      </w:r>
    </w:p>
    <w:p w14:paraId="246517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焚烧污染：秸秆焚烧产生大量烟尘和有害气体，严重影响空气质量，危害居民健康。</w:t>
      </w:r>
    </w:p>
    <w:p w14:paraId="6F4221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农村垃圾污水处理：</w:t>
      </w:r>
    </w:p>
    <w:p w14:paraId="2D04FB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垃圾处理设施不足：农村垃圾处理设施不完善，垃圾随意堆放和填埋现象普遍，导致环境污染。</w:t>
      </w:r>
    </w:p>
    <w:p w14:paraId="4A9D71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污水排放无序：农村生活污水未经处理或处理不当直接排放，污染河流、湖泊等水体，影响水质安全。</w:t>
      </w:r>
    </w:p>
    <w:p w14:paraId="066389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农村经济发展与环境保护矛盾：</w:t>
      </w:r>
    </w:p>
    <w:p w14:paraId="2C5902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农村经济快速发展：随着社会主义新农村建设步伐加快，农村经济得到快速发展。</w:t>
      </w:r>
    </w:p>
    <w:p w14:paraId="1C2518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环境污染制约发展：然而，农村环境污染问题日益严重，成为制约农村经济发展的重要因素。环境污染不仅影响农产品质量和安全，还威胁居民健康和生活环境。</w:t>
      </w:r>
    </w:p>
    <w:p w14:paraId="79EA522A">
      <w:pPr>
        <w:outlineLvl w:val="2"/>
        <w:rPr>
          <w:rFonts w:hint="eastAsia" w:ascii="仿宋" w:hAnsi="仿宋" w:eastAsia="仿宋" w:cs="仿宋"/>
          <w:b/>
          <w:bCs/>
          <w:sz w:val="28"/>
          <w:szCs w:val="28"/>
          <w:lang w:val="en-US" w:eastAsia="zh-CN"/>
        </w:rPr>
      </w:pPr>
      <w:bookmarkStart w:id="33" w:name="_Toc4988"/>
      <w:r>
        <w:rPr>
          <w:rFonts w:hint="eastAsia" w:ascii="仿宋" w:hAnsi="仿宋" w:eastAsia="仿宋" w:cs="仿宋"/>
          <w:b/>
          <w:bCs/>
          <w:sz w:val="28"/>
          <w:szCs w:val="28"/>
          <w:lang w:val="en-US" w:eastAsia="zh-CN"/>
        </w:rPr>
        <w:t>第15条人居环境问题</w:t>
      </w:r>
      <w:bookmarkEnd w:id="33"/>
    </w:p>
    <w:p w14:paraId="3E9B0AD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农房整治与空心房问题</w:t>
      </w:r>
    </w:p>
    <w:p w14:paraId="6852F0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现状：上杭县在农房整治方面已取得一定成果，拆除了大量空心房，但仍有部分旱厕、空心房未能及时拆除，影响了村容村貌的整体美观。</w:t>
      </w:r>
    </w:p>
    <w:p w14:paraId="1D9A79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影响：未拆除的旱厕和空心房不仅占用了土地资源，还成为卫生死角，容易孳生蚊虫、老鼠等害虫，对村民的居住环境造成不良影响。</w:t>
      </w:r>
    </w:p>
    <w:p w14:paraId="63DF267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生活污水与垃圾处理</w:t>
      </w:r>
    </w:p>
    <w:p w14:paraId="3045A5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污水直排问题：部分地区存在生活污水未经处理直接排放到河流、池塘等水体中的现象，导致水质恶化，影响村民的饮用水安全和农业生产。</w:t>
      </w:r>
    </w:p>
    <w:p w14:paraId="4EC32C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垃圾处理不彻底：垃圾处理设施不完善，存在垃圾死角和垃圾瀑布等问题，部分生活垃圾未能得到有效清运和处理，堆积成山，影响环境卫生。</w:t>
      </w:r>
    </w:p>
    <w:p w14:paraId="0E4D54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建筑垃圾随意堆放：部分村庄建筑垃圾处理设施不足，建筑垃圾被随意堆放在路边，不仅占用土地资源，还容易造成扬尘污染，影响村民生活质量。</w:t>
      </w:r>
    </w:p>
    <w:p w14:paraId="2F9BE47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公共设施与环境卫生</w:t>
      </w:r>
    </w:p>
    <w:p w14:paraId="7CB778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公共设施建设不足：一些村庄的公共设施，如公厕、垃圾收集点等建设不足或维护不善，给村民的生活带来不便。特别是公厕设施损坏且维护不善，导致村民在使用时面临卫生问题。</w:t>
      </w:r>
    </w:p>
    <w:p w14:paraId="1CEBC8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环境卫生状况不佳：由于缺乏有效的管理和维护机制，部分村庄的环境卫生状况较差，存在乱扔垃圾、乱倒污水等现象，影响村民的健康和生活品质。</w:t>
      </w:r>
    </w:p>
    <w:p w14:paraId="2E846A0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环境整治与村民参与度</w:t>
      </w:r>
    </w:p>
    <w:p w14:paraId="33C285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村民参与度有待提高：尽管政府和相关部门在环境整治方面付出了努力，但村民的参与度和自我管理能力仍有待提高。部分村民对环境保护的认识不足，缺乏主动参与环境整治的意识和行动。</w:t>
      </w:r>
    </w:p>
    <w:p w14:paraId="771F26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长效治理机制未形成：目前尚未形成齐抓共管的人居环境长效治理机制，政府、村民和社会力量之间的协同作用有待加强。缺乏有效的监督和激励机制，导致环境整治成果难以巩固和持续。</w:t>
      </w:r>
    </w:p>
    <w:p w14:paraId="4FE8A1F0">
      <w:pPr>
        <w:ind w:firstLine="0" w:firstLineChars="0"/>
        <w:outlineLvl w:val="1"/>
        <w:rPr>
          <w:rFonts w:ascii="宋体" w:hAnsi="宋体" w:eastAsia="宋体" w:cs="宋体"/>
          <w:b/>
          <w:bCs/>
          <w:sz w:val="28"/>
          <w:szCs w:val="28"/>
        </w:rPr>
      </w:pPr>
      <w:bookmarkStart w:id="34" w:name="_Toc2986"/>
      <w:bookmarkStart w:id="35" w:name="_Toc15184"/>
      <w:r>
        <w:rPr>
          <w:rFonts w:hint="eastAsia" w:ascii="宋体" w:hAnsi="宋体" w:eastAsia="宋体" w:cs="宋体"/>
          <w:b/>
          <w:bCs/>
          <w:sz w:val="28"/>
          <w:szCs w:val="28"/>
        </w:rPr>
        <w:t>第三节 生态系统恢复力评价</w:t>
      </w:r>
      <w:bookmarkEnd w:id="34"/>
      <w:bookmarkEnd w:id="35"/>
    </w:p>
    <w:p w14:paraId="0BD4EB9D">
      <w:pPr>
        <w:outlineLvl w:val="2"/>
        <w:rPr>
          <w:rFonts w:hint="default" w:ascii="仿宋" w:hAnsi="仿宋" w:eastAsia="仿宋" w:cs="仿宋"/>
          <w:b/>
          <w:bCs/>
          <w:sz w:val="28"/>
          <w:szCs w:val="28"/>
          <w:lang w:val="en-US" w:eastAsia="zh-CN"/>
        </w:rPr>
      </w:pPr>
      <w:bookmarkStart w:id="36" w:name="_Toc25905"/>
      <w:r>
        <w:rPr>
          <w:rFonts w:hint="eastAsia" w:ascii="仿宋" w:hAnsi="仿宋" w:eastAsia="仿宋" w:cs="仿宋"/>
          <w:b/>
          <w:bCs/>
          <w:sz w:val="28"/>
          <w:szCs w:val="28"/>
          <w:lang w:val="en-US" w:eastAsia="zh-CN"/>
        </w:rPr>
        <w:t>第16条生态系统恢复力总体评价</w:t>
      </w:r>
      <w:bookmarkEnd w:id="36"/>
    </w:p>
    <w:p w14:paraId="0A7453A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生态系统恢复力评价概述</w:t>
      </w:r>
    </w:p>
    <w:p w14:paraId="76A1A2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系统恢复力评价是一个综合性过程，旨在评估生态系统在遭受外部干扰后的自我修复和恢复正常状态的能力。这一过程涉及多个维度和步骤，包括确定评价目标和范围、收集和分析数据、确定恢复力指标、建立评价模型、进行评价和解释，以及根据反馈进行调整。</w:t>
      </w:r>
    </w:p>
    <w:p w14:paraId="7370A0B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主要评价方法和步骤</w:t>
      </w:r>
    </w:p>
    <w:p w14:paraId="3A2FA37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确定评价目标和范围：明确评价目标，如针对特定生态系统或更大范围区域。界定评价范围，包括生态系统类型、地理位置及涉及的生物和环境要素。</w:t>
      </w:r>
    </w:p>
    <w:p w14:paraId="3A09FA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收集和分析数据：收集生态系统的历史数据，包括结构、功能、物种组成及过去的干扰事件和恢复过程。收集当前生态系统的状态数据，分析恢复潜力和限制因素。</w:t>
      </w:r>
    </w:p>
    <w:p w14:paraId="4415E0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确定恢复力指标：选择合适的恢复力指标，如生物多样性、生态系统服务功能、结构完整性、抗干扰能力等。</w:t>
      </w:r>
    </w:p>
    <w:p w14:paraId="50E9A6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建立评价模型：基于收集的数据和确定的指标，建立量化恢复力的模型，预测恢复趋势。综合考虑生态系统的复杂性、动态性和不确定性。</w:t>
      </w:r>
    </w:p>
    <w:p w14:paraId="42BEEB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进行评价和解释：利用模型进行评估，解释评价结果，识别恢复潜力、关键限制因素，并提出恢复策略。</w:t>
      </w:r>
    </w:p>
    <w:p w14:paraId="1CFFF3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反馈与调整：根据新数据和反馈进行调整优化，确保评价的持续性和科学性。</w:t>
      </w:r>
    </w:p>
    <w:p w14:paraId="028D555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上杭县生态系统恢复力具体评价</w:t>
      </w:r>
    </w:p>
    <w:p w14:paraId="009E0C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政策与制度支持：上杭县制定了多项土壤污染防治和生态保护政策，如《上杭县土壤污染防治行动计划工作方案》，为生态系统恢复提供制度保障。加强了对重点监管单位的监管与考核，确保政策执行到位。</w:t>
      </w:r>
    </w:p>
    <w:p w14:paraId="35CC35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生态系统稳定性：水质状况优良，主要流域国、省控断面水质Ⅰ—Ⅲ类比例达100%，表明水生态系统稳定性高。空气质量优良，减少了对生态系统的负面影响。</w:t>
      </w:r>
    </w:p>
    <w:p w14:paraId="4E83AE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生态系统恢复速度：实施了多个生态修复项目，如矿山生态修复、水土流失治理等，加快恢复速度。注重生物多样性保护，提升生态系统恢复力和稳定性。</w:t>
      </w:r>
    </w:p>
    <w:p w14:paraId="0A7AA0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抗干扰能力：建立完善的土壤污染防治和生态环境监管体系，提升抗干扰能力。加强突发环境事件的应急响应能力，减轻环境事件对生态系统的损害。</w:t>
      </w:r>
    </w:p>
    <w:p w14:paraId="4A15BB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综合评价：上杭县的生态系统恢复力较强，表现在政策与制度支持、生态系统稳定性、恢复速度和抗干扰能力等方面。</w:t>
      </w:r>
    </w:p>
    <w:p w14:paraId="2A2E97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需持续加强生态环境保护和修复工作，推动生态系统持续改善和恢复。</w:t>
      </w:r>
    </w:p>
    <w:p w14:paraId="2861F1D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结论与建议</w:t>
      </w:r>
    </w:p>
    <w:p w14:paraId="4E56862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结论：上杭县生态系统恢复力整体较强，具备较高的稳定性和抗干扰能力，为持续推动生态保护和修复工作奠定了坚实基础。</w:t>
      </w:r>
    </w:p>
    <w:p w14:paraId="5B647C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建议：继续加强政策支持和制度建设，加大生态修复项目投入，完善风险防控和应急响应机制，提高公众参与度，共同推动生态系统恢复与发展。</w:t>
      </w:r>
    </w:p>
    <w:p w14:paraId="7B059CE8">
      <w:pPr>
        <w:outlineLvl w:val="2"/>
        <w:rPr>
          <w:rFonts w:hint="eastAsia" w:ascii="仿宋" w:hAnsi="仿宋" w:eastAsia="仿宋" w:cs="仿宋"/>
          <w:b/>
          <w:bCs/>
          <w:sz w:val="28"/>
          <w:szCs w:val="28"/>
          <w:lang w:val="en-US" w:eastAsia="zh-CN"/>
        </w:rPr>
      </w:pPr>
      <w:bookmarkStart w:id="37" w:name="_Toc3734"/>
      <w:r>
        <w:rPr>
          <w:rFonts w:hint="eastAsia" w:ascii="仿宋" w:hAnsi="仿宋" w:eastAsia="仿宋" w:cs="仿宋"/>
          <w:b/>
          <w:bCs/>
          <w:sz w:val="28"/>
          <w:szCs w:val="28"/>
          <w:lang w:val="en-US" w:eastAsia="zh-CN"/>
        </w:rPr>
        <w:t>第17条矿山生态系统恢复力评价</w:t>
      </w:r>
      <w:bookmarkEnd w:id="37"/>
    </w:p>
    <w:p w14:paraId="75CBCA0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背景与现状</w:t>
      </w:r>
    </w:p>
    <w:p w14:paraId="78C868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矿产资源丰富，矿山开采活动历史悠久，但长期的开采活动对当地生态系统造成了显著破坏，包括土地退化、植被减少、水土流失和生物多样性降低等问题。为应对这些问题，上杭县已采取了一系列生态恢复措施，如植被恢复和土地复垦，并取得了一定成效。</w:t>
      </w:r>
    </w:p>
    <w:p w14:paraId="5BB33C6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恢复力评价指标</w:t>
      </w:r>
    </w:p>
    <w:p w14:paraId="586448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生态结构指标：主要关注植被覆盖度、植物物种丰富度及植物群落结构，这些指标能够反映生态系统的结构完整性和稳定性。</w:t>
      </w:r>
    </w:p>
    <w:p w14:paraId="634294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生态功能指标：涵盖土壤保持、水源涵养及碳汇能力等，用于评估生态系统在维持生态平衡和提供生态服务方面的能力。</w:t>
      </w:r>
    </w:p>
    <w:p w14:paraId="5C61F4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恢复速度指标：关注生态系统在受损后的自我修复速度，以及人为恢复措施的实施效果和效率。</w:t>
      </w:r>
    </w:p>
    <w:p w14:paraId="736411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社会经济指标：考虑矿山生态恢复对当地社会经济的影响，如就业机会的增加、居民生活质量的提升等。</w:t>
      </w:r>
    </w:p>
    <w:p w14:paraId="0F0211D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评价方法</w:t>
      </w:r>
    </w:p>
    <w:p w14:paraId="037D23A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遥感与GIS技术：利用遥感数据提取植被覆盖度等生态结构指标，通过GIS技术实现空间数据的分析和可视化，展示生态系统的空间分布和变化。</w:t>
      </w:r>
    </w:p>
    <w:p w14:paraId="2C0A2F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地面调查与监测：通过实地调查收集植物物种丰富度、土壤质量等数据，并设置长期监测站点，对生态系统的恢复过程进行持续跟踪和评估。</w:t>
      </w:r>
    </w:p>
    <w:p w14:paraId="2401D61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评价结果与建议</w:t>
      </w:r>
    </w:p>
    <w:p w14:paraId="1905C6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结论：上杭县矿山生态系统在遭受破坏后具备一定的恢复能力，但恢复速度相对较慢，且存在显著的空间异质性。不同矿区的恢复力水平差异较大，受人为干扰程度、恢复措施的实施效果等多种因素影响。</w:t>
      </w:r>
    </w:p>
    <w:p w14:paraId="4C451B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建议：</w:t>
      </w:r>
    </w:p>
    <w:p w14:paraId="1F0DACF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加强生态恢复措施：应进一步加大生态恢复措施的实施力度，提高恢复速度和效果，确保矿山生态系统的全面恢复。</w:t>
      </w:r>
    </w:p>
    <w:p w14:paraId="2F8621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强化监测与评估：加强矿区生态监测和评估工作，及时发现和解决恢复过程中出现的问题，确保恢复工作的针对性和有效性。</w:t>
      </w:r>
    </w:p>
    <w:p w14:paraId="3EF2C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政策引导与资金支持：加强政策引导和资金支持，促进矿山生态恢复与当地社会经济的协调发展，实现生态效益与经济效益的双赢。</w:t>
      </w:r>
    </w:p>
    <w:p w14:paraId="5CEA31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通过综合施策、科学规划和有效实施，上杭县有望进一步提升矿山生态系统的恢复力，实现矿山开采与生态保护的双赢局面。</w:t>
      </w:r>
    </w:p>
    <w:p w14:paraId="3D10898A">
      <w:pPr>
        <w:outlineLvl w:val="2"/>
        <w:rPr>
          <w:rFonts w:hint="eastAsia" w:ascii="仿宋" w:hAnsi="仿宋" w:eastAsia="仿宋" w:cs="仿宋"/>
          <w:b/>
          <w:bCs/>
          <w:sz w:val="28"/>
          <w:szCs w:val="28"/>
          <w:lang w:val="en-US" w:eastAsia="zh-CN"/>
        </w:rPr>
      </w:pPr>
      <w:bookmarkStart w:id="38" w:name="_Toc15331"/>
      <w:r>
        <w:rPr>
          <w:rFonts w:hint="eastAsia" w:ascii="仿宋" w:hAnsi="仿宋" w:eastAsia="仿宋" w:cs="仿宋"/>
          <w:b/>
          <w:bCs/>
          <w:sz w:val="28"/>
          <w:szCs w:val="28"/>
          <w:lang w:val="en-US" w:eastAsia="zh-CN"/>
        </w:rPr>
        <w:t>第18条水环境生态系统恢复力评价</w:t>
      </w:r>
      <w:bookmarkEnd w:id="38"/>
    </w:p>
    <w:p w14:paraId="1D00716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总体评价</w:t>
      </w:r>
    </w:p>
    <w:p w14:paraId="1A2308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水环境生态系统在保持水质、维护生物多样性和保护景观多样性方面展现出了较强的恢复力。通过一系列生态保护措施的实施，水环境生态系统得以有效维护，但在复杂多变的内外环境挑战下，仍需持续加强监管和实施力度。</w:t>
      </w:r>
    </w:p>
    <w:p w14:paraId="7EE20EB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具体评价指标及评价情况</w:t>
      </w:r>
    </w:p>
    <w:p w14:paraId="50C49A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水质状况</w:t>
      </w:r>
    </w:p>
    <w:p w14:paraId="5FEDB2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评价情况：主要河流、国控断面及饮用水水源地的水质均保持良好状态，综合达标率较高，符合相关水质标准。</w:t>
      </w:r>
    </w:p>
    <w:p w14:paraId="256DF9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结论：上杭县在水质保护方面取得了显著成效，水质恢复力较强。</w:t>
      </w:r>
    </w:p>
    <w:p w14:paraId="419473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p>
    <w:p w14:paraId="10F667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生态系统多样性</w:t>
      </w:r>
    </w:p>
    <w:p w14:paraId="3156785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评价情况：水域生态系统物种丰富，特有属、种较多，生态系统类型多样，局部地区生物多样性高度丰富。</w:t>
      </w:r>
    </w:p>
    <w:p w14:paraId="5FB9AC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结论：通过规划重点保护小区、加强湿地保护和周边环境治理等措施，上杭县有效维护了水域生态系统的生物多样性，提升了水环境生态系统的恢复力。</w:t>
      </w:r>
    </w:p>
    <w:p w14:paraId="3DC0DE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景观多样性</w:t>
      </w:r>
    </w:p>
    <w:p w14:paraId="68FB78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评价情况：景观类型丰富，景品数量较多，通过科学配置道路廊道、完善公园设施及投资生态公益性设施建设等方式，为生物迁徙和物种交流提供了良好条件。</w:t>
      </w:r>
    </w:p>
    <w:p w14:paraId="35A376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结论：注重景观多样性保护，增强了水环境生态系统的恢复力和稳定性。</w:t>
      </w:r>
    </w:p>
    <w:p w14:paraId="3D75DA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政策导向</w:t>
      </w:r>
    </w:p>
    <w:p w14:paraId="0A5D55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评价情况：上杭县积极加强水环境生态保护，制定并实施了一系列相关政策，推动水环境生态系统的持续改善。</w:t>
      </w:r>
    </w:p>
    <w:p w14:paraId="18E369A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结论：政策支持有力，为水环境生态系统的恢复和保护提供了坚实的制度保障。</w:t>
      </w:r>
    </w:p>
    <w:p w14:paraId="19D001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综上所述，上杭县水环境生态系统在保持水质、维护生物多样性及保护景观多样性方面表现出较强的恢复力，但仍需持续加强监管和实施力度，以应对复杂多变的内外环境挑战，确保水环境生态系统的持续健康和稳定。</w:t>
      </w:r>
    </w:p>
    <w:p w14:paraId="7E2F950A">
      <w:pPr>
        <w:outlineLvl w:val="2"/>
        <w:rPr>
          <w:rFonts w:hint="eastAsia" w:ascii="仿宋" w:hAnsi="仿宋" w:eastAsia="仿宋" w:cs="仿宋"/>
          <w:b/>
          <w:bCs/>
          <w:sz w:val="28"/>
          <w:szCs w:val="28"/>
          <w:lang w:val="en-US" w:eastAsia="zh-CN"/>
        </w:rPr>
      </w:pPr>
      <w:bookmarkStart w:id="39" w:name="_Toc5434"/>
      <w:r>
        <w:rPr>
          <w:rFonts w:hint="eastAsia" w:ascii="仿宋" w:hAnsi="仿宋" w:eastAsia="仿宋" w:cs="仿宋"/>
          <w:b/>
          <w:bCs/>
          <w:sz w:val="28"/>
          <w:szCs w:val="28"/>
          <w:lang w:val="en-US" w:eastAsia="zh-CN"/>
        </w:rPr>
        <w:t>第19条农田生态系统恢复力评价</w:t>
      </w:r>
      <w:bookmarkEnd w:id="39"/>
    </w:p>
    <w:p w14:paraId="6F96492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总体评价</w:t>
      </w:r>
    </w:p>
    <w:p w14:paraId="361781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上杭县农田生态系统恢复力在多个方面展现出较强的潜力，尤其是在土壤质量、水资源状况、生物多样性和政策导向等方面。通过一系列有效的管理和保护措施，农田生态系统的稳定性和健康性得到了显著提升。</w:t>
      </w:r>
    </w:p>
    <w:p w14:paraId="2F2241D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具体评价指标及评价情况</w:t>
      </w:r>
    </w:p>
    <w:p w14:paraId="641CF7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土壤质量</w:t>
      </w:r>
    </w:p>
    <w:p w14:paraId="7F3A36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评价情况：土壤肥力较好，但存在部分土壤退化和受污染风险较大的问题。</w:t>
      </w:r>
    </w:p>
    <w:p w14:paraId="1C12A6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结论：上杭县在土壤污染防治方面取得显著成效，但仍需持续关注土壤退化问题，通过改良土壤结构和提高土壤肥力来进一步巩固农田生态系统的恢复力。</w:t>
      </w:r>
    </w:p>
    <w:p w14:paraId="7DB4738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水资源状况</w:t>
      </w:r>
    </w:p>
    <w:p w14:paraId="5DB84B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评价情况：上杭县水资源丰富，且处于汀江流域，为农田灌溉提供了充足的水源。</w:t>
      </w:r>
    </w:p>
    <w:p w14:paraId="1BE44A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结论：确保水资源的充足供应和合理利用，加强水资源保护和管理，对于提升农田生态系统恢复力至关重要。</w:t>
      </w:r>
    </w:p>
    <w:p w14:paraId="300A05D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生物多样性</w:t>
      </w:r>
    </w:p>
    <w:p w14:paraId="413239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评价情况：农田生态系统中物种丰富，特有属、种较多，显示出较高的生物多样性水平。</w:t>
      </w:r>
    </w:p>
    <w:p w14:paraId="0FDA4A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结论：保护农田生态系统中的生物多样性有助于维持生态系统的稳定性和健康性，上杭县通过推广生态农业和加强生物保护等措施，有效提高了生物多样性水平。</w:t>
      </w:r>
    </w:p>
    <w:p w14:paraId="2D5C2DB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政策导向</w:t>
      </w:r>
    </w:p>
    <w:p w14:paraId="25A105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评价情况：上杭县积极出台相关法规和政策措施，加强农田生态保护，推动生态农业和绿色农业发展。</w:t>
      </w:r>
    </w:p>
    <w:p w14:paraId="3683C8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结论：政策导向在提升农田生态系统恢复力中发挥了关键作用，严格的环保政策和法规为农田生态系统的恢复提供了有力保障。</w:t>
      </w:r>
    </w:p>
    <w:p w14:paraId="6DD088CE">
      <w:pPr>
        <w:outlineLvl w:val="2"/>
        <w:rPr>
          <w:rFonts w:hint="eastAsia" w:ascii="仿宋" w:hAnsi="仿宋" w:eastAsia="仿宋" w:cs="仿宋"/>
          <w:b/>
          <w:bCs/>
          <w:sz w:val="28"/>
          <w:szCs w:val="28"/>
          <w:lang w:val="en-US" w:eastAsia="zh-CN"/>
        </w:rPr>
      </w:pPr>
      <w:bookmarkStart w:id="40" w:name="_Toc3183"/>
      <w:r>
        <w:rPr>
          <w:rFonts w:hint="eastAsia" w:ascii="仿宋" w:hAnsi="仿宋" w:eastAsia="仿宋" w:cs="仿宋"/>
          <w:b/>
          <w:bCs/>
          <w:sz w:val="28"/>
          <w:szCs w:val="28"/>
          <w:lang w:val="en-US" w:eastAsia="zh-CN"/>
        </w:rPr>
        <w:t>第20条森林生态系统恢复力评价</w:t>
      </w:r>
      <w:bookmarkEnd w:id="40"/>
    </w:p>
    <w:p w14:paraId="4C09181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总体评价</w:t>
      </w:r>
    </w:p>
    <w:p w14:paraId="55CC2C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的森林生态系统恢复力在多个方面表现出较强的基础，包括森林覆盖率、生物多样性、土壤质量和政府部门管理水平等。高森林覆盖率为森林生态系统的恢复提供了良好的自然条件，而丰富的生物多样性则增强了生态系统的稳定性和韧性。然而，土壤污染和退化问题以及外来物种入侵等挑战依然存在，需要进一步加强保护和管理。</w:t>
      </w:r>
    </w:p>
    <w:p w14:paraId="0F0D818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具体评价指标及评价情况</w:t>
      </w:r>
    </w:p>
    <w:p w14:paraId="3FDD9E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森林覆盖率</w:t>
      </w:r>
    </w:p>
    <w:p w14:paraId="4B43B0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评价情况：上杭县的森林覆盖率较高，全县覆盖率达75%以上，为森林生态系统的恢复提供了坚实的基础。</w:t>
      </w:r>
    </w:p>
    <w:p w14:paraId="6906D1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结论：高森林覆盖率有利于增强森林生态系统的自我恢复能力，减少外部干扰对生态系统的影响。</w:t>
      </w:r>
    </w:p>
    <w:p w14:paraId="036851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生物多样性</w:t>
      </w:r>
    </w:p>
    <w:p w14:paraId="42CB0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p>
    <w:p w14:paraId="37DE97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评价情况：物种较丰富，特有属、种较多，丰富了生态系统的功能，提高了稳定性。</w:t>
      </w:r>
    </w:p>
    <w:p w14:paraId="21B07F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结论：生物多样性的保护和恢复对于维持森林生态系统的平衡至关重要，但仍需关注外来物种入侵和栖息地破坏等问题。</w:t>
      </w:r>
    </w:p>
    <w:p w14:paraId="78989C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土壤质量</w:t>
      </w:r>
    </w:p>
    <w:p w14:paraId="199758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评价情况：土壤肥力较好，但土壤环境受污染风险较大，部分土壤退化。</w:t>
      </w:r>
    </w:p>
    <w:p w14:paraId="6B8919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结论：土壤质量是影响森林生态系统恢复的关键因素，需要采取措施防止土壤污染和退化，提高土壤肥力。</w:t>
      </w:r>
    </w:p>
    <w:p w14:paraId="6184B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管理水平</w:t>
      </w:r>
    </w:p>
    <w:p w14:paraId="0A3D4D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评价情况：上杭县积极探索相关管理方法，出台相关法规措施，加强森林保护和管理工作。</w:t>
      </w:r>
    </w:p>
    <w:p w14:paraId="2A3AEB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结论：政府部门的管理水平对森林生态系统的恢复力有重要影响，持续的政策支持和有效的管理措施是保障生态系统稳定的关键</w:t>
      </w:r>
    </w:p>
    <w:p w14:paraId="5B75BE51">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385D7C3A">
      <w:pPr>
        <w:widowControl/>
        <w:ind w:firstLine="0" w:firstLineChars="0"/>
        <w:jc w:val="center"/>
        <w:outlineLvl w:val="0"/>
        <w:rPr>
          <w:rStyle w:val="17"/>
          <w:rFonts w:asciiTheme="minorHAnsi" w:hAnsiTheme="minorHAnsi"/>
          <w:sz w:val="31"/>
        </w:rPr>
      </w:pPr>
      <w:bookmarkStart w:id="41" w:name="_Toc26708"/>
      <w:bookmarkStart w:id="42" w:name="_Toc3932"/>
      <w:sdt>
        <w:sdtPr>
          <w:rPr>
            <w:rFonts w:hint="eastAsia" w:ascii="宋体" w:hAnsi="宋体" w:eastAsia="宋体" w:cs="宋体"/>
            <w:b/>
            <w:bCs/>
            <w:kern w:val="44"/>
            <w:sz w:val="36"/>
            <w:szCs w:val="44"/>
          </w:rPr>
          <w:id w:val="147461621"/>
        </w:sdtPr>
        <w:sdtEndPr>
          <w:rPr>
            <w:rStyle w:val="17"/>
            <w:rFonts w:hint="eastAsia" w:ascii="宋体" w:hAnsi="宋体" w:eastAsia="宋体" w:cs="宋体"/>
            <w:b/>
            <w:bCs/>
            <w:kern w:val="44"/>
            <w:sz w:val="36"/>
            <w:szCs w:val="44"/>
          </w:rPr>
        </w:sdtEndPr>
        <w:sdtContent>
          <w:r>
            <w:rPr>
              <w:rFonts w:hint="eastAsia" w:ascii="宋体" w:hAnsi="宋体" w:eastAsia="宋体" w:cs="宋体"/>
              <w:b/>
              <w:bCs/>
              <w:kern w:val="44"/>
              <w:sz w:val="36"/>
              <w:szCs w:val="44"/>
            </w:rPr>
            <w:t>第</w:t>
          </w:r>
          <w:r>
            <w:rPr>
              <w:rFonts w:hint="eastAsia" w:ascii="宋体" w:hAnsi="宋体" w:eastAsia="宋体" w:cs="宋体"/>
              <w:b/>
              <w:bCs/>
              <w:kern w:val="44"/>
              <w:sz w:val="36"/>
              <w:szCs w:val="44"/>
              <w:lang w:val="en-US" w:eastAsia="zh-CN"/>
            </w:rPr>
            <w:t>三</w:t>
          </w:r>
          <w:r>
            <w:rPr>
              <w:rFonts w:hint="eastAsia" w:ascii="宋体" w:hAnsi="宋体" w:eastAsia="宋体" w:cs="宋体"/>
              <w:b/>
              <w:bCs/>
              <w:kern w:val="44"/>
              <w:sz w:val="36"/>
              <w:szCs w:val="44"/>
            </w:rPr>
            <w:t>章 总体要求与规划目标</w:t>
          </w:r>
        </w:sdtContent>
      </w:sdt>
      <w:bookmarkEnd w:id="41"/>
      <w:bookmarkEnd w:id="42"/>
    </w:p>
    <w:p w14:paraId="65E14863">
      <w:pPr>
        <w:keepNext/>
        <w:keepLines/>
        <w:widowControl w:val="0"/>
        <w:spacing w:before="140" w:after="140" w:line="413" w:lineRule="auto"/>
        <w:jc w:val="left"/>
        <w:outlineLvl w:val="1"/>
        <w:rPr>
          <w:rFonts w:ascii="宋体" w:hAnsi="宋体" w:eastAsia="宋体" w:cs="宋体"/>
          <w:b/>
          <w:kern w:val="2"/>
          <w:sz w:val="28"/>
          <w:szCs w:val="28"/>
          <w:lang w:val="en-US" w:eastAsia="zh-CN" w:bidi="ar-SA"/>
        </w:rPr>
      </w:pPr>
      <w:bookmarkStart w:id="43" w:name="_Toc5665"/>
      <w:bookmarkStart w:id="44" w:name="_Toc28296"/>
      <w:r>
        <w:rPr>
          <w:rFonts w:hint="eastAsia" w:ascii="宋体" w:hAnsi="宋体" w:eastAsia="宋体" w:cs="宋体"/>
          <w:b/>
          <w:kern w:val="2"/>
          <w:sz w:val="28"/>
          <w:szCs w:val="28"/>
          <w:lang w:val="en-US" w:eastAsia="zh-CN" w:bidi="ar-SA"/>
        </w:rPr>
        <w:t>第一节 指导思想</w:t>
      </w:r>
      <w:bookmarkEnd w:id="43"/>
      <w:bookmarkEnd w:id="44"/>
    </w:p>
    <w:p w14:paraId="7C6E62A5">
      <w:pPr>
        <w:outlineLvl w:val="2"/>
        <w:rPr>
          <w:rFonts w:hint="eastAsia" w:ascii="仿宋" w:hAnsi="仿宋" w:eastAsia="仿宋" w:cs="仿宋"/>
          <w:b/>
          <w:bCs/>
          <w:sz w:val="28"/>
          <w:szCs w:val="28"/>
          <w:lang w:val="en-US" w:eastAsia="zh-CN"/>
        </w:rPr>
      </w:pPr>
      <w:bookmarkStart w:id="45" w:name="_Toc13046"/>
      <w:r>
        <w:rPr>
          <w:rFonts w:hint="eastAsia" w:ascii="仿宋" w:hAnsi="仿宋" w:eastAsia="仿宋" w:cs="仿宋"/>
          <w:b/>
          <w:bCs/>
          <w:sz w:val="28"/>
          <w:szCs w:val="28"/>
          <w:lang w:val="en-US" w:eastAsia="zh-CN"/>
        </w:rPr>
        <w:t>第21条指导思想</w:t>
      </w:r>
      <w:bookmarkEnd w:id="45"/>
    </w:p>
    <w:p w14:paraId="59BF73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在习近平新时代中国特色社会主义思想的指导下，上杭县生态修复规划全面贯彻落实党的二十大精神，深入贯彻习近平生态文明思想，将“绿水青山就是金山银山”的理念牢固树立于心。规划的总体目标聚焦于全面提升生态安全屏障的质量，促进生态系统的良性循环和永续利用。</w:t>
      </w:r>
    </w:p>
    <w:p w14:paraId="2B92CF3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规划主线与理念</w:t>
      </w:r>
    </w:p>
    <w:p w14:paraId="54F02C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主线：以统筹山水林田湖草沙一体化保护与修复为主线，通过综合性的生态修复措施，实现自然环境的整体提升。</w:t>
      </w:r>
    </w:p>
    <w:p w14:paraId="1C5A4A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理念：坚持生态优先、绿色发展，将生态环境保护与经济社会发展紧密结合，实现经济效益、社会效益和生态效益的有机统一。</w:t>
      </w:r>
    </w:p>
    <w:p w14:paraId="14A702F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生态问题与风险识别</w:t>
      </w:r>
    </w:p>
    <w:p w14:paraId="21B1143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识别问题：全面梳理上杭县面临的突出生态问题和生态风险，包括水体污染、土壤退化、生物多样性减少、森林质量下降等。</w:t>
      </w:r>
    </w:p>
    <w:p w14:paraId="7A7D83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评估风险：对识别出的问题进行科学评估，明确其对生态系统稳定性的影响程度，为后续修复工作提供依据。</w:t>
      </w:r>
    </w:p>
    <w:p w14:paraId="4B6D236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总体布局与目标任务</w:t>
      </w:r>
    </w:p>
    <w:p w14:paraId="429082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总体布局：结合上杭县实际情况，合理规划国土空间生态修复的总体布局，明确各区域的生态功能定位和发展方向。</w:t>
      </w:r>
    </w:p>
    <w:p w14:paraId="559665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目标任务：制定具体、可操作的生态修复目标任务，包括提升森林覆盖率、改善水质、治理土壤污染、建设生态廊道等，确保各项修复措施有的放矢。</w:t>
      </w:r>
    </w:p>
    <w:p w14:paraId="48F46A8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重点区域与工程</w:t>
      </w:r>
    </w:p>
    <w:p w14:paraId="1993C9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确定重点区域：根据生态问题的严重程度和修复的紧迫性，确定上杭县生态修复的重点区域，如水土流失严重区、矿山开采区、生物多样性保护关键区等。</w:t>
      </w:r>
    </w:p>
    <w:p w14:paraId="3C690D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规划重点工程：针对重点区域存在的生态问题，规划实施一系列重点生态修复工程，如水土流失综合治理、矿山环境恢复、生物多样性保护项目等。</w:t>
      </w:r>
    </w:p>
    <w:p w14:paraId="79B62F0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生态安全与品质提升</w:t>
      </w:r>
    </w:p>
    <w:p w14:paraId="76C986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维护生态安全：通过生态修复措施，有效维护上杭县的生态安全屏障，防止生态退化对区域环境和经济发展的负面影响。</w:t>
      </w:r>
    </w:p>
    <w:p w14:paraId="5387F9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提升城市生态品质：结合城市规划和发展需求，提升城市生态品质，打造宜居宜业宜游的生态环境，增强人民群众的获得感、幸福感、安全感。</w:t>
      </w:r>
    </w:p>
    <w:p w14:paraId="1A1B6F1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全方位推进高质量发展</w:t>
      </w:r>
    </w:p>
    <w:p w14:paraId="33FF62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保障生态系统质量和稳定性：通过综合性的生态修复措施，确保上杭县生态系统的质量和稳定性得到持续提升。</w:t>
      </w:r>
    </w:p>
    <w:p w14:paraId="69301A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增强生态系统固碳能力：通过植树造林、恢复退化土地等措施，增强生态系统的固碳能力，为应对气候变化作出贡献。</w:t>
      </w:r>
    </w:p>
    <w:p w14:paraId="5190E4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扩大优良生态产品供给：结合当地资源禀赋和市场需求，开发具有地方特色的生态产品，满足人民群众对优质生态产品的需求。</w:t>
      </w:r>
    </w:p>
    <w:p w14:paraId="73EF31A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为生态文明建设贡献力量</w:t>
      </w:r>
    </w:p>
    <w:p w14:paraId="4F22A7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建设生态文明先行示范区：通过上杭县生态修复规划的实施，努力建设生态文明先行示范区，为其他地区提供可借鉴的经验和模式。</w:t>
      </w:r>
    </w:p>
    <w:p w14:paraId="1FAE07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增强人民群众的生态获得感：通过生态修复带来的环境改善和经济发展，让人民群众切实感受到生态文明建设带来的实惠和好处。</w:t>
      </w:r>
    </w:p>
    <w:p w14:paraId="4189F811">
      <w:pPr>
        <w:outlineLvl w:val="2"/>
        <w:rPr>
          <w:rFonts w:hint="eastAsia" w:ascii="仿宋" w:hAnsi="仿宋" w:eastAsia="仿宋" w:cs="仿宋"/>
          <w:b/>
          <w:bCs/>
          <w:sz w:val="28"/>
          <w:szCs w:val="28"/>
          <w:lang w:val="en-US" w:eastAsia="zh-CN"/>
        </w:rPr>
      </w:pPr>
      <w:bookmarkStart w:id="46" w:name="_Toc12920"/>
      <w:r>
        <w:rPr>
          <w:rFonts w:hint="eastAsia" w:ascii="仿宋" w:hAnsi="仿宋" w:eastAsia="仿宋" w:cs="仿宋"/>
          <w:b/>
          <w:bCs/>
          <w:sz w:val="28"/>
          <w:szCs w:val="28"/>
          <w:lang w:val="en-US" w:eastAsia="zh-CN"/>
        </w:rPr>
        <w:t>第22条基本原则</w:t>
      </w:r>
      <w:bookmarkEnd w:id="46"/>
    </w:p>
    <w:p w14:paraId="1136826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生态优先，保护为主</w:t>
      </w:r>
    </w:p>
    <w:p w14:paraId="6948C0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核心理念：将生态保护置于规划的首要位置，任何发展活动都不得以牺牲生态环境为代价。</w:t>
      </w:r>
    </w:p>
    <w:p w14:paraId="1808D7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实施策略：在规划过程中，优先考虑生态环境的保护和修复，通过恢复和提升生态系统功能，增强生态系统的稳定性和生物多样性。</w:t>
      </w:r>
    </w:p>
    <w:p w14:paraId="59B55A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目标：确保上杭县的生态环境得到有效保护，防止生态环境进一步退化。</w:t>
      </w:r>
    </w:p>
    <w:p w14:paraId="72C4CCA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因地制宜，科学规划</w:t>
      </w:r>
    </w:p>
    <w:p w14:paraId="0175E0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基本原则：结合上杭县的自然地理条件、资源禀赋和实际情况，制定科学合理的生态修复方案。</w:t>
      </w:r>
    </w:p>
    <w:p w14:paraId="75EBCA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实施要点：充分利用当地优势资源，确保规划项目与当地经济、社会和文化发展相协调，避免盲目照搬外地经验。</w:t>
      </w:r>
    </w:p>
    <w:p w14:paraId="68A750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目标：提高生态修复项目的针对性和实效性，实现生态、经济和社会效益的共赢。</w:t>
      </w:r>
    </w:p>
    <w:p w14:paraId="062ADE5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 综合治理，系统修复</w:t>
      </w:r>
    </w:p>
    <w:p w14:paraId="140E6B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核心理念：生态系统是一个复杂的整体，需要采取综合治理和系统修复的方式。</w:t>
      </w:r>
    </w:p>
    <w:p w14:paraId="33F138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实施策略：针对受损的生态系统，采取恢复植被、改善水质、治理土壤污染等多方面的措施，全面提升生态系统的整体功能。</w:t>
      </w:r>
    </w:p>
    <w:p w14:paraId="0CDE72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目标：恢复和提升生态系统的自我恢复能力和抗干扰能力，实现生态系统的良性循环。</w:t>
      </w:r>
    </w:p>
    <w:p w14:paraId="31450A9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公众参与，社会共治</w:t>
      </w:r>
    </w:p>
    <w:p w14:paraId="5486AD4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核心理念：生态修复不仅是政府的责任，也需要全社会的共同参与和努力。</w:t>
      </w:r>
    </w:p>
    <w:p w14:paraId="635080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实施要点：鼓励和支持公众参与生态修复工作，提高公众的环保意识和参与度。同时，加强与社区、企业等各方合作，形成多方联动的社会共治格局。</w:t>
      </w:r>
    </w:p>
    <w:p w14:paraId="41F746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目标：构建全社会共同参与的生态修复体系，形成良好的生态保护氛围。</w:t>
      </w:r>
    </w:p>
    <w:p w14:paraId="42DE65F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预防为主，持续监管</w:t>
      </w:r>
    </w:p>
    <w:p w14:paraId="3943D0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核心理念：预防是保护生态环境的重要手段，持续监管是确保修复效果的关键。</w:t>
      </w:r>
    </w:p>
    <w:p w14:paraId="05ECB0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实施策略：加强监管和执法力度，防止新的生态破坏行为发生。同时，建立长效的监管机制，对生态修复工作进行持续跟踪和评估。</w:t>
      </w:r>
    </w:p>
    <w:p w14:paraId="7CDA9D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目标：确保生态修复工作的持续性和有效性，避免短期行为和形式主义，保障生态系统的长期稳定和可持续发展。</w:t>
      </w:r>
    </w:p>
    <w:p w14:paraId="6656FE52">
      <w:pPr>
        <w:keepNext/>
        <w:keepLines/>
        <w:widowControl w:val="0"/>
        <w:bidi w:val="0"/>
        <w:spacing w:before="140" w:after="140" w:line="413" w:lineRule="auto"/>
        <w:jc w:val="left"/>
        <w:outlineLvl w:val="1"/>
        <w:rPr>
          <w:rFonts w:hint="eastAsia" w:ascii="宋体" w:hAnsi="宋体" w:eastAsia="宋体" w:cs="宋体"/>
          <w:b/>
          <w:kern w:val="2"/>
          <w:sz w:val="28"/>
          <w:szCs w:val="24"/>
          <w:lang w:val="en-US" w:eastAsia="zh-CN" w:bidi="ar-SA"/>
        </w:rPr>
      </w:pPr>
      <w:bookmarkStart w:id="47" w:name="_Toc31460"/>
      <w:bookmarkStart w:id="48" w:name="_Toc6076"/>
      <w:r>
        <w:rPr>
          <w:rFonts w:hint="eastAsia" w:ascii="宋体" w:hAnsi="宋体" w:eastAsia="宋体" w:cs="宋体"/>
          <w:b/>
          <w:kern w:val="2"/>
          <w:sz w:val="28"/>
          <w:szCs w:val="24"/>
          <w:lang w:val="en-US" w:eastAsia="zh-CN" w:bidi="ar-SA"/>
        </w:rPr>
        <w:t>第二节 规划目标</w:t>
      </w:r>
      <w:bookmarkEnd w:id="47"/>
      <w:bookmarkEnd w:id="48"/>
    </w:p>
    <w:p w14:paraId="6CDF7D99">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0A4DFF7F">
      <w:pPr>
        <w:outlineLvl w:val="2"/>
        <w:rPr>
          <w:rFonts w:hint="eastAsia" w:ascii="仿宋" w:hAnsi="仿宋" w:eastAsia="仿宋" w:cs="仿宋"/>
          <w:b/>
          <w:bCs/>
          <w:sz w:val="28"/>
          <w:szCs w:val="28"/>
          <w:lang w:val="en-US" w:eastAsia="zh-CN"/>
        </w:rPr>
      </w:pPr>
      <w:bookmarkStart w:id="49" w:name="_Toc7683"/>
      <w:r>
        <w:rPr>
          <w:rFonts w:hint="eastAsia" w:ascii="仿宋" w:hAnsi="仿宋" w:eastAsia="仿宋" w:cs="仿宋"/>
          <w:b/>
          <w:bCs/>
          <w:sz w:val="28"/>
          <w:szCs w:val="28"/>
          <w:lang w:val="en-US" w:eastAsia="zh-CN"/>
        </w:rPr>
        <w:t>第23条规划目标</w:t>
      </w:r>
      <w:bookmarkEnd w:id="49"/>
    </w:p>
    <w:p w14:paraId="0881084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生态系统完整性提升</w:t>
      </w:r>
    </w:p>
    <w:p w14:paraId="24F026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目标：恢复和提升上杭县生态系统的完整性，包括生物多样性保护、自然资源可持续利用和生态系统稳定性与韧性的增强。</w:t>
      </w:r>
    </w:p>
    <w:p w14:paraId="2AF2099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措施：通过实施生态保护项目，如生物多样性保护工程、自然保护区建设等，确保生态系统各组分之间的协调与平衡。</w:t>
      </w:r>
    </w:p>
    <w:p w14:paraId="3FB33AB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水源地保护与水质改善</w:t>
      </w:r>
    </w:p>
    <w:p w14:paraId="457FA3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目标：加强对水源地的保护，改善水质，确保水体安全。</w:t>
      </w:r>
    </w:p>
    <w:p w14:paraId="08C40B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措施：加强水源涵养区管理，防止污染，提升水体自我净化能力，实施水污染防治和水资源保护工程。</w:t>
      </w:r>
    </w:p>
    <w:p w14:paraId="27D1481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土壤修复与污染防治</w:t>
      </w:r>
    </w:p>
    <w:p w14:paraId="1160C3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目标：解决土壤污染问题，保障土壤安全。</w:t>
      </w:r>
    </w:p>
    <w:p w14:paraId="2B0FE1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措施：实施土壤修复工程，针对重金属污染和农业面源污染进行治理，建立健全土壤污染监测和预警机制。</w:t>
      </w:r>
    </w:p>
    <w:p w14:paraId="2E76745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生态廊道建设</w:t>
      </w:r>
    </w:p>
    <w:p w14:paraId="0BF579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目标：增强生态系统的连通性，促进物种迁移和基因交流。</w:t>
      </w:r>
    </w:p>
    <w:p w14:paraId="6C9AA9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措施：推动生态廊道建设，包括构建绿色生态屏障、保护生态敏感区和脆弱区，以及建设生态通道。</w:t>
      </w:r>
    </w:p>
    <w:p w14:paraId="756773A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生态产业发展</w:t>
      </w:r>
    </w:p>
    <w:p w14:paraId="04523C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目标：促进经济与环境的协调发展，推动生态产业发展。</w:t>
      </w:r>
    </w:p>
    <w:p w14:paraId="094C9C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措施：推广绿色技术，发展生态农业、生态旅游等绿色产业，鼓励企业采用环保生产方式，实现经济效益与生态效益的双赢。</w:t>
      </w:r>
    </w:p>
    <w:p w14:paraId="403BA80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社区参与与公众意识提升</w:t>
      </w:r>
    </w:p>
    <w:p w14:paraId="40A116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目标：增强公众环保意识，形成全社会共同参与的生态修复氛围。</w:t>
      </w:r>
    </w:p>
    <w:p w14:paraId="7848FD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措施：加强生态教育和宣传，提高居民对生态保护的认识和参与度，鼓励社区、企业和社会组织参与生态修复工作。</w:t>
      </w:r>
    </w:p>
    <w:p w14:paraId="56279B05">
      <w:pPr>
        <w:keepNext/>
        <w:keepLines/>
        <w:widowControl w:val="0"/>
        <w:bidi w:val="0"/>
        <w:spacing w:before="140" w:after="140" w:line="413" w:lineRule="auto"/>
        <w:jc w:val="left"/>
        <w:outlineLvl w:val="1"/>
        <w:rPr>
          <w:rFonts w:ascii="宋体" w:hAnsi="宋体" w:eastAsia="宋体" w:cs="宋体"/>
          <w:b/>
          <w:kern w:val="2"/>
          <w:sz w:val="28"/>
          <w:szCs w:val="28"/>
          <w:lang w:val="en-US" w:eastAsia="zh-CN" w:bidi="ar-SA"/>
        </w:rPr>
      </w:pPr>
      <w:bookmarkStart w:id="50" w:name="_Toc1190"/>
      <w:bookmarkStart w:id="51" w:name="_Toc6416"/>
      <w:r>
        <w:rPr>
          <w:rFonts w:hint="eastAsia" w:ascii="宋体" w:hAnsi="宋体" w:eastAsia="宋体" w:cs="宋体"/>
          <w:b/>
          <w:kern w:val="2"/>
          <w:sz w:val="28"/>
          <w:szCs w:val="28"/>
          <w:lang w:val="en-US" w:eastAsia="zh-CN" w:bidi="ar-SA"/>
        </w:rPr>
        <w:t>第三节 规划指标体系</w:t>
      </w:r>
      <w:bookmarkEnd w:id="50"/>
      <w:bookmarkEnd w:id="51"/>
    </w:p>
    <w:p w14:paraId="344B77C4">
      <w:pPr>
        <w:outlineLvl w:val="2"/>
        <w:rPr>
          <w:rFonts w:hint="eastAsia" w:ascii="仿宋" w:hAnsi="仿宋" w:eastAsia="仿宋" w:cs="仿宋"/>
          <w:b/>
          <w:bCs/>
          <w:sz w:val="28"/>
          <w:szCs w:val="28"/>
          <w:lang w:val="en-US" w:eastAsia="zh-CN"/>
        </w:rPr>
      </w:pPr>
      <w:bookmarkStart w:id="52" w:name="_Toc20810"/>
      <w:r>
        <w:rPr>
          <w:rFonts w:hint="eastAsia" w:ascii="仿宋" w:hAnsi="仿宋" w:eastAsia="仿宋" w:cs="仿宋"/>
          <w:b/>
          <w:bCs/>
          <w:sz w:val="28"/>
          <w:szCs w:val="28"/>
          <w:lang w:val="en-US" w:eastAsia="zh-CN"/>
        </w:rPr>
        <w:t>第24条规划指标</w:t>
      </w:r>
      <w:bookmarkEnd w:id="52"/>
    </w:p>
    <w:p w14:paraId="14ADFD1E">
      <w:pPr>
        <w:keepNext w:val="0"/>
        <w:keepLines w:val="0"/>
        <w:pageBreakBefore w:val="0"/>
        <w:widowControl/>
        <w:suppressLineNumbers w:val="0"/>
        <w:kinsoku/>
        <w:wordWrap/>
        <w:overflowPunct/>
        <w:topLinePunct w:val="0"/>
        <w:autoSpaceDE/>
        <w:autoSpaceDN/>
        <w:bidi w:val="0"/>
        <w:adjustRightInd/>
        <w:snapToGrid/>
        <w:ind w:firstLine="560" w:firstLineChars="200"/>
        <w:jc w:val="left"/>
        <w:textAlignment w:val="auto"/>
        <w:rPr>
          <w:rFonts w:asciiTheme="minorHAnsi" w:hAnsiTheme="minorHAnsi"/>
          <w:sz w:val="31"/>
        </w:rPr>
      </w:pPr>
      <w:r>
        <w:rPr>
          <w:rFonts w:ascii="仿宋" w:hAnsi="仿宋" w:eastAsia="仿宋" w:cs="仿宋"/>
          <w:color w:val="000000"/>
          <w:kern w:val="0"/>
          <w:sz w:val="28"/>
          <w:szCs w:val="28"/>
          <w:lang w:val="en-US" w:eastAsia="zh-CN" w:bidi="ar"/>
        </w:rPr>
        <w:t>围绕设定的规划目标以及福建省、</w:t>
      </w:r>
      <w:r>
        <w:rPr>
          <w:rFonts w:hint="eastAsia" w:ascii="仿宋" w:hAnsi="仿宋" w:eastAsia="仿宋" w:cs="仿宋"/>
          <w:color w:val="000000"/>
          <w:kern w:val="0"/>
          <w:sz w:val="28"/>
          <w:szCs w:val="28"/>
          <w:lang w:val="en-US" w:eastAsia="zh-CN" w:bidi="ar"/>
        </w:rPr>
        <w:t>龙岩</w:t>
      </w:r>
      <w:r>
        <w:rPr>
          <w:rFonts w:ascii="仿宋" w:hAnsi="仿宋" w:eastAsia="仿宋" w:cs="仿宋"/>
          <w:color w:val="000000"/>
          <w:kern w:val="0"/>
          <w:sz w:val="28"/>
          <w:szCs w:val="28"/>
          <w:lang w:val="en-US" w:eastAsia="zh-CN" w:bidi="ar"/>
        </w:rPr>
        <w:t xml:space="preserve">市生态修复规划指标体系， </w:t>
      </w:r>
    </w:p>
    <w:p w14:paraId="6CE39B05">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构建上杭县生态修复指标，主要指标包括生态质量、修复治理</w:t>
      </w:r>
      <w:r>
        <w:rPr>
          <w:rFonts w:hint="default" w:ascii="Times New Roman" w:hAnsi="Times New Roman" w:eastAsia="宋体" w:cs="Times New Roman"/>
          <w:color w:val="000000"/>
          <w:kern w:val="0"/>
          <w:sz w:val="28"/>
          <w:szCs w:val="28"/>
          <w:lang w:val="en-US" w:eastAsia="zh-CN" w:bidi="ar"/>
        </w:rPr>
        <w:t>2</w:t>
      </w:r>
      <w:r>
        <w:rPr>
          <w:rFonts w:hint="eastAsia" w:ascii="仿宋" w:hAnsi="仿宋" w:eastAsia="仿宋" w:cs="仿宋"/>
          <w:color w:val="000000"/>
          <w:kern w:val="0"/>
          <w:sz w:val="28"/>
          <w:szCs w:val="28"/>
          <w:lang w:val="en-US" w:eastAsia="zh-CN" w:bidi="ar"/>
        </w:rPr>
        <w:t>个类别</w:t>
      </w:r>
      <w:r>
        <w:rPr>
          <w:rFonts w:hint="default" w:ascii="Times New Roman" w:hAnsi="Times New Roman" w:eastAsia="宋体" w:cs="Times New Roman"/>
          <w:color w:val="000000"/>
          <w:kern w:val="0"/>
          <w:sz w:val="28"/>
          <w:szCs w:val="28"/>
          <w:lang w:val="en-US" w:eastAsia="zh-CN" w:bidi="ar"/>
        </w:rPr>
        <w:t>1</w:t>
      </w:r>
      <w:r>
        <w:rPr>
          <w:rFonts w:hint="eastAsia" w:ascii="Times New Roman" w:hAnsi="Times New Roman" w:eastAsia="宋体" w:cs="Times New Roman"/>
          <w:color w:val="000000"/>
          <w:kern w:val="0"/>
          <w:sz w:val="28"/>
          <w:szCs w:val="28"/>
          <w:lang w:val="en-US" w:eastAsia="zh-CN" w:bidi="ar"/>
        </w:rPr>
        <w:t>2</w:t>
      </w:r>
      <w:r>
        <w:rPr>
          <w:rFonts w:hint="eastAsia" w:ascii="仿宋" w:hAnsi="仿宋" w:eastAsia="仿宋" w:cs="仿宋"/>
          <w:color w:val="000000"/>
          <w:kern w:val="0"/>
          <w:sz w:val="28"/>
          <w:szCs w:val="28"/>
          <w:lang w:val="en-US" w:eastAsia="zh-CN" w:bidi="ar"/>
        </w:rPr>
        <w:t>个指标项，属性包括约束性和预期性两项。详见附表</w:t>
      </w:r>
      <w:r>
        <w:rPr>
          <w:rFonts w:hint="default" w:ascii="Times New Roman" w:hAnsi="Times New Roman" w:eastAsia="宋体" w:cs="Times New Roman"/>
          <w:color w:val="000000"/>
          <w:kern w:val="0"/>
          <w:sz w:val="28"/>
          <w:szCs w:val="28"/>
          <w:lang w:val="en-US" w:eastAsia="zh-CN" w:bidi="ar"/>
        </w:rPr>
        <w:t>1</w:t>
      </w:r>
      <w:r>
        <w:rPr>
          <w:rFonts w:hint="eastAsia" w:ascii="仿宋" w:hAnsi="仿宋" w:eastAsia="仿宋" w:cs="仿宋"/>
          <w:color w:val="000000"/>
          <w:kern w:val="0"/>
          <w:sz w:val="28"/>
          <w:szCs w:val="28"/>
          <w:lang w:val="en-US" w:eastAsia="zh-CN" w:bidi="ar"/>
        </w:rPr>
        <w:t>。</w:t>
      </w:r>
    </w:p>
    <w:p w14:paraId="17CF53C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color w:val="000000"/>
          <w:kern w:val="0"/>
          <w:sz w:val="28"/>
          <w:szCs w:val="28"/>
          <w:lang w:val="en-US" w:eastAsia="zh-CN" w:bidi="ar"/>
        </w:rPr>
      </w:pPr>
      <w:r>
        <w:rPr>
          <w:rFonts w:hint="eastAsia" w:ascii="仿宋" w:hAnsi="仿宋" w:cs="仿宋"/>
          <w:kern w:val="0"/>
          <w:sz w:val="28"/>
          <w:szCs w:val="28"/>
          <w:lang w:val="en-US" w:eastAsia="zh-CN" w:bidi="ar"/>
        </w:rPr>
        <w:t>附</w:t>
      </w:r>
      <w:r>
        <w:rPr>
          <w:rFonts w:ascii="仿宋" w:hAnsi="仿宋" w:cs="仿宋"/>
          <w:kern w:val="0"/>
          <w:sz w:val="28"/>
          <w:szCs w:val="28"/>
          <w:lang w:val="en-US" w:eastAsia="zh-CN" w:bidi="ar"/>
        </w:rPr>
        <w:t>表</w:t>
      </w:r>
      <w:r>
        <w:rPr>
          <w:rFonts w:hint="default" w:ascii="仿宋" w:hAnsi="仿宋" w:cs="仿宋"/>
          <w:kern w:val="0"/>
          <w:sz w:val="28"/>
          <w:szCs w:val="28"/>
          <w:lang w:val="en-US" w:eastAsia="zh-CN" w:bidi="ar"/>
        </w:rPr>
        <w:t xml:space="preserve">1 </w:t>
      </w:r>
      <w:r>
        <w:rPr>
          <w:rFonts w:hint="eastAsia" w:ascii="仿宋" w:hAnsi="仿宋" w:cs="仿宋"/>
          <w:kern w:val="0"/>
          <w:sz w:val="28"/>
          <w:szCs w:val="28"/>
          <w:lang w:val="en-US" w:eastAsia="zh-CN" w:bidi="ar"/>
        </w:rPr>
        <w:t>上杭县国土空间生态修复规划指标表</w:t>
      </w:r>
    </w:p>
    <w:tbl>
      <w:tblPr>
        <w:tblStyle w:val="14"/>
        <w:tblW w:w="8167" w:type="dxa"/>
        <w:jc w:val="center"/>
        <w:tblLayout w:type="fixed"/>
        <w:tblCellMar>
          <w:top w:w="0" w:type="dxa"/>
          <w:left w:w="108" w:type="dxa"/>
          <w:bottom w:w="0" w:type="dxa"/>
          <w:right w:w="108" w:type="dxa"/>
        </w:tblCellMar>
      </w:tblPr>
      <w:tblGrid>
        <w:gridCol w:w="877"/>
        <w:gridCol w:w="878"/>
        <w:gridCol w:w="1743"/>
        <w:gridCol w:w="787"/>
        <w:gridCol w:w="840"/>
        <w:gridCol w:w="978"/>
        <w:gridCol w:w="1032"/>
        <w:gridCol w:w="1032"/>
      </w:tblGrid>
      <w:tr w14:paraId="41E90C04">
        <w:tblPrEx>
          <w:tblCellMar>
            <w:top w:w="0" w:type="dxa"/>
            <w:left w:w="108" w:type="dxa"/>
            <w:bottom w:w="0" w:type="dxa"/>
            <w:right w:w="108" w:type="dxa"/>
          </w:tblCellMar>
        </w:tblPrEx>
        <w:trPr>
          <w:cantSplit/>
          <w:trHeight w:val="493" w:hRule="atLeast"/>
          <w:tblHeader/>
          <w:jc w:val="center"/>
        </w:trPr>
        <w:tc>
          <w:tcPr>
            <w:tcW w:w="877"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474555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序号</w:t>
            </w:r>
          </w:p>
        </w:tc>
        <w:tc>
          <w:tcPr>
            <w:tcW w:w="87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FBF91E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类型</w:t>
            </w:r>
          </w:p>
        </w:tc>
        <w:tc>
          <w:tcPr>
            <w:tcW w:w="174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BA5B68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指标名称</w:t>
            </w:r>
          </w:p>
        </w:tc>
        <w:tc>
          <w:tcPr>
            <w:tcW w:w="787"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1375BA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单位</w:t>
            </w:r>
          </w:p>
        </w:tc>
        <w:tc>
          <w:tcPr>
            <w:tcW w:w="840"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632B2F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现状2020</w:t>
            </w:r>
            <w:r>
              <w:rPr>
                <w:rFonts w:hint="default" w:ascii="Calibri" w:hAnsi="Calibri" w:eastAsia="宋体" w:cs="Times New Roman"/>
                <w:kern w:val="0"/>
                <w:sz w:val="24"/>
                <w:szCs w:val="24"/>
              </w:rPr>
              <w:t>年</w:t>
            </w:r>
          </w:p>
        </w:tc>
        <w:tc>
          <w:tcPr>
            <w:tcW w:w="201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2CA4810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规划目标</w:t>
            </w:r>
          </w:p>
        </w:tc>
        <w:tc>
          <w:tcPr>
            <w:tcW w:w="1032"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634F45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属性</w:t>
            </w:r>
          </w:p>
        </w:tc>
      </w:tr>
      <w:tr w14:paraId="43D79548">
        <w:tblPrEx>
          <w:tblCellMar>
            <w:top w:w="0" w:type="dxa"/>
            <w:left w:w="108" w:type="dxa"/>
            <w:bottom w:w="0" w:type="dxa"/>
            <w:right w:w="108" w:type="dxa"/>
          </w:tblCellMar>
        </w:tblPrEx>
        <w:trPr>
          <w:trHeight w:val="552" w:hRule="atLeast"/>
          <w:tblHeader/>
          <w:jc w:val="center"/>
        </w:trPr>
        <w:tc>
          <w:tcPr>
            <w:tcW w:w="877"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1CABD1">
            <w:pPr>
              <w:ind w:firstLine="0" w:firstLineChars="0"/>
              <w:jc w:val="center"/>
              <w:rPr>
                <w:rFonts w:ascii="Calibri" w:hAnsi="Calibri" w:eastAsia="宋体" w:cs="Times New Roman"/>
                <w:kern w:val="0"/>
                <w:sz w:val="24"/>
                <w:szCs w:val="24"/>
              </w:rPr>
            </w:pPr>
          </w:p>
        </w:tc>
        <w:tc>
          <w:tcPr>
            <w:tcW w:w="878"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6075670">
            <w:pPr>
              <w:ind w:firstLine="0" w:firstLineChars="0"/>
              <w:jc w:val="center"/>
              <w:rPr>
                <w:rFonts w:ascii="Calibri" w:hAnsi="Calibri" w:eastAsia="宋体" w:cs="Times New Roman"/>
                <w:kern w:val="0"/>
                <w:sz w:val="24"/>
                <w:szCs w:val="24"/>
              </w:rPr>
            </w:pPr>
          </w:p>
        </w:tc>
        <w:tc>
          <w:tcPr>
            <w:tcW w:w="174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87A5F7E">
            <w:pPr>
              <w:ind w:firstLine="0" w:firstLineChars="0"/>
              <w:jc w:val="center"/>
              <w:rPr>
                <w:rFonts w:ascii="Calibri" w:hAnsi="Calibri" w:eastAsia="宋体" w:cs="Times New Roman"/>
                <w:kern w:val="0"/>
                <w:sz w:val="24"/>
                <w:szCs w:val="24"/>
              </w:rPr>
            </w:pPr>
          </w:p>
        </w:tc>
        <w:tc>
          <w:tcPr>
            <w:tcW w:w="787"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1FFEFDAB">
            <w:pPr>
              <w:ind w:firstLine="0" w:firstLineChars="0"/>
              <w:jc w:val="center"/>
              <w:rPr>
                <w:rFonts w:ascii="Calibri" w:hAnsi="Calibri" w:eastAsia="宋体" w:cs="Times New Roman"/>
                <w:kern w:val="0"/>
                <w:sz w:val="24"/>
                <w:szCs w:val="24"/>
              </w:rPr>
            </w:pPr>
          </w:p>
        </w:tc>
        <w:tc>
          <w:tcPr>
            <w:tcW w:w="840"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80290CD">
            <w:pPr>
              <w:ind w:firstLine="0" w:firstLineChars="0"/>
              <w:jc w:val="center"/>
              <w:rPr>
                <w:rFonts w:ascii="Calibri" w:hAnsi="Calibri" w:eastAsia="宋体" w:cs="Times New Roman"/>
                <w:kern w:val="0"/>
                <w:sz w:val="24"/>
                <w:szCs w:val="24"/>
              </w:rPr>
            </w:pPr>
          </w:p>
        </w:tc>
        <w:tc>
          <w:tcPr>
            <w:tcW w:w="978" w:type="dxa"/>
            <w:tcBorders>
              <w:top w:val="nil"/>
              <w:left w:val="single" w:color="000000" w:sz="8" w:space="0"/>
              <w:bottom w:val="single" w:color="000000" w:sz="8" w:space="0"/>
              <w:right w:val="single" w:color="000000" w:sz="8" w:space="0"/>
            </w:tcBorders>
            <w:shd w:val="clear" w:color="auto" w:fill="auto"/>
            <w:vAlign w:val="center"/>
          </w:tcPr>
          <w:p w14:paraId="0ED1ABB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近期</w:t>
            </w:r>
            <w:r>
              <w:rPr>
                <w:rFonts w:hint="default" w:ascii="Calibri" w:hAnsi="Calibri" w:eastAsia="宋体" w:cs="Times New Roman"/>
                <w:kern w:val="0"/>
                <w:sz w:val="15"/>
                <w:szCs w:val="15"/>
              </w:rPr>
              <w:t>（</w:t>
            </w:r>
            <w:r>
              <w:rPr>
                <w:rFonts w:hint="eastAsia" w:ascii="Calibri" w:hAnsi="Calibri" w:eastAsia="宋体" w:cs="Times New Roman"/>
                <w:kern w:val="0"/>
                <w:sz w:val="15"/>
                <w:szCs w:val="15"/>
              </w:rPr>
              <w:t>2025</w:t>
            </w:r>
            <w:r>
              <w:rPr>
                <w:rFonts w:hint="default" w:ascii="Calibri" w:hAnsi="Calibri" w:eastAsia="宋体" w:cs="Times New Roman"/>
                <w:kern w:val="0"/>
                <w:sz w:val="15"/>
                <w:szCs w:val="15"/>
              </w:rPr>
              <w:t>年）</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3541C20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中远期</w:t>
            </w:r>
            <w:r>
              <w:rPr>
                <w:rFonts w:hint="default" w:ascii="Calibri" w:hAnsi="Calibri" w:eastAsia="宋体" w:cs="Times New Roman"/>
                <w:kern w:val="0"/>
                <w:sz w:val="15"/>
                <w:szCs w:val="15"/>
              </w:rPr>
              <w:t>（</w:t>
            </w:r>
            <w:r>
              <w:rPr>
                <w:rFonts w:hint="eastAsia" w:ascii="Calibri" w:hAnsi="Calibri" w:eastAsia="宋体" w:cs="Times New Roman"/>
                <w:kern w:val="0"/>
                <w:sz w:val="15"/>
                <w:szCs w:val="15"/>
              </w:rPr>
              <w:t>2035</w:t>
            </w:r>
            <w:r>
              <w:rPr>
                <w:rFonts w:hint="default" w:ascii="Calibri" w:hAnsi="Calibri" w:eastAsia="宋体" w:cs="Times New Roman"/>
                <w:kern w:val="0"/>
                <w:sz w:val="15"/>
                <w:szCs w:val="15"/>
              </w:rPr>
              <w:t>年）</w:t>
            </w:r>
          </w:p>
        </w:tc>
        <w:tc>
          <w:tcPr>
            <w:tcW w:w="1032"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7F6530E2">
            <w:pPr>
              <w:ind w:firstLine="0" w:firstLineChars="0"/>
              <w:jc w:val="center"/>
              <w:rPr>
                <w:rFonts w:ascii="Calibri" w:hAnsi="Calibri" w:eastAsia="宋体" w:cs="Times New Roman"/>
                <w:kern w:val="0"/>
                <w:sz w:val="24"/>
                <w:szCs w:val="24"/>
              </w:rPr>
            </w:pPr>
          </w:p>
        </w:tc>
      </w:tr>
      <w:tr w14:paraId="1D843A6A">
        <w:tblPrEx>
          <w:tblCellMar>
            <w:top w:w="0" w:type="dxa"/>
            <w:left w:w="108" w:type="dxa"/>
            <w:bottom w:w="0" w:type="dxa"/>
            <w:right w:w="108" w:type="dxa"/>
          </w:tblCellMar>
        </w:tblPrEx>
        <w:trPr>
          <w:trHeight w:val="75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5777114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w:t>
            </w:r>
          </w:p>
        </w:tc>
        <w:tc>
          <w:tcPr>
            <w:tcW w:w="878" w:type="dxa"/>
            <w:vMerge w:val="restart"/>
            <w:tcBorders>
              <w:top w:val="nil"/>
              <w:left w:val="single" w:color="000000" w:sz="8" w:space="0"/>
              <w:bottom w:val="single" w:color="000000" w:sz="8" w:space="0"/>
              <w:right w:val="single" w:color="000000" w:sz="8" w:space="0"/>
            </w:tcBorders>
            <w:shd w:val="clear" w:color="auto" w:fill="auto"/>
            <w:vAlign w:val="center"/>
          </w:tcPr>
          <w:p w14:paraId="6F2B6FA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生态质量</w:t>
            </w:r>
            <w:r>
              <w:rPr>
                <w:rFonts w:hint="default" w:ascii="Calibri" w:hAnsi="Calibri" w:eastAsia="宋体" w:cs="Times New Roman"/>
                <w:kern w:val="0"/>
                <w:sz w:val="24"/>
                <w:szCs w:val="24"/>
              </w:rPr>
              <w:t>类</w:t>
            </w: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5BBFDB0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森林覆盖率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401D572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32D82C11">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77.5</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38B4CD9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77.1</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2878A799">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77.1</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1615ADB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约束性</w:t>
            </w:r>
          </w:p>
        </w:tc>
      </w:tr>
      <w:tr w14:paraId="7BF911B2">
        <w:tblPrEx>
          <w:tblCellMar>
            <w:top w:w="0" w:type="dxa"/>
            <w:left w:w="108" w:type="dxa"/>
            <w:bottom w:w="0" w:type="dxa"/>
            <w:right w:w="108" w:type="dxa"/>
          </w:tblCellMar>
        </w:tblPrEx>
        <w:trPr>
          <w:trHeight w:val="732"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608904E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137C8AB3">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1898837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森林蓄积量</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4C509975">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亿立方米</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65BF2DC5">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2.05</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3D16D3D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2.18</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73F100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5D1B8CB5">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约束性</w:t>
            </w:r>
          </w:p>
        </w:tc>
      </w:tr>
      <w:tr w14:paraId="6CB65471">
        <w:tblPrEx>
          <w:tblCellMar>
            <w:top w:w="0" w:type="dxa"/>
            <w:left w:w="108" w:type="dxa"/>
            <w:bottom w:w="0" w:type="dxa"/>
            <w:right w:w="108" w:type="dxa"/>
          </w:tblCellMar>
        </w:tblPrEx>
        <w:trPr>
          <w:trHeight w:val="744"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7E9319B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3</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0135FE87">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06A99FD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水土流失率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2303D1F1">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52E3E19E">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6.25</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64781CBE">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＜6</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09E91B27">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＜6</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2D27CAA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约束性</w:t>
            </w:r>
          </w:p>
        </w:tc>
      </w:tr>
      <w:tr w14:paraId="3A95B111">
        <w:tblPrEx>
          <w:tblCellMar>
            <w:top w:w="0" w:type="dxa"/>
            <w:left w:w="108" w:type="dxa"/>
            <w:bottom w:w="0" w:type="dxa"/>
            <w:right w:w="108" w:type="dxa"/>
          </w:tblCellMar>
        </w:tblPrEx>
        <w:trPr>
          <w:trHeight w:val="780"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07C920DA">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4</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27EC2A24">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07193D9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自然保护地面积</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1E010D0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万公顷</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731EE09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1.32</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1AB0175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1.32</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3AAB15B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1.32</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2F9A73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77854F26">
        <w:tblPrEx>
          <w:tblCellMar>
            <w:top w:w="0" w:type="dxa"/>
            <w:left w:w="108" w:type="dxa"/>
            <w:bottom w:w="0" w:type="dxa"/>
            <w:right w:w="108" w:type="dxa"/>
          </w:tblCellMar>
        </w:tblPrEx>
        <w:trPr>
          <w:trHeight w:val="81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1BC8EEF5">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5</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30212C93">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14DD3D5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重点野生动植物种数保护率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5D6B6B0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3BB6CF2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80</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5E6B20E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80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0279283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80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71C9641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45291696">
        <w:tblPrEx>
          <w:tblCellMar>
            <w:top w:w="0" w:type="dxa"/>
            <w:left w:w="108" w:type="dxa"/>
            <w:bottom w:w="0" w:type="dxa"/>
            <w:right w:w="108" w:type="dxa"/>
          </w:tblCellMar>
        </w:tblPrEx>
        <w:trPr>
          <w:trHeight w:val="93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25F796C2">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6</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5FCAF190">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724A68E0">
            <w:pPr>
              <w:keepNext w:val="0"/>
              <w:keepLines w:val="0"/>
              <w:pageBreakBefore w:val="0"/>
              <w:widowControl w:val="0"/>
              <w:kinsoku/>
              <w:wordWrap/>
              <w:overflowPunct/>
              <w:topLinePunct w:val="0"/>
              <w:autoSpaceDE/>
              <w:autoSpaceDN/>
              <w:bidi w:val="0"/>
              <w:adjustRightInd/>
              <w:snapToGrid/>
              <w:spacing w:line="20" w:lineRule="atLeast"/>
              <w:ind w:firstLine="0" w:firstLineChars="0"/>
              <w:jc w:val="center"/>
              <w:textAlignment w:val="auto"/>
              <w:rPr>
                <w:rFonts w:ascii="Calibri" w:hAnsi="Calibri" w:eastAsia="宋体" w:cs="Times New Roman"/>
                <w:kern w:val="0"/>
                <w:sz w:val="24"/>
                <w:szCs w:val="24"/>
              </w:rPr>
            </w:pPr>
            <w:r>
              <w:rPr>
                <w:rFonts w:hint="eastAsia" w:ascii="Calibri" w:hAnsi="Calibri" w:eastAsia="宋体" w:cs="Times New Roman"/>
                <w:kern w:val="0"/>
                <w:sz w:val="24"/>
                <w:szCs w:val="24"/>
              </w:rPr>
              <w:t>主要河流控制断面生态需水达标率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4EB3969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3D78968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706F0141">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＞90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58C7F3F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＞90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19EBBA1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0C179292">
        <w:tblPrEx>
          <w:tblCellMar>
            <w:top w:w="0" w:type="dxa"/>
            <w:left w:w="108" w:type="dxa"/>
            <w:bottom w:w="0" w:type="dxa"/>
            <w:right w:w="108" w:type="dxa"/>
          </w:tblCellMar>
        </w:tblPrEx>
        <w:trPr>
          <w:trHeight w:val="93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7A2D758E">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7</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4F8D236B">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2B8597A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主要河流I</w:t>
            </w:r>
            <w:r>
              <w:rPr>
                <w:rFonts w:hint="default" w:ascii="Calibri" w:hAnsi="Calibri" w:eastAsia="宋体" w:cs="Times New Roman"/>
                <w:kern w:val="0"/>
                <w:sz w:val="24"/>
                <w:szCs w:val="24"/>
              </w:rPr>
              <w:t>类—Ⅲ类优质水比例</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05E1C7F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75ECB63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100</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05C6A699">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100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4301DAE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100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2752E2E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7EA00AC8">
        <w:tblPrEx>
          <w:tblCellMar>
            <w:top w:w="0" w:type="dxa"/>
            <w:left w:w="108" w:type="dxa"/>
            <w:bottom w:w="0" w:type="dxa"/>
            <w:right w:w="108" w:type="dxa"/>
          </w:tblCellMar>
        </w:tblPrEx>
        <w:trPr>
          <w:trHeight w:val="81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067CCBFC">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8</w:t>
            </w:r>
          </w:p>
        </w:tc>
        <w:tc>
          <w:tcPr>
            <w:tcW w:w="878" w:type="dxa"/>
            <w:vMerge w:val="restart"/>
            <w:tcBorders>
              <w:top w:val="nil"/>
              <w:left w:val="single" w:color="000000" w:sz="8" w:space="0"/>
              <w:bottom w:val="single" w:color="000000" w:sz="8" w:space="0"/>
              <w:right w:val="single" w:color="000000" w:sz="8" w:space="0"/>
            </w:tcBorders>
            <w:shd w:val="clear" w:color="auto" w:fill="auto"/>
            <w:vAlign w:val="center"/>
          </w:tcPr>
          <w:p w14:paraId="2B617A6D">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修复治理类</w:t>
            </w: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3BA1D322">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新增水土流失综合治理面积</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7CFE439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万亩</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3858B3B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6A6337B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10157568">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27.3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FF767F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1B43AB9C">
        <w:tblPrEx>
          <w:tblCellMar>
            <w:top w:w="0" w:type="dxa"/>
            <w:left w:w="108" w:type="dxa"/>
            <w:bottom w:w="0" w:type="dxa"/>
            <w:right w:w="108" w:type="dxa"/>
          </w:tblCellMar>
        </w:tblPrEx>
        <w:trPr>
          <w:trHeight w:val="75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015B5EA2">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lang w:val="en-US" w:eastAsia="zh-CN"/>
              </w:rPr>
              <w:t>9</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0105F6A0">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6C5F10C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历史遗留矿山恢复治理面积</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4859A098">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公顷</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70EA29D8">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25.3</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0B340F8F">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50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A57134F">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80.3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7A67429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27EE15C5">
        <w:tblPrEx>
          <w:tblCellMar>
            <w:top w:w="0" w:type="dxa"/>
            <w:left w:w="108" w:type="dxa"/>
            <w:bottom w:w="0" w:type="dxa"/>
            <w:right w:w="108" w:type="dxa"/>
          </w:tblCellMar>
        </w:tblPrEx>
        <w:trPr>
          <w:trHeight w:val="69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38C532E7">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rPr>
              <w:t>1</w:t>
            </w:r>
            <w:r>
              <w:rPr>
                <w:rFonts w:hint="eastAsia" w:ascii="Calibri" w:hAnsi="Calibri" w:eastAsia="宋体" w:cs="Times New Roman"/>
                <w:kern w:val="0"/>
                <w:sz w:val="24"/>
                <w:szCs w:val="24"/>
                <w:lang w:val="en-US" w:eastAsia="zh-CN"/>
              </w:rPr>
              <w:t>0</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0AE2E893">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7C569815">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受污染耕地安全利用率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709CF878">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04662EA1">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≥91</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12549FF0">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93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31E0D73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95</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5E36FD9F">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100B8518">
        <w:tblPrEx>
          <w:tblCellMar>
            <w:top w:w="0" w:type="dxa"/>
            <w:left w:w="108" w:type="dxa"/>
            <w:bottom w:w="0" w:type="dxa"/>
            <w:right w:w="108" w:type="dxa"/>
          </w:tblCellMar>
        </w:tblPrEx>
        <w:trPr>
          <w:trHeight w:val="756"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4732E40B">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rPr>
              <w:t>1</w:t>
            </w:r>
            <w:r>
              <w:rPr>
                <w:rFonts w:hint="eastAsia" w:ascii="Calibri" w:hAnsi="Calibri" w:eastAsia="宋体" w:cs="Times New Roman"/>
                <w:kern w:val="0"/>
                <w:sz w:val="24"/>
                <w:szCs w:val="24"/>
                <w:lang w:val="en-US" w:eastAsia="zh-CN"/>
              </w:rPr>
              <w:t>1</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6DB37B4B">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327573FA">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林业有害生物成灾率</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7DFEF31B">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2F62263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3</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1DC69703">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4DC0662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＜3</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A107824">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r w14:paraId="4D86392C">
        <w:tblPrEx>
          <w:tblCellMar>
            <w:top w:w="0" w:type="dxa"/>
            <w:left w:w="108" w:type="dxa"/>
            <w:bottom w:w="0" w:type="dxa"/>
            <w:right w:w="108" w:type="dxa"/>
          </w:tblCellMar>
        </w:tblPrEx>
        <w:trPr>
          <w:trHeight w:val="800" w:hRule="atLeast"/>
          <w:jc w:val="center"/>
        </w:trPr>
        <w:tc>
          <w:tcPr>
            <w:tcW w:w="877" w:type="dxa"/>
            <w:tcBorders>
              <w:top w:val="nil"/>
              <w:left w:val="single" w:color="000000" w:sz="8" w:space="0"/>
              <w:bottom w:val="single" w:color="000000" w:sz="8" w:space="0"/>
              <w:right w:val="single" w:color="000000" w:sz="8" w:space="0"/>
            </w:tcBorders>
            <w:shd w:val="clear" w:color="auto" w:fill="auto"/>
            <w:vAlign w:val="center"/>
          </w:tcPr>
          <w:p w14:paraId="6CABFFA4">
            <w:pPr>
              <w:ind w:firstLine="0" w:firstLineChars="0"/>
              <w:jc w:val="center"/>
              <w:rPr>
                <w:rFonts w:hint="eastAsia" w:ascii="Calibri" w:hAnsi="Calibri" w:eastAsia="宋体" w:cs="Times New Roman"/>
                <w:kern w:val="0"/>
                <w:sz w:val="24"/>
                <w:szCs w:val="24"/>
                <w:lang w:eastAsia="zh-CN"/>
              </w:rPr>
            </w:pPr>
            <w:r>
              <w:rPr>
                <w:rFonts w:hint="eastAsia" w:ascii="Calibri" w:hAnsi="Calibri" w:eastAsia="宋体" w:cs="Times New Roman"/>
                <w:kern w:val="0"/>
                <w:sz w:val="24"/>
                <w:szCs w:val="24"/>
              </w:rPr>
              <w:t>1</w:t>
            </w:r>
            <w:r>
              <w:rPr>
                <w:rFonts w:hint="eastAsia" w:ascii="Calibri" w:hAnsi="Calibri" w:eastAsia="宋体" w:cs="Times New Roman"/>
                <w:kern w:val="0"/>
                <w:sz w:val="24"/>
                <w:szCs w:val="24"/>
                <w:lang w:val="en-US" w:eastAsia="zh-CN"/>
              </w:rPr>
              <w:t>2</w:t>
            </w:r>
          </w:p>
        </w:tc>
        <w:tc>
          <w:tcPr>
            <w:tcW w:w="878" w:type="dxa"/>
            <w:vMerge w:val="continue"/>
            <w:tcBorders>
              <w:top w:val="nil"/>
              <w:left w:val="single" w:color="000000" w:sz="8" w:space="0"/>
              <w:bottom w:val="single" w:color="000000" w:sz="8" w:space="0"/>
              <w:right w:val="single" w:color="000000" w:sz="8" w:space="0"/>
            </w:tcBorders>
            <w:shd w:val="clear" w:color="auto" w:fill="auto"/>
            <w:vAlign w:val="center"/>
          </w:tcPr>
          <w:p w14:paraId="718A0BBD">
            <w:pPr>
              <w:ind w:firstLine="0" w:firstLineChars="0"/>
              <w:jc w:val="center"/>
              <w:rPr>
                <w:rFonts w:ascii="Calibri" w:hAnsi="Calibri" w:eastAsia="宋体" w:cs="Times New Roman"/>
                <w:kern w:val="0"/>
                <w:sz w:val="24"/>
                <w:szCs w:val="24"/>
              </w:rPr>
            </w:pPr>
          </w:p>
        </w:tc>
        <w:tc>
          <w:tcPr>
            <w:tcW w:w="1743" w:type="dxa"/>
            <w:tcBorders>
              <w:top w:val="nil"/>
              <w:left w:val="single" w:color="000000" w:sz="8" w:space="0"/>
              <w:bottom w:val="single" w:color="000000" w:sz="8" w:space="0"/>
              <w:right w:val="single" w:color="000000" w:sz="8" w:space="0"/>
            </w:tcBorders>
            <w:shd w:val="clear" w:color="auto" w:fill="auto"/>
            <w:vAlign w:val="center"/>
          </w:tcPr>
          <w:p w14:paraId="488F40E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新增高标准农田建设面积</w:t>
            </w:r>
          </w:p>
        </w:tc>
        <w:tc>
          <w:tcPr>
            <w:tcW w:w="787" w:type="dxa"/>
            <w:tcBorders>
              <w:top w:val="nil"/>
              <w:left w:val="single" w:color="000000" w:sz="8" w:space="0"/>
              <w:bottom w:val="single" w:color="000000" w:sz="8" w:space="0"/>
              <w:right w:val="single" w:color="000000" w:sz="8" w:space="0"/>
            </w:tcBorders>
            <w:shd w:val="clear" w:color="auto" w:fill="auto"/>
            <w:vAlign w:val="center"/>
          </w:tcPr>
          <w:p w14:paraId="3D958316">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万亩</w:t>
            </w:r>
          </w:p>
        </w:tc>
        <w:tc>
          <w:tcPr>
            <w:tcW w:w="840" w:type="dxa"/>
            <w:tcBorders>
              <w:top w:val="nil"/>
              <w:left w:val="single" w:color="000000" w:sz="8" w:space="0"/>
              <w:bottom w:val="single" w:color="000000" w:sz="8" w:space="0"/>
              <w:right w:val="single" w:color="000000" w:sz="8" w:space="0"/>
            </w:tcBorders>
            <w:shd w:val="clear" w:color="auto" w:fill="auto"/>
            <w:vAlign w:val="center"/>
          </w:tcPr>
          <w:p w14:paraId="255F517F">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w:t>
            </w:r>
          </w:p>
        </w:tc>
        <w:tc>
          <w:tcPr>
            <w:tcW w:w="978" w:type="dxa"/>
            <w:tcBorders>
              <w:top w:val="nil"/>
              <w:left w:val="single" w:color="000000" w:sz="8" w:space="0"/>
              <w:bottom w:val="single" w:color="000000" w:sz="8" w:space="0"/>
              <w:right w:val="single" w:color="000000" w:sz="8" w:space="0"/>
            </w:tcBorders>
            <w:shd w:val="clear" w:color="auto" w:fill="auto"/>
            <w:vAlign w:val="center"/>
          </w:tcPr>
          <w:p w14:paraId="13A7504E">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18</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65CC905C">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30</w:t>
            </w:r>
          </w:p>
        </w:tc>
        <w:tc>
          <w:tcPr>
            <w:tcW w:w="1032" w:type="dxa"/>
            <w:tcBorders>
              <w:top w:val="nil"/>
              <w:left w:val="single" w:color="000000" w:sz="8" w:space="0"/>
              <w:bottom w:val="single" w:color="000000" w:sz="8" w:space="0"/>
              <w:right w:val="single" w:color="000000" w:sz="8" w:space="0"/>
            </w:tcBorders>
            <w:shd w:val="clear" w:color="auto" w:fill="auto"/>
            <w:vAlign w:val="center"/>
          </w:tcPr>
          <w:p w14:paraId="4D967491">
            <w:pPr>
              <w:ind w:firstLine="0" w:firstLineChars="0"/>
              <w:jc w:val="center"/>
              <w:rPr>
                <w:rFonts w:ascii="Calibri" w:hAnsi="Calibri" w:eastAsia="宋体" w:cs="Times New Roman"/>
                <w:kern w:val="0"/>
                <w:sz w:val="24"/>
                <w:szCs w:val="24"/>
              </w:rPr>
            </w:pPr>
            <w:r>
              <w:rPr>
                <w:rFonts w:hint="eastAsia" w:ascii="Calibri" w:hAnsi="Calibri" w:eastAsia="宋体" w:cs="Times New Roman"/>
                <w:kern w:val="0"/>
                <w:sz w:val="24"/>
                <w:szCs w:val="24"/>
              </w:rPr>
              <w:t>预期性</w:t>
            </w:r>
          </w:p>
        </w:tc>
      </w:tr>
    </w:tbl>
    <w:p w14:paraId="57C07E22">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color w:val="000000"/>
          <w:kern w:val="0"/>
          <w:sz w:val="28"/>
          <w:szCs w:val="28"/>
          <w:lang w:val="en-US" w:eastAsia="zh-CN" w:bidi="ar"/>
        </w:rPr>
      </w:pPr>
    </w:p>
    <w:p w14:paraId="7446635F">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061EE722">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32FF5F44">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3CE8CD9D">
      <w:pPr>
        <w:pStyle w:val="2"/>
        <w:keepNext/>
        <w:keepLines/>
        <w:pageBreakBefore w:val="0"/>
        <w:widowControl w:val="0"/>
        <w:kinsoku/>
        <w:wordWrap/>
        <w:overflowPunct/>
        <w:topLinePunct w:val="0"/>
        <w:autoSpaceDE/>
        <w:autoSpaceDN/>
        <w:bidi w:val="0"/>
        <w:adjustRightInd/>
        <w:snapToGrid/>
        <w:ind w:firstLine="0" w:firstLineChars="0"/>
        <w:jc w:val="center"/>
        <w:textAlignment w:val="auto"/>
        <w:rPr>
          <w:rFonts w:ascii="宋体" w:hAnsi="宋体" w:eastAsia="宋体" w:cs="宋体"/>
        </w:rPr>
      </w:pPr>
      <w:bookmarkStart w:id="53" w:name="_Toc10480"/>
      <w:bookmarkStart w:id="54" w:name="_Toc25320"/>
      <w:bookmarkStart w:id="55" w:name="_Toc30156_WPSOffice_Level1"/>
      <w:r>
        <w:rPr>
          <w:rFonts w:hint="eastAsia" w:ascii="宋体" w:hAnsi="宋体" w:eastAsia="宋体" w:cs="宋体"/>
        </w:rPr>
        <w:t>第</w:t>
      </w:r>
      <w:r>
        <w:rPr>
          <w:rFonts w:hint="eastAsia" w:ascii="宋体" w:hAnsi="宋体" w:eastAsia="宋体" w:cs="宋体"/>
          <w:lang w:val="en-US" w:eastAsia="zh-CN"/>
        </w:rPr>
        <w:t>四</w:t>
      </w:r>
      <w:r>
        <w:rPr>
          <w:rFonts w:hint="eastAsia" w:ascii="宋体" w:hAnsi="宋体" w:eastAsia="宋体" w:cs="宋体"/>
        </w:rPr>
        <w:t>章 国土空间生态修复格局</w:t>
      </w:r>
      <w:bookmarkEnd w:id="53"/>
      <w:bookmarkEnd w:id="54"/>
      <w:bookmarkEnd w:id="55"/>
    </w:p>
    <w:p w14:paraId="4DCBCC3F">
      <w:pPr>
        <w:pStyle w:val="3"/>
        <w:bidi w:val="0"/>
        <w:ind w:left="0" w:leftChars="0" w:firstLine="0" w:firstLineChars="0"/>
        <w:jc w:val="both"/>
      </w:pPr>
      <w:bookmarkStart w:id="56" w:name="_Toc25360_WPSOffice_Level2"/>
      <w:bookmarkStart w:id="57" w:name="_Toc7136"/>
      <w:bookmarkStart w:id="58" w:name="_Toc6934"/>
      <w:r>
        <w:rPr>
          <w:rFonts w:hint="eastAsia"/>
        </w:rPr>
        <w:t>第一节 总体格局</w:t>
      </w:r>
      <w:bookmarkEnd w:id="56"/>
      <w:bookmarkEnd w:id="57"/>
      <w:bookmarkEnd w:id="58"/>
    </w:p>
    <w:p w14:paraId="14F686C1">
      <w:pPr>
        <w:outlineLvl w:val="2"/>
        <w:rPr>
          <w:rFonts w:hint="eastAsia" w:ascii="仿宋" w:hAnsi="仿宋" w:eastAsia="仿宋" w:cs="仿宋"/>
          <w:b/>
          <w:bCs/>
          <w:sz w:val="28"/>
          <w:szCs w:val="28"/>
          <w:lang w:val="en-US" w:eastAsia="zh-CN"/>
        </w:rPr>
      </w:pPr>
      <w:bookmarkStart w:id="59" w:name="_Toc27188"/>
      <w:r>
        <w:rPr>
          <w:rFonts w:hint="eastAsia" w:ascii="仿宋" w:hAnsi="仿宋" w:eastAsia="仿宋" w:cs="仿宋"/>
          <w:b/>
          <w:bCs/>
          <w:sz w:val="28"/>
          <w:szCs w:val="28"/>
          <w:lang w:val="en-US" w:eastAsia="zh-CN"/>
        </w:rPr>
        <w:t>第25条总体格局</w:t>
      </w:r>
      <w:bookmarkEnd w:id="59"/>
    </w:p>
    <w:p w14:paraId="468DD3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上杭县生态保护修复规划构建了“三屏、三廊、一带”的生态保护修复格局，旨在统筹推进国土空间的整体保护、系统修复与综合治理，确保自然生态安全边界。</w:t>
      </w:r>
    </w:p>
    <w:p w14:paraId="25265FD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“三屏”指的是以下三个生态屏障：</w:t>
      </w:r>
    </w:p>
    <w:p w14:paraId="2FEF10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西北部武夷山脉生态屏障：该屏障依托武夷山脉，发挥着重要的水源涵养、水土保持、防风固沙和生物多样性保护等功能，是上杭县西北部的重要生态屏障。</w:t>
      </w:r>
    </w:p>
    <w:p w14:paraId="25836B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东北部梅花山生态屏障：梅花山生态屏障位于东北部，不仅拥有丰富的动植物资源，还承担着保护珍稀野生动植物的重要任务，是上杭县生物多样性的宝库。</w:t>
      </w:r>
    </w:p>
    <w:p w14:paraId="3AADD3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东南部玳瑁山脉生态屏障：玳瑁山脉生态屏障位于东南部，同样具有显著的水源涵养、水土保持和生物多样性保护功能，对维护区域生态平衡至关重要。</w:t>
      </w:r>
    </w:p>
    <w:p w14:paraId="1ECB453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“三廊”指的是以下三条生态廊道：</w:t>
      </w:r>
    </w:p>
    <w:p w14:paraId="0EF355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旧县河流域生态廊道：依托旧县河，结合周边湖泊、湿地和绿道，构建成连接各生态节点的生态廊道，促进物种迁移和基因交流。</w:t>
      </w:r>
    </w:p>
    <w:p w14:paraId="6C2E3C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黄潭河流域生态廊道：以黄潭河为主体，通过构建生态廊道，加强流域内的生态联系，维护流域生态平衡。</w:t>
      </w:r>
    </w:p>
    <w:p w14:paraId="71A11C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汀江干流流域生态廊道：作为上杭县的主要水系，汀江干流流域的生态廊道连接多个重要生态节点，对于维护区域水生态安全具有重要意义。</w:t>
      </w:r>
    </w:p>
    <w:p w14:paraId="36C0837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一带</w:t>
      </w:r>
    </w:p>
    <w:p w14:paraId="2F8AB9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一带”指的是连通梅花山自然保护区和上杭国家森林自然公园的自然保护区景观带。这一景观带不仅增强了生态系统的连通性，还提升了区域的景观价值和生态旅游潜力，为公众提供亲近自然、享受生态美的好去处。</w:t>
      </w:r>
    </w:p>
    <w:p w14:paraId="5903C5AF">
      <w:pPr>
        <w:pStyle w:val="3"/>
        <w:bidi w:val="0"/>
        <w:ind w:left="0" w:leftChars="0" w:firstLine="0" w:firstLineChars="0"/>
        <w:jc w:val="both"/>
      </w:pPr>
      <w:bookmarkStart w:id="60" w:name="_Toc2928"/>
      <w:bookmarkStart w:id="61" w:name="_Toc2889_WPSOffice_Level2"/>
      <w:bookmarkStart w:id="62" w:name="_Toc31875"/>
      <w:r>
        <w:rPr>
          <w:rFonts w:hint="eastAsia"/>
        </w:rPr>
        <w:t>第二节 国土空间生态保护与修复分区</w:t>
      </w:r>
      <w:bookmarkEnd w:id="60"/>
      <w:bookmarkEnd w:id="61"/>
      <w:bookmarkEnd w:id="62"/>
    </w:p>
    <w:p w14:paraId="086CF7A9">
      <w:pPr>
        <w:outlineLvl w:val="2"/>
        <w:rPr>
          <w:rFonts w:hint="eastAsia" w:ascii="仿宋" w:hAnsi="仿宋" w:eastAsia="仿宋" w:cs="仿宋"/>
          <w:b/>
          <w:bCs/>
          <w:sz w:val="28"/>
          <w:szCs w:val="28"/>
          <w:lang w:val="en-US" w:eastAsia="zh-CN"/>
        </w:rPr>
      </w:pPr>
      <w:bookmarkStart w:id="63" w:name="_Toc23364"/>
      <w:r>
        <w:rPr>
          <w:rFonts w:hint="eastAsia" w:ascii="仿宋" w:hAnsi="仿宋" w:eastAsia="仿宋" w:cs="仿宋"/>
          <w:b/>
          <w:bCs/>
          <w:sz w:val="28"/>
          <w:szCs w:val="28"/>
          <w:lang w:val="en-US" w:eastAsia="zh-CN"/>
        </w:rPr>
        <w:t>第26条生态保护与修复分区</w:t>
      </w:r>
      <w:bookmarkEnd w:id="63"/>
    </w:p>
    <w:p w14:paraId="4111CB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上杭县根据各区域的自然条件和生态环境问题，划分了四个不同的生态修复区，并制定了相应的生态修复策略。</w:t>
      </w:r>
    </w:p>
    <w:p w14:paraId="75C4ED2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旧县河水土流失与矿山综合治理修复区（Ⅰ）</w:t>
      </w:r>
    </w:p>
    <w:p w14:paraId="241FDF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区域范围：包括南阳镇、通贤镇、才溪镇、旧县镇。</w:t>
      </w:r>
    </w:p>
    <w:p w14:paraId="5EC49C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主要问题：</w:t>
      </w:r>
    </w:p>
    <w:p w14:paraId="533B47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矿产资源丰富，矿业开发导致水土流失和水环境污染严重。</w:t>
      </w:r>
    </w:p>
    <w:p w14:paraId="530C12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植被以马尾松林为主，松材线虫病疫情严重。</w:t>
      </w:r>
    </w:p>
    <w:p w14:paraId="4B20073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生态修复策略：</w:t>
      </w:r>
    </w:p>
    <w:p w14:paraId="3001726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森林生态系统修复：加强森林生态系统功能的自然恢复和辅助修复，特别是马尾松林改造，防治松材线虫病等病虫害。</w:t>
      </w:r>
    </w:p>
    <w:p w14:paraId="6B3869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水土流失治理：对水土流失区域进行综合治理，通过植被恢复、坡面工程等措施减少水土流失。</w:t>
      </w:r>
    </w:p>
    <w:p w14:paraId="0D7D09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矿山生态修复：加强对矿山的生态修复，包括土地复垦、植被恢复等，同时严格管控矿山排污，防止二次污染。</w:t>
      </w:r>
    </w:p>
    <w:p w14:paraId="1B9701E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汀江干流水源涵养与水土保持生态修复区（Ⅱ）</w:t>
      </w:r>
    </w:p>
    <w:p w14:paraId="12B1B4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区域范围：包括湖洋镇、临城镇、临江镇、白砂镇、中都镇、下都镇。</w:t>
      </w:r>
    </w:p>
    <w:p w14:paraId="0157EE9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主要问题：</w:t>
      </w:r>
    </w:p>
    <w:p w14:paraId="1045BC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水系发达，水源涵养功能重要，但森林结构和树种结构不合理。</w:t>
      </w:r>
    </w:p>
    <w:p w14:paraId="6A21EE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森林覆盖率虽高，但低产低效林分比重较大，马尾松林为主，且部分区域松材线虫病严重。</w:t>
      </w:r>
    </w:p>
    <w:p w14:paraId="55CF6E1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果园受黄龙病影响较重。</w:t>
      </w:r>
    </w:p>
    <w:p w14:paraId="23E22E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生态修复策略：</w:t>
      </w:r>
    </w:p>
    <w:p w14:paraId="7BD5CA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森林生境保育：保育和恢复森林生境，通过补植乡土阔叶树种，逐步扩大常绿阔叶林面积，提高森林生态系统质量。</w:t>
      </w:r>
    </w:p>
    <w:p w14:paraId="250464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病虫害防治：加强松材线虫病防治，减少病虫害对森林的破坏。</w:t>
      </w:r>
    </w:p>
    <w:p w14:paraId="01CA61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水土流失治理：辅以局部水土流失区的综合治理，增强水源涵养能力。</w:t>
      </w:r>
    </w:p>
    <w:p w14:paraId="777282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果园管理：推广绿色果园管理技术，减少黄龙病等病害对果园的影响。</w:t>
      </w:r>
    </w:p>
    <w:p w14:paraId="0805F2D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黄潭河流域水质维护和防灾减灾区（Ⅲ）</w:t>
      </w:r>
    </w:p>
    <w:p w14:paraId="50CA70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区域范围：包括茶地镇、蓝溪镇、庐丰畲族乡、泮境乡、稔田镇、太拔镇、溪口镇、古田镇和蛟洋镇。</w:t>
      </w:r>
    </w:p>
    <w:p w14:paraId="7D64E0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主要问题：</w:t>
      </w:r>
    </w:p>
    <w:p w14:paraId="24C48B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水源涵养和水文调蓄功能较强，但部分河段易发生洪涝灾害。</w:t>
      </w:r>
    </w:p>
    <w:p w14:paraId="264818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蛟洋工业区对周边环境有一定影响，生态环境容量压力大。</w:t>
      </w:r>
    </w:p>
    <w:p w14:paraId="26F08A4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生态修复策略：</w:t>
      </w:r>
    </w:p>
    <w:p w14:paraId="2EE924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水质维护：加强对流域水质的监测和治理，减少城乡生活污水和工业废水污染。</w:t>
      </w:r>
    </w:p>
    <w:p w14:paraId="1CDBBC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防灾减灾：加快推进山洪沟治理和防洪堤建设，提高流域防洪能力。</w:t>
      </w:r>
    </w:p>
    <w:p w14:paraId="72D34F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生态农业：发展生态农业，减少面源污染，保护流域水质。</w:t>
      </w:r>
    </w:p>
    <w:p w14:paraId="4833ED3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万安溪水源涵养与生物多样性保护修复区（Ⅳ）</w:t>
      </w:r>
    </w:p>
    <w:p w14:paraId="362A2C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区域范围：以梅花山国家级自然保护区为核心区域。</w:t>
      </w:r>
    </w:p>
    <w:p w14:paraId="111D0A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主要问题：</w:t>
      </w:r>
    </w:p>
    <w:p w14:paraId="501CAEF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森林覆盖率高，生物多样性丰富，但针叶林占比偏高，存在局部土壤侵蚀和景区生态环境破坏问题。</w:t>
      </w:r>
    </w:p>
    <w:p w14:paraId="133B48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生态修复策略：</w:t>
      </w:r>
    </w:p>
    <w:p w14:paraId="50808F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生物多样性保护：加强梅花山国家级自然保护区的保护力度，维护生物多样性。</w:t>
      </w:r>
    </w:p>
    <w:p w14:paraId="635702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森林结构优化：通过补植阔叶树种，调整森林结构，减少针叶林比重，提高森林生态系统的稳定性。</w:t>
      </w:r>
    </w:p>
    <w:p w14:paraId="62F5A8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土壤侵蚀治理：对局部水土流失区进行治理，防止土壤侵蚀加剧。</w:t>
      </w:r>
    </w:p>
    <w:p w14:paraId="1B48B1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景区环境管理：加强对景区生态环境的监管，防止旅游活动对生态环境的破坏。</w:t>
      </w:r>
    </w:p>
    <w:p w14:paraId="76467BBA">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48DDF564">
      <w:pPr>
        <w:pStyle w:val="3"/>
        <w:bidi w:val="0"/>
        <w:ind w:left="0" w:leftChars="0" w:firstLine="0" w:firstLineChars="0"/>
        <w:jc w:val="both"/>
      </w:pPr>
      <w:bookmarkStart w:id="64" w:name="_Toc2210"/>
      <w:bookmarkStart w:id="65" w:name="_Toc20258_WPSOffice_Level2"/>
      <w:bookmarkStart w:id="66" w:name="_Toc1955"/>
      <w:r>
        <w:rPr>
          <w:rFonts w:hint="eastAsia"/>
        </w:rPr>
        <w:t>第三节 生态修复重点区域</w:t>
      </w:r>
      <w:bookmarkEnd w:id="64"/>
      <w:bookmarkEnd w:id="65"/>
      <w:bookmarkEnd w:id="66"/>
    </w:p>
    <w:p w14:paraId="05340B82">
      <w:pPr>
        <w:outlineLvl w:val="2"/>
        <w:rPr>
          <w:rFonts w:hint="eastAsia" w:ascii="仿宋" w:hAnsi="仿宋" w:eastAsia="仿宋" w:cs="仿宋"/>
          <w:b/>
          <w:bCs/>
          <w:sz w:val="28"/>
          <w:szCs w:val="28"/>
          <w:lang w:val="en-US" w:eastAsia="zh-CN"/>
        </w:rPr>
      </w:pPr>
      <w:bookmarkStart w:id="67" w:name="_Toc17320"/>
      <w:r>
        <w:rPr>
          <w:rFonts w:hint="eastAsia" w:ascii="仿宋" w:hAnsi="仿宋" w:eastAsia="仿宋" w:cs="仿宋"/>
          <w:b/>
          <w:bCs/>
          <w:sz w:val="28"/>
          <w:szCs w:val="28"/>
          <w:lang w:val="en-US" w:eastAsia="zh-CN"/>
        </w:rPr>
        <w:t>第27条</w:t>
      </w:r>
      <w:r>
        <w:rPr>
          <w:rFonts w:hint="default" w:ascii="仿宋" w:hAnsi="仿宋" w:eastAsia="仿宋" w:cs="仿宋"/>
          <w:b/>
          <w:bCs/>
          <w:sz w:val="28"/>
          <w:szCs w:val="28"/>
          <w:lang w:val="en-US" w:eastAsia="zh-CN"/>
        </w:rPr>
        <w:t>生态修复重点区域规划</w:t>
      </w:r>
      <w:bookmarkEnd w:id="67"/>
    </w:p>
    <w:p w14:paraId="7272A9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w:t>
      </w:r>
      <w:r>
        <w:rPr>
          <w:rFonts w:hint="default" w:ascii="仿宋" w:hAnsi="仿宋" w:eastAsia="仿宋" w:cs="仿宋"/>
          <w:b w:val="0"/>
          <w:bCs w:val="0"/>
          <w:sz w:val="28"/>
          <w:szCs w:val="28"/>
          <w:lang w:val="en-US" w:eastAsia="zh-CN"/>
        </w:rPr>
        <w:t>规划详细划分了多个重点修复区域，旨在针对不同区域的生态环境问题实施精准修复。以下是各重点区域的详细规划概述：</w:t>
      </w:r>
    </w:p>
    <w:p w14:paraId="5A38F4B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第Ⅰ区生态修复重点区域</w:t>
      </w:r>
    </w:p>
    <w:p w14:paraId="005346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区域范围：包括武夷山西南段深山河源涵养与生物多样性保护重点区，以及南阳、通贤、才溪、旧县镇水土流失治理重点区等。</w:t>
      </w:r>
    </w:p>
    <w:p w14:paraId="385AC0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主要修复内容：</w:t>
      </w:r>
    </w:p>
    <w:p w14:paraId="516192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武夷山西南段深山河源涵养与生物多样性保护：加强生态公益林的建设与管护，恢复和扩大常绿阔叶林面积。保护自然保护区内的水源涵养林及其环境，加强科研监测和湿地生态修复。建设森林康养基地，推进森林康养产业发展。</w:t>
      </w:r>
    </w:p>
    <w:p w14:paraId="74BFAE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南阳、通贤、才溪、旧县镇水土流失治理：实施小流域水土流失综合治理工程，提高土壤保持能力。加强水土保持监管，推广水土保持先进技术。</w:t>
      </w:r>
    </w:p>
    <w:p w14:paraId="10211F1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旧县镇农业土壤污染生态修复：对受污染耕地进行源头防控和安全利用，减少重金属污染。</w:t>
      </w:r>
    </w:p>
    <w:p w14:paraId="64CD92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旧县河流域南阳镇水生态修复：修复河湖缓冲带，建设人工湿地，提高河流连通性和流动性。</w:t>
      </w:r>
    </w:p>
    <w:p w14:paraId="108221E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第Ⅱ区生态修复重点区域</w:t>
      </w:r>
    </w:p>
    <w:p w14:paraId="71F343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区域范围：包括玳瑁山深山河源涵养与生物多样性保护重点区，以及湖洋镇、临城镇、临江镇、泮境乡水土流失治理重点区等。</w:t>
      </w:r>
    </w:p>
    <w:p w14:paraId="3306521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主要修复内容：</w:t>
      </w:r>
    </w:p>
    <w:p w14:paraId="0EEB428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玳瑁山深山河源涵养与生物多样性保护：保护区内风景名胜资源，维护生态系统平衡。加快湿地公园基础设施建设，加强生物多样性保护。</w:t>
      </w:r>
    </w:p>
    <w:p w14:paraId="0A8283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加强松材线虫病防控，减少病虫害对森林的破坏。</w:t>
      </w:r>
    </w:p>
    <w:p w14:paraId="229469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湖洋镇、临城镇、临江镇、泮境乡水土流失治理：实施水土流失综合治理，优化林分结构，提高森林生态系统质量。加强矿区、开发区引发的水土流失治理，恢复植被覆盖。</w:t>
      </w:r>
    </w:p>
    <w:p w14:paraId="65306B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临城镇废弃矿山治理：对废弃矿山进行绿化、保土、生态增效等综合治理。</w:t>
      </w:r>
    </w:p>
    <w:p w14:paraId="3457770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临城镇农业土壤污染生态修复：对污染农田进行源头防控和安全利用，提高土壤质量。</w:t>
      </w:r>
    </w:p>
    <w:p w14:paraId="6DC117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汀江干流泮境乡、下都镇水生态修复：建设人工湿地，提高水质净化能力。实施生态护岸和河滨缓冲带修复工程。</w:t>
      </w:r>
    </w:p>
    <w:p w14:paraId="48A039D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第Ⅲ区生态修复重点区域</w:t>
      </w:r>
    </w:p>
    <w:p w14:paraId="11EDBF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区域范围：包括玳瑁山深山河源涵养与生物多样性保护重点区，以及白砂镇、庐丰畲族乡水土流失治理重点区等。</w:t>
      </w:r>
    </w:p>
    <w:p w14:paraId="63CEE6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主要修复内容：</w:t>
      </w:r>
    </w:p>
    <w:p w14:paraId="332157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玳瑁山深山河源涵养与生物多样性保护：保护和利用地质公园资源，促进生物多样性保护。</w:t>
      </w:r>
    </w:p>
    <w:p w14:paraId="2DE5CF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白砂镇、庐丰畲族乡水土流失治理：实施水土流失综合治理，恢复植被覆盖。</w:t>
      </w:r>
    </w:p>
    <w:p w14:paraId="5F7D96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稔田镇废弃矿山治理：对废弃矿山进行综合治理，改善矿区生态环境。</w:t>
      </w:r>
    </w:p>
    <w:p w14:paraId="2F67B7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古田镇、蛟洋镇农田土壤污染生态修复：对污染农田进行治理，提高农田土壤质量。</w:t>
      </w:r>
    </w:p>
    <w:p w14:paraId="08E4119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第Ⅳ区生态修复重点区域</w:t>
      </w:r>
    </w:p>
    <w:p w14:paraId="33DF14E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区域范围：主要包括玳瑁山深山河源涵养与生物多样性保护重点区，即梅花山自然保护区。</w:t>
      </w:r>
    </w:p>
    <w:p w14:paraId="615377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主要修复内容：</w:t>
      </w:r>
    </w:p>
    <w:p w14:paraId="2FF71D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梅花山自然保护区保护：加强保护力度，维护生物多样性。对局部水土流失区进行监督和管理，防止生态破坏。</w:t>
      </w:r>
    </w:p>
    <w:p w14:paraId="6467AC84">
      <w:pPr>
        <w:outlineLvl w:val="2"/>
        <w:rPr>
          <w:rFonts w:hint="eastAsia" w:ascii="仿宋" w:hAnsi="仿宋" w:eastAsia="仿宋" w:cs="仿宋"/>
          <w:b/>
          <w:bCs/>
          <w:sz w:val="28"/>
          <w:szCs w:val="28"/>
          <w:lang w:val="en-US" w:eastAsia="zh-CN"/>
        </w:rPr>
      </w:pPr>
      <w:bookmarkStart w:id="68" w:name="_Toc15398"/>
      <w:r>
        <w:rPr>
          <w:rFonts w:hint="eastAsia" w:ascii="仿宋" w:hAnsi="仿宋" w:eastAsia="仿宋" w:cs="仿宋"/>
          <w:b/>
          <w:bCs/>
          <w:sz w:val="28"/>
          <w:szCs w:val="28"/>
          <w:lang w:val="en-US" w:eastAsia="zh-CN"/>
        </w:rPr>
        <w:t>第28条历史遗留矿山生态修复重点区</w:t>
      </w:r>
      <w:bookmarkEnd w:id="68"/>
    </w:p>
    <w:p w14:paraId="260B4E6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概况</w:t>
      </w:r>
    </w:p>
    <w:p w14:paraId="612AF8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根据上杭县自然资源局2024年的废弃矿山图斑核查数据，上杭县目前存在3个未治理的历史遗留矿山图斑，拟采用自然复绿和人工修复相结合的方式进行治理。这些矿山图斑主要以建筑用花岗岩、砖瓦用黏土矿及轻稀土矿为主。虽然上杭县在废弃矿山生态修复方面整体效果良好，但部分建筑用花岗岩矿山的植被成活率较低，需要特别关注和改进。</w:t>
      </w:r>
    </w:p>
    <w:p w14:paraId="59C7C88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重点治理区域划分</w:t>
      </w:r>
    </w:p>
    <w:p w14:paraId="4DEB49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根据未治理废弃矿山图斑的分布情况，上杭县划分了两个废弃矿山治理重点区域：</w:t>
      </w:r>
    </w:p>
    <w:p w14:paraId="1EE4759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汀江干流流域废弃矿山重点治理区</w:t>
      </w:r>
    </w:p>
    <w:p w14:paraId="40ED926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涉及乡镇：临城镇</w:t>
      </w:r>
    </w:p>
    <w:p w14:paraId="40927F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具体矿山情况：</w:t>
      </w:r>
    </w:p>
    <w:p w14:paraId="0195C69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上杭县临城镇上坝机砖厂粘土矿</w:t>
      </w:r>
    </w:p>
    <w:p w14:paraId="650424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开采矿种：砖瓦用粘土</w:t>
      </w:r>
    </w:p>
    <w:p w14:paraId="062E18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矿山位置：上杭县临城镇富古村</w:t>
      </w:r>
    </w:p>
    <w:p w14:paraId="4B6FAE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面积：0.012223平方公里</w:t>
      </w:r>
    </w:p>
    <w:p w14:paraId="5040F9B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上杭县临城镇六甲寨下石场</w:t>
      </w:r>
    </w:p>
    <w:p w14:paraId="28D116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开采矿种：建筑用花岗岩</w:t>
      </w:r>
    </w:p>
    <w:p w14:paraId="03AD05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矿山位置：上杭县临城镇六甲村</w:t>
      </w:r>
    </w:p>
    <w:p w14:paraId="4EF6E5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面积：0.017685平方公里</w:t>
      </w:r>
    </w:p>
    <w:p w14:paraId="545B964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方式：该区域主要以自然复绿为主，采取拆除废弃设施、封闭修复场地等措施，消除影响自然恢复的生态胁迫因子。严禁在修复场地内进行翻土、取石、搬运、垦殖等人类活动，以减少对场地的扰动，依赖场地和周边生态系统的自我愈合能力，促进植被再生和生物种群恢复。</w:t>
      </w:r>
    </w:p>
    <w:p w14:paraId="68B9220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黄潭河流域废弃矿山重点治理区</w:t>
      </w:r>
    </w:p>
    <w:p w14:paraId="383A7A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涉及乡镇：稔田镇</w:t>
      </w:r>
    </w:p>
    <w:p w14:paraId="0E4072F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具体矿山情况：</w:t>
      </w:r>
    </w:p>
    <w:p w14:paraId="285F88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上杭县稔田镇叶坑无证稀土矿</w:t>
      </w:r>
    </w:p>
    <w:p w14:paraId="500E46F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开采矿种：轻稀土矿</w:t>
      </w:r>
    </w:p>
    <w:p w14:paraId="0F1ED89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矿山位置：上杭县稔田镇叶坑村</w:t>
      </w:r>
    </w:p>
    <w:p w14:paraId="301F9C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面积：0.040888平方公里</w:t>
      </w:r>
    </w:p>
    <w:p w14:paraId="112E27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治理方式：该区域采用自然复绿和人工修复相结合的方式。针对废弃矿山地质环境的敏感程度，制定治理方案，确保近期与长远结合，环境治理与区域发展协调推进。坚持自然恢复为主，辅以人工修复措施，采用生态重建、转型利用等方式，分类推进废弃矿山修复。探索实施“生态修复+废物利用+产业融合”的新模式，以改善和提升废弃矿区的整体生态功能。</w:t>
      </w:r>
    </w:p>
    <w:p w14:paraId="1DE2FE8F">
      <w:pPr>
        <w:outlineLvl w:val="2"/>
        <w:rPr>
          <w:rFonts w:hint="eastAsia" w:ascii="仿宋" w:hAnsi="仿宋" w:eastAsia="仿宋" w:cs="仿宋"/>
          <w:b/>
          <w:bCs/>
          <w:sz w:val="28"/>
          <w:szCs w:val="28"/>
          <w:lang w:val="en-US" w:eastAsia="zh-CN"/>
        </w:rPr>
      </w:pPr>
      <w:bookmarkStart w:id="69" w:name="_Toc15661"/>
      <w:r>
        <w:rPr>
          <w:rFonts w:hint="eastAsia" w:ascii="仿宋" w:hAnsi="仿宋" w:eastAsia="仿宋" w:cs="仿宋"/>
          <w:b/>
          <w:bCs/>
          <w:sz w:val="28"/>
          <w:szCs w:val="28"/>
          <w:lang w:val="en-US" w:eastAsia="zh-CN"/>
        </w:rPr>
        <w:t>第29条流域水生态修复重点区</w:t>
      </w:r>
      <w:bookmarkEnd w:id="69"/>
    </w:p>
    <w:p w14:paraId="5C1D88C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总体策略</w:t>
      </w:r>
    </w:p>
    <w:p w14:paraId="081E84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结合“生态环保攻坚战役”，上杭县将重点推进重点流域和区域河道的整治工作，强化流域水环境的综合治理。通过深化河长制的实施，统筹水资源、水生态和水环境的管理，围绕“有河有水、有鱼有草、人水和谐”的目标，全面提升流域生态环境质量。具体措施包括加强水污染防治、水资源保护、水环境治理和水生态修复，实现从水环境治理向水生态保护的转变，构建“三水统筹”、“水陆打通”、“四源齐控”的流域水生态环境保护和修复格局。</w:t>
      </w:r>
    </w:p>
    <w:p w14:paraId="7E7F79D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重点流域生态修复区域规划</w:t>
      </w:r>
    </w:p>
    <w:p w14:paraId="659979D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旧县河流域生态保护修复重点区（Ⅰ）</w:t>
      </w:r>
    </w:p>
    <w:p w14:paraId="45E3B3C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主要涵盖区域：南阳镇</w:t>
      </w:r>
    </w:p>
    <w:p w14:paraId="771944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主攻方向：提升水环境风险和水生态监测能力，加强流域水环境生态建设。</w:t>
      </w:r>
    </w:p>
    <w:p w14:paraId="566C1FC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强化紫金山金铜矿等有色金属矿区污水环境风险管控，建立流域性水环境风险管控体系。加强金山电站上游水华风险防范，设立藻类长期监测点位，建立富营养化防控体系。提升河流连通性和流动性，保障枯水期生态基流。指导督促水电站安装下泄流量在线监控装置，限制不符合生态流量要求的水电站运行，对安全隐患大、生态影响严重的水电站实施报废和退出机制。</w:t>
      </w:r>
    </w:p>
    <w:p w14:paraId="4F9022F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汀江干流流域生态修复重点区（Ⅱ）</w:t>
      </w:r>
    </w:p>
    <w:p w14:paraId="0AB1FE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主要涵盖区域：泮境乡、下都镇</w:t>
      </w:r>
    </w:p>
    <w:p w14:paraId="28375A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主攻方向：提升水环境质量与生态建设，加强水环境管理。</w:t>
      </w:r>
    </w:p>
    <w:p w14:paraId="64E11A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实施人工湿地净化及生态保护修复工程，将污水处理厂尾水、生活污水引入湿地系统进行处理。改善小流域水质，加强水环境风险监管和水生态监测能力。设立藻类长期监测点位，防控水库水华风险，建立富营养化防控体系。开展水生生物和底泥重金属调查评估，摸清水体环境风险。加强农田面源污染治理，实施节水改造、生态沟渠及生态缓冲带建设。开展河道生态治理修复，建设生态护岸，清理河漂垃圾，恢复河滩地和河岸生态。</w:t>
      </w:r>
    </w:p>
    <w:p w14:paraId="213E2BFA">
      <w:pPr>
        <w:outlineLvl w:val="2"/>
        <w:rPr>
          <w:rFonts w:hint="eastAsia" w:ascii="仿宋" w:hAnsi="仿宋" w:eastAsia="仿宋" w:cs="仿宋"/>
          <w:b/>
          <w:bCs/>
          <w:sz w:val="28"/>
          <w:szCs w:val="28"/>
          <w:lang w:val="en-US" w:eastAsia="zh-CN"/>
        </w:rPr>
      </w:pPr>
      <w:bookmarkStart w:id="70" w:name="_Toc1287"/>
      <w:r>
        <w:rPr>
          <w:rFonts w:hint="eastAsia" w:ascii="仿宋" w:hAnsi="仿宋" w:eastAsia="仿宋" w:cs="仿宋"/>
          <w:b/>
          <w:bCs/>
          <w:sz w:val="28"/>
          <w:szCs w:val="28"/>
          <w:lang w:val="en-US" w:eastAsia="zh-CN"/>
        </w:rPr>
        <w:t>第30条森林生态系统保育保护与生态修复重点区</w:t>
      </w:r>
      <w:bookmarkEnd w:id="70"/>
    </w:p>
    <w:p w14:paraId="553F4D24">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地理与生态背景</w:t>
      </w:r>
    </w:p>
    <w:p w14:paraId="66C2CC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位于福建省西南部，地势从东北向西南倾斜，山脉以旧县河—汀江为界，形成东西两侧不同的自然地理特征。西侧属武夷山脉南段的延伸分支，东侧为玳帽山山脉。上杭县拥有丰富的自然资源，特别是森林资源丰富，是南方集体林区的重要组成部分。</w:t>
      </w:r>
    </w:p>
    <w:p w14:paraId="3C0E690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森林生态系统分区与资源</w:t>
      </w:r>
    </w:p>
    <w:p w14:paraId="305344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上杭县的森林生态系统保育保护与生态修复重点区主要分为两个分区：</w:t>
      </w:r>
    </w:p>
    <w:p w14:paraId="45E5AA9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武夷山段深山河源涵养与生物多样性保护重点区</w:t>
      </w:r>
    </w:p>
    <w:p w14:paraId="301FCA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地理位置：上杭县西部，包含福建上杭国家森林自然公园。</w:t>
      </w:r>
    </w:p>
    <w:p w14:paraId="1559C6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生态资源：区内动植物资源丰富，包括多种国家级保护野生动植物和独特的自然景观。</w:t>
      </w:r>
    </w:p>
    <w:p w14:paraId="5A7F42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攻方向：加强生态公益林的建设与管护，扩大常绿阔叶林面积。完善湿地公园、自然保护区等基础设施建设，加强科研监测和湿地生态修复。结合“长汀经验”，优化林分结构，提高森林质量。发展森林康养产业，推动休闲度假、康养康健等一体化发展。</w:t>
      </w:r>
    </w:p>
    <w:p w14:paraId="45CC39F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bCs/>
          <w:sz w:val="28"/>
          <w:szCs w:val="28"/>
          <w:lang w:val="en-US" w:eastAsia="zh-CN"/>
        </w:rPr>
        <w:t>玳瑁山深山河源涵养与生物多样性保护重点区</w:t>
      </w:r>
    </w:p>
    <w:p w14:paraId="238A8C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地理位置：上杭县东北部和中部，包含福建梅花山国家级自然保护区。</w:t>
      </w:r>
    </w:p>
    <w:p w14:paraId="6FC930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生态资源：区内植被类型多样，包括亚热带常绿阔叶林等多种植被类型，动植物资源极其丰富。</w:t>
      </w:r>
    </w:p>
    <w:p w14:paraId="76E61E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主攻方向：保护地质公园、湿地公园等自然资源和生态环境，促进科研和科普教育。加快湿地公园基础设施建设，加强生物多样性保护。</w:t>
      </w:r>
    </w:p>
    <w:p w14:paraId="13C552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强化松材线虫病防控，完善监测防控体系。</w:t>
      </w:r>
    </w:p>
    <w:p w14:paraId="094EB2EC">
      <w:pPr>
        <w:outlineLvl w:val="2"/>
        <w:rPr>
          <w:rFonts w:hint="eastAsia" w:ascii="仿宋" w:hAnsi="仿宋" w:eastAsia="仿宋" w:cs="仿宋"/>
          <w:b/>
          <w:bCs/>
          <w:sz w:val="28"/>
          <w:szCs w:val="28"/>
          <w:lang w:val="en-US" w:eastAsia="zh-CN"/>
        </w:rPr>
      </w:pPr>
      <w:bookmarkStart w:id="71" w:name="_Toc27990"/>
      <w:r>
        <w:rPr>
          <w:rFonts w:hint="eastAsia" w:ascii="仿宋" w:hAnsi="仿宋" w:eastAsia="仿宋" w:cs="仿宋"/>
          <w:b/>
          <w:bCs/>
          <w:sz w:val="28"/>
          <w:szCs w:val="28"/>
          <w:lang w:val="en-US" w:eastAsia="zh-CN"/>
        </w:rPr>
        <w:t>第31条水土保持功能维护与水土流失治理生态修复重点区</w:t>
      </w:r>
      <w:bookmarkEnd w:id="71"/>
    </w:p>
    <w:p w14:paraId="6A7864D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水土流失现状与治理区域划分</w:t>
      </w:r>
    </w:p>
    <w:p w14:paraId="00E5D9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作为南方红壤丘陵区，其水土流失问题以水力侵蚀为主。截至2020年底，全县水土流失总面积达到182.51平方公里，占土地总面积的6.39%。根据流失强度的不同，分为轻度、中度、强烈、极强烈和剧烈五个等级，其中轻度流失面积最大，占比达到66.20%。</w:t>
      </w:r>
    </w:p>
    <w:p w14:paraId="482369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为了更有效地治理水土流失，根据重点防治区不交叉划分原则，将省级水土流失重点治理区纳入本次规划，涉及12个乡镇，总面积1431.51平方公里，水土流失面积101.21平方公里，流失率为7.07%。进一步地，按照流域范围划分出旧县河流域和汀江干流流域两个水土流失治理生态修复重点区域。</w:t>
      </w:r>
    </w:p>
    <w:p w14:paraId="455081A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重点治理区域及主攻方向</w:t>
      </w:r>
    </w:p>
    <w:p w14:paraId="419B868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旧县河流域水土流失治理重点区</w:t>
      </w:r>
    </w:p>
    <w:p w14:paraId="45C159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区域范围：包括才溪镇、旧县镇、南阳镇、通贤镇4个乡镇。</w:t>
      </w:r>
    </w:p>
    <w:p w14:paraId="2971EA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预防保护对象：旧县河南阳镇涂坑村、南坑村及通贤镇障云村河流型水源地。</w:t>
      </w:r>
    </w:p>
    <w:p w14:paraId="7D9A90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主攻方向：</w:t>
      </w:r>
    </w:p>
    <w:p w14:paraId="1349AC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土壤保持与水质维护：主导功能为土壤保持，同时注重水质维护。实施旧县河流域水环境综合整治及提升工程，加强小流域水土流失综合治理。</w:t>
      </w:r>
    </w:p>
    <w:p w14:paraId="51FE18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水土保持监管：加大监督力度，提高监督效果，确保生产建设项目水土保持方案的有效实施。</w:t>
      </w:r>
    </w:p>
    <w:p w14:paraId="3AA5E0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示范引领：发挥紫金山金铜矿联合开发项目作为国家水土保持示范工程的引领作用。</w:t>
      </w:r>
    </w:p>
    <w:p w14:paraId="7DC2E3D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汀江干流流域水土流失治理重点区</w:t>
      </w:r>
    </w:p>
    <w:p w14:paraId="6A5B47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区域范围：包括官庄畲族乡、珊瑚乡、湖洋镇、临江镇、临城镇、白砂镇、庐丰畲族乡、泮境乡8个乡镇。</w:t>
      </w:r>
    </w:p>
    <w:p w14:paraId="1241C5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主攻方向：</w:t>
      </w:r>
    </w:p>
    <w:p w14:paraId="2AC720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水质维护与防灾减灾：主导功能为水质维护，同时关注防灾减灾。加强对矿区、开发区及工业区的水土流失治理，减少人为破坏。</w:t>
      </w:r>
    </w:p>
    <w:p w14:paraId="18B351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植被恢复与低效林改造：积极改造低效林，通过针阔混交、套种优良乡土阔叶树种，形成稳定的多层次生态系统。</w:t>
      </w:r>
    </w:p>
    <w:p w14:paraId="5ADCE3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工程措施与植物措施并举：推广“分层治水、截短边坡、土壤改良、植物选择”等综合治理技术，快速恢复植被。</w:t>
      </w:r>
    </w:p>
    <w:p w14:paraId="5C8B7486">
      <w:pPr>
        <w:outlineLvl w:val="2"/>
        <w:rPr>
          <w:rFonts w:hint="eastAsia" w:ascii="仿宋" w:hAnsi="仿宋" w:eastAsia="仿宋" w:cs="仿宋"/>
          <w:b/>
          <w:bCs/>
          <w:sz w:val="28"/>
          <w:szCs w:val="28"/>
          <w:lang w:val="en-US" w:eastAsia="zh-CN"/>
        </w:rPr>
      </w:pPr>
      <w:bookmarkStart w:id="72" w:name="_Toc21181"/>
      <w:r>
        <w:rPr>
          <w:rFonts w:hint="eastAsia" w:ascii="仿宋" w:hAnsi="仿宋" w:eastAsia="仿宋" w:cs="仿宋"/>
          <w:b/>
          <w:bCs/>
          <w:sz w:val="28"/>
          <w:szCs w:val="28"/>
          <w:lang w:val="en-US" w:eastAsia="zh-CN"/>
        </w:rPr>
        <w:t>第32条农业空间整治生态修复重点区</w:t>
      </w:r>
      <w:bookmarkEnd w:id="72"/>
    </w:p>
    <w:p w14:paraId="3428C57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农业空间生态修复重点区域</w:t>
      </w:r>
    </w:p>
    <w:p w14:paraId="1D39E24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上杭县部分乡镇存在需要实施生态修复的农业空间，其中古田镇、蛟洋镇、旧县镇、临城镇为重点区域。这些区域面临着农田生态系统退化及潜在的污染威胁，需要通过综合措施进行生态修复。</w:t>
      </w:r>
    </w:p>
    <w:p w14:paraId="63C8165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生态修复总体方向</w:t>
      </w:r>
    </w:p>
    <w:p w14:paraId="70D331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生态修复的总体方向是消除农田（农村）生态系统退化因素及潜在的威胁因素，通过人工干预措施降低可能的生态风险。具体包括以下三个方面：</w:t>
      </w:r>
    </w:p>
    <w:p w14:paraId="4307607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增加耕地面积，补充耕地数量</w:t>
      </w:r>
    </w:p>
    <w:p w14:paraId="4056EC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通过开展土地平整、其他草地、残次林地、低效园地、旧村复垦、历史遗留矿山复垦等措施，有效利用闲置土地资源，增加耕地面积，补充耕地数量。</w:t>
      </w:r>
    </w:p>
    <w:p w14:paraId="50D6E560">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提高耕地质量</w:t>
      </w:r>
    </w:p>
    <w:p w14:paraId="091255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实施高标准农田建设工程，通过农田整治项目改善基础设施条件，如灌溉系统、排水设施、田间道路等，提高耕地质量，促进农业可持续发展。</w:t>
      </w:r>
    </w:p>
    <w:p w14:paraId="0C4925A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改善农村人居生态环境</w:t>
      </w:r>
    </w:p>
    <w:p w14:paraId="778A5F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实施农村人居生态环境整治工程，加大农村基础设施投入，加快公路建设和整治提升，建设美丽乡村特色景观，提升村民生活质量和幸福感。</w:t>
      </w:r>
    </w:p>
    <w:p w14:paraId="4B19D53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bCs/>
          <w:sz w:val="28"/>
          <w:szCs w:val="28"/>
          <w:lang w:val="en-US" w:eastAsia="zh-CN"/>
        </w:rPr>
        <w:t>农田污染现状及修复措施</w:t>
      </w:r>
    </w:p>
    <w:p w14:paraId="0B884136">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农田污染现状</w:t>
      </w:r>
    </w:p>
    <w:p w14:paraId="5999730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根据上一轮全国土壤污染状况调查及农用地详查工作，上杭县存在受污染耕地面积约1371.64亩，主要位于古田镇、蛟洋镇、旧县镇、临城镇等地，污染物质主要为土壤中的镉、铅等重金属超标。总体污染程度较轻，但部分农用地污染源头不清、成因不明，且重金属污染有加重趋势。</w:t>
      </w:r>
    </w:p>
    <w:p w14:paraId="3752DEE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生态修复主攻方向</w:t>
      </w:r>
    </w:p>
    <w:p w14:paraId="2737EEF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农田污染源头防控：加强重有色金属矿区或冶炼集中区域的农田土壤源头预防，深入推进矿区历史遗留固体废物排查，加强尾矿库环境风险隐患排查，并推进涉重金属企业综合整治。</w:t>
      </w:r>
    </w:p>
    <w:p w14:paraId="66EAA9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污染农田安全利用：针对受污染农田，通过科学施肥、种植结构调整、土壤改良等措施，实现污染农田的安全利用，保障农产品质量安全。</w:t>
      </w:r>
    </w:p>
    <w:p w14:paraId="7F1D8C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47EACD6E">
      <w:pPr>
        <w:keepNext/>
        <w:keepLines/>
        <w:widowControl w:val="0"/>
        <w:spacing w:before="240" w:after="240" w:line="360" w:lineRule="auto"/>
        <w:jc w:val="center"/>
        <w:outlineLvl w:val="0"/>
        <w:rPr>
          <w:rFonts w:ascii="宋体" w:hAnsi="宋体" w:eastAsia="宋体" w:cs="宋体"/>
          <w:b/>
          <w:bCs/>
          <w:kern w:val="44"/>
          <w:sz w:val="36"/>
          <w:szCs w:val="44"/>
          <w:lang w:val="en-US" w:eastAsia="zh-CN" w:bidi="ar-SA"/>
        </w:rPr>
      </w:pPr>
      <w:bookmarkStart w:id="73" w:name="_Toc28094"/>
      <w:bookmarkStart w:id="74" w:name="_Toc4825_WPSOffice_Level1"/>
      <w:bookmarkStart w:id="75" w:name="_Toc6954"/>
      <w:r>
        <w:rPr>
          <w:rFonts w:hint="eastAsia" w:ascii="宋体" w:hAnsi="宋体" w:eastAsia="宋体" w:cs="宋体"/>
          <w:b/>
          <w:bCs/>
          <w:kern w:val="44"/>
          <w:sz w:val="36"/>
          <w:szCs w:val="44"/>
          <w:lang w:val="en-US" w:eastAsia="zh-CN" w:bidi="ar-SA"/>
        </w:rPr>
        <w:t>第五章 国土空间生态修复重点任务和工程</w:t>
      </w:r>
      <w:bookmarkEnd w:id="73"/>
      <w:bookmarkEnd w:id="74"/>
      <w:bookmarkEnd w:id="75"/>
    </w:p>
    <w:p w14:paraId="48D0DED5">
      <w:pPr>
        <w:keepNext/>
        <w:keepLines/>
        <w:widowControl w:val="0"/>
        <w:spacing w:before="140" w:after="140" w:line="413" w:lineRule="auto"/>
        <w:ind w:left="0" w:leftChars="0" w:firstLine="0" w:firstLineChars="0"/>
        <w:jc w:val="left"/>
        <w:outlineLvl w:val="1"/>
        <w:rPr>
          <w:rFonts w:ascii="宋体" w:hAnsi="宋体" w:eastAsia="宋体" w:cs="宋体"/>
          <w:b/>
          <w:kern w:val="2"/>
          <w:sz w:val="28"/>
          <w:szCs w:val="28"/>
          <w:lang w:val="en-US" w:eastAsia="zh-CN" w:bidi="ar-SA"/>
        </w:rPr>
      </w:pPr>
      <w:bookmarkStart w:id="76" w:name="_Toc32513"/>
      <w:bookmarkStart w:id="77" w:name="_Toc2190"/>
      <w:r>
        <w:rPr>
          <w:rFonts w:hint="eastAsia" w:ascii="宋体" w:hAnsi="宋体" w:eastAsia="宋体" w:cs="宋体"/>
          <w:b/>
          <w:kern w:val="2"/>
          <w:sz w:val="28"/>
          <w:szCs w:val="28"/>
          <w:lang w:val="en-US" w:eastAsia="zh-CN" w:bidi="ar-SA"/>
        </w:rPr>
        <w:t>第一节 重点任务和工程</w:t>
      </w:r>
      <w:bookmarkEnd w:id="76"/>
      <w:bookmarkEnd w:id="77"/>
    </w:p>
    <w:p w14:paraId="0D6C6E85">
      <w:pPr>
        <w:outlineLvl w:val="2"/>
        <w:rPr>
          <w:rFonts w:hint="eastAsia" w:ascii="仿宋" w:hAnsi="仿宋" w:eastAsia="仿宋" w:cs="仿宋"/>
          <w:b/>
          <w:bCs/>
          <w:sz w:val="28"/>
          <w:szCs w:val="28"/>
          <w:lang w:val="en-US" w:eastAsia="zh-CN"/>
        </w:rPr>
      </w:pPr>
      <w:bookmarkStart w:id="78" w:name="_Toc19542"/>
      <w:r>
        <w:rPr>
          <w:rFonts w:hint="eastAsia" w:ascii="仿宋" w:hAnsi="仿宋" w:eastAsia="仿宋" w:cs="仿宋"/>
          <w:b/>
          <w:bCs/>
          <w:sz w:val="28"/>
          <w:szCs w:val="28"/>
          <w:lang w:val="en-US" w:eastAsia="zh-CN"/>
        </w:rPr>
        <w:t>第33条生态修复的重点任务和工程总结</w:t>
      </w:r>
      <w:bookmarkEnd w:id="78"/>
    </w:p>
    <w:p w14:paraId="5512C7C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土地综合整治与高标准农田建设</w:t>
      </w:r>
    </w:p>
    <w:p w14:paraId="2CD411C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土地综合整治：</w:t>
      </w:r>
    </w:p>
    <w:p w14:paraId="7FC2B4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目标：以乡镇为基本单元，通过科学规划，因地制宜地开展农用地整理，旨在优化全域乡村的生产、生活和生态空间布局，从而助推乡村振兴。</w:t>
      </w:r>
    </w:p>
    <w:p w14:paraId="514D02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措施：包括土地平整、排水灌溉系统改造、田间道路建设等，以提高土地利用效率，改善农业生产条件。</w:t>
      </w:r>
    </w:p>
    <w:p w14:paraId="656C4B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高标准农田建设：</w:t>
      </w:r>
    </w:p>
    <w:p w14:paraId="561721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目标：通过土地整治和农田基础设施建设，提升耕地质量，增强农田生态系统的稳定性，进而提高农业生产能力。</w:t>
      </w:r>
    </w:p>
    <w:p w14:paraId="5947F0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措施：建设内容包括土地改良、农田水利设施完善、土壤肥力提升等，确保达到高标准农田要求。</w:t>
      </w:r>
    </w:p>
    <w:p w14:paraId="26BA0A0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农业空间发展格局构建</w:t>
      </w:r>
    </w:p>
    <w:p w14:paraId="0A2E6C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三区多园：</w:t>
      </w:r>
    </w:p>
    <w:p w14:paraId="04483D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目标：根据区域特点和资源禀赋，打造不同功能的农业发展空间布局。</w:t>
      </w:r>
    </w:p>
    <w:p w14:paraId="4A8471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具体措施：</w:t>
      </w:r>
    </w:p>
    <w:p w14:paraId="702541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农旅康养融合区：以古田镇为重点，发展农业与旅游、康养相结合的产业。</w:t>
      </w:r>
    </w:p>
    <w:p w14:paraId="0875D5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城郊高效种养区：以临城镇、湖洋镇为重点，发展高效、集约城郊农业。</w:t>
      </w:r>
    </w:p>
    <w:p w14:paraId="71DA88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东南特色农业区：以稔田镇、中都镇、庐丰畲族乡为重点，发展具有地方特色的农业产业。</w:t>
      </w:r>
    </w:p>
    <w:p w14:paraId="27DB66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现代农业产业园：推进多个现代农业产业园和农业融合产业园的建设，形成多园并举的农业产业格局。</w:t>
      </w:r>
    </w:p>
    <w:p w14:paraId="5EF0955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五大特色农业：</w:t>
      </w:r>
    </w:p>
    <w:p w14:paraId="6ABA96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目标：聚焦五大特色农业领域，提升农业生态系统的多样性和稳定性。</w:t>
      </w:r>
    </w:p>
    <w:p w14:paraId="091C3D5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特色领域：优质粮食生产、高效园艺种植、生态健康养殖、特色水产养殖、休闲观光农业。</w:t>
      </w:r>
    </w:p>
    <w:p w14:paraId="6BDA963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自然生态风貌区保护</w:t>
      </w:r>
    </w:p>
    <w:p w14:paraId="4FE235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生态风貌区建设：</w:t>
      </w:r>
    </w:p>
    <w:p w14:paraId="2A4DCC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目标：根据《上杭县国土空间总体规划(2021-2035年)》，构建“四区多廊”的城乡风貌总体格局，其中自然生态风貌区是重要组成部分。</w:t>
      </w:r>
    </w:p>
    <w:p w14:paraId="6308E3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措施：加强自然生态保护与修复，维护自然生态系统的完整性和稳定性。</w:t>
      </w:r>
    </w:p>
    <w:p w14:paraId="4DAEA5B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生态廊道建设：</w:t>
      </w:r>
    </w:p>
    <w:p w14:paraId="2A2909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目标：通过构建多条生态廊道，包括交通景观和水系景观，增强生态系统的连通性和稳定性。</w:t>
      </w:r>
    </w:p>
    <w:p w14:paraId="274C5A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措施：建设绿化带、生态公园、湿地保护区等，促进物种迁移和基因交流。</w:t>
      </w:r>
    </w:p>
    <w:p w14:paraId="624589A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水资源保护与利用</w:t>
      </w:r>
    </w:p>
    <w:p w14:paraId="303540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汀江景观带建设：</w:t>
      </w:r>
    </w:p>
    <w:p w14:paraId="39FBED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目标：依托汀江优美的自然景观资源，提升水环境质量，增强水生态系统的服务功能。</w:t>
      </w:r>
    </w:p>
    <w:p w14:paraId="2B68BA0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措施：加强汀江沿岸的生态保护和景观建设，确保水质清洁，提升景观美感。</w:t>
      </w:r>
    </w:p>
    <w:p w14:paraId="121201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水资源调配：</w:t>
      </w:r>
    </w:p>
    <w:p w14:paraId="49E570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目标：完善水资源调配体系，确保水资源的合理利用和可持续管理。</w:t>
      </w:r>
    </w:p>
    <w:p w14:paraId="30CDE8D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措施：建设水利工程，实施跨区域水资源调度，保障生态修复和农业生产的水资源需求。</w:t>
      </w:r>
    </w:p>
    <w:p w14:paraId="1728179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综合防灾减灾</w:t>
      </w:r>
    </w:p>
    <w:p w14:paraId="5B89903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防灾减灾体系建设：</w:t>
      </w:r>
    </w:p>
    <w:p w14:paraId="18407D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目标：提高应对自然灾害的能力，确保生态修复和农业生产的安全进行。</w:t>
      </w:r>
    </w:p>
    <w:p w14:paraId="6E52FE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措施：建立健全防灾减灾体系，包括气象监测、预警系统、应急救援队伍等，加强灾害预防和应急救援能力培训。</w:t>
      </w:r>
    </w:p>
    <w:p w14:paraId="103880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通过以上重点任务和工程的实施，上杭县将全面提升国土空间生态系统稳定性和恢复力，推动区域生态环境持续改善，为乡村振兴和可持续发展奠定坚实基础。</w:t>
      </w:r>
    </w:p>
    <w:p w14:paraId="4286D895">
      <w:pPr>
        <w:keepNext/>
        <w:keepLines/>
        <w:widowControl w:val="0"/>
        <w:spacing w:before="140" w:after="140" w:line="413" w:lineRule="auto"/>
        <w:ind w:left="0" w:leftChars="0" w:firstLine="0" w:firstLineChars="0"/>
        <w:jc w:val="left"/>
        <w:outlineLvl w:val="1"/>
        <w:rPr>
          <w:rFonts w:ascii="宋体" w:hAnsi="宋体" w:eastAsia="宋体" w:cs="宋体"/>
          <w:b/>
          <w:bCs/>
          <w:kern w:val="2"/>
          <w:sz w:val="28"/>
          <w:szCs w:val="28"/>
          <w:shd w:val="clear" w:color="auto" w:fill="FFFFFF"/>
          <w:lang w:val="en-US" w:eastAsia="zh-CN" w:bidi="ar-SA"/>
        </w:rPr>
      </w:pPr>
      <w:bookmarkStart w:id="79" w:name="_Toc32065"/>
      <w:bookmarkStart w:id="80" w:name="_Toc936"/>
      <w:r>
        <w:rPr>
          <w:rFonts w:hint="eastAsia" w:ascii="宋体" w:hAnsi="宋体" w:eastAsia="宋体" w:cs="宋体"/>
          <w:b/>
          <w:bCs/>
          <w:kern w:val="2"/>
          <w:sz w:val="28"/>
          <w:szCs w:val="28"/>
          <w:shd w:val="clear" w:color="auto" w:fill="FFFFFF"/>
          <w:lang w:val="en-US" w:eastAsia="zh-CN" w:bidi="ar-SA"/>
        </w:rPr>
        <w:t>第二节 重点工程</w:t>
      </w:r>
      <w:bookmarkEnd w:id="79"/>
      <w:bookmarkEnd w:id="80"/>
    </w:p>
    <w:p w14:paraId="675F42CE">
      <w:pPr>
        <w:outlineLvl w:val="2"/>
        <w:rPr>
          <w:rFonts w:hint="eastAsia" w:ascii="仿宋" w:hAnsi="仿宋" w:eastAsia="仿宋" w:cs="仿宋"/>
          <w:b/>
          <w:bCs/>
          <w:sz w:val="28"/>
          <w:szCs w:val="28"/>
          <w:lang w:val="en-US" w:eastAsia="zh-CN"/>
        </w:rPr>
      </w:pPr>
      <w:bookmarkStart w:id="81" w:name="_Toc2790"/>
      <w:r>
        <w:rPr>
          <w:rFonts w:hint="eastAsia" w:ascii="仿宋" w:hAnsi="仿宋" w:eastAsia="仿宋" w:cs="仿宋"/>
          <w:b/>
          <w:bCs/>
          <w:sz w:val="28"/>
          <w:szCs w:val="28"/>
          <w:lang w:val="en-US" w:eastAsia="zh-CN"/>
        </w:rPr>
        <w:t>第34条（Ⅰ）区重点工程</w:t>
      </w:r>
      <w:bookmarkEnd w:id="81"/>
    </w:p>
    <w:p w14:paraId="12CAC0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 上杭县水土流失综合治理工程</w:t>
      </w:r>
    </w:p>
    <w:p w14:paraId="665D3B9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项目范围：上杭县各乡镇。</w:t>
      </w:r>
    </w:p>
    <w:p w14:paraId="4095EA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建设内容：开展23条小流域水土流失综合防治，综合治理面积153.66平方公里。</w:t>
      </w:r>
    </w:p>
    <w:p w14:paraId="57A526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建设年限：2021年至2025年。</w:t>
      </w:r>
    </w:p>
    <w:p w14:paraId="5B99E8A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总投资：约7526万元。</w:t>
      </w:r>
    </w:p>
    <w:p w14:paraId="781916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目的：通过综合防治措施，减少水土流失，保护土地资源，提升生态环境质量。</w:t>
      </w:r>
    </w:p>
    <w:p w14:paraId="79F18C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 上杭县旧县河（旧县镇段）水生态环境修复治理工程</w:t>
      </w:r>
    </w:p>
    <w:p w14:paraId="69938A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项目位置：上杭县旧县镇兰田村、铁东村、梅溪村等。</w:t>
      </w:r>
    </w:p>
    <w:p w14:paraId="25519F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建设内容：新建生态护坡1620米，建设人工湿地13.2亩，修复河湖缓冲带26000平方米。</w:t>
      </w:r>
    </w:p>
    <w:p w14:paraId="4CFA41B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总投资：约2374万元。</w:t>
      </w:r>
    </w:p>
    <w:p w14:paraId="006254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目的：改善旧县河段的水生态环境，提升水质，增强河湖生态系统的稳定性和服务功能。</w:t>
      </w:r>
    </w:p>
    <w:p w14:paraId="46A552A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 上杭县紫金山金铜矿露采东南段削坡减荷生态治理项目</w:t>
      </w:r>
    </w:p>
    <w:p w14:paraId="38B2AC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w:t>
      </w:r>
    </w:p>
    <w:p w14:paraId="6B992C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建设内容：对露采东南段高陡台阶进行削坡减荷、放缓坡面角，开展综合生态治理工程，新建地表防排水等配套设施，治理修复面积约39公顷。</w:t>
      </w:r>
    </w:p>
    <w:p w14:paraId="11FD43C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建设期限：2020年3月至2022年5月。</w:t>
      </w:r>
    </w:p>
    <w:p w14:paraId="39C1506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总投资：约1.86亿元。</w:t>
      </w:r>
    </w:p>
    <w:p w14:paraId="41039E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目的：消除矿山开采过程中的安全隐患，恢复和改善矿区生态环境，提升矿区的生态功能和景观价值。</w:t>
      </w:r>
    </w:p>
    <w:p w14:paraId="5B15D4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 上杭紫金山环境安全整体提升工程</w:t>
      </w:r>
    </w:p>
    <w:p w14:paraId="1A26C4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w:t>
      </w:r>
    </w:p>
    <w:p w14:paraId="319F834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建设内容：提升矿区整体环境安全，包括建设尾矿库、废石堆场、防洪池、截洪沟、环保处理系统等系列工程。</w:t>
      </w:r>
    </w:p>
    <w:p w14:paraId="0E64F1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建设年限：2019年至2025年。</w:t>
      </w:r>
    </w:p>
    <w:p w14:paraId="074CA0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总投资：约15.20亿元。</w:t>
      </w:r>
    </w:p>
    <w:p w14:paraId="6A99AD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目的：全面提升紫金山金铜矿区的环境安全水平，保障矿区生产活动对周边环境的影响最小化，促进矿区的可持续发展。</w:t>
      </w:r>
    </w:p>
    <w:p w14:paraId="5ECC10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 紫金山金铜矿新建环保设施工程</w:t>
      </w:r>
    </w:p>
    <w:p w14:paraId="6C1089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w:t>
      </w:r>
    </w:p>
    <w:p w14:paraId="2BA1F2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建设内容：新建江山岽环保处理系统工程、防洪池工程等，包括提升系统、加药系统、环保处理系统等，用于处理排土场的地表汇水和部分渗水。</w:t>
      </w:r>
    </w:p>
    <w:p w14:paraId="3A4078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建设期限：2021年1月至2024年12月。</w:t>
      </w:r>
    </w:p>
    <w:p w14:paraId="0369634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总投资：约3.19亿元。</w:t>
      </w:r>
    </w:p>
    <w:p w14:paraId="60B6AD4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目的：完善矿区的环保设施，提高废水处理效率，减少对周边环境的影响，保障矿区生产活动的环保合规性。</w:t>
      </w:r>
    </w:p>
    <w:p w14:paraId="2A1107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 紫金山金铜矿尾矿综合利用项目</w:t>
      </w:r>
    </w:p>
    <w:p w14:paraId="0E712B0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w:t>
      </w:r>
    </w:p>
    <w:p w14:paraId="43D216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建设内容：建设尾矿明矾石、尾矿微粉综合利用系统及相关配套设施，以及固体废弃物环保处理系统。</w:t>
      </w:r>
    </w:p>
    <w:p w14:paraId="2FD261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建设期限：2021年1月至2025年12月。</w:t>
      </w:r>
    </w:p>
    <w:p w14:paraId="422F09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总投资：约4.23亿元。</w:t>
      </w:r>
    </w:p>
    <w:p w14:paraId="56C95B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目的：实现尾矿等固体废弃物的资源化利用，减少资源浪费和环境污染，推动矿区的循环经济发展。</w:t>
      </w:r>
    </w:p>
    <w:p w14:paraId="4602FEB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 紫金山金铜矿及蛟洋工业园区水质在线监控设施建设项目</w:t>
      </w:r>
    </w:p>
    <w:p w14:paraId="237653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项目位置：上杭县旧县镇及蛟洋镇。</w:t>
      </w:r>
    </w:p>
    <w:p w14:paraId="7F618E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建设内容：在汀江金山库区及下游、黄潭河支流蛟洋工业园区段建立13个水质在线监控点位，实现全天候、实时水质监测。</w:t>
      </w:r>
    </w:p>
    <w:p w14:paraId="2ECD31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建设年限：2021年至2025年。</w:t>
      </w:r>
    </w:p>
    <w:p w14:paraId="1FAB88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总投资：约2000万元。</w:t>
      </w:r>
    </w:p>
    <w:p w14:paraId="165DEA2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目的：加强对紫金山金铜矿及蛟洋工业园区周边水质的实时监测，及时发现并处理水质问题，保障区域水环境安全。</w:t>
      </w:r>
    </w:p>
    <w:p w14:paraId="70964C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这些重点工程的实施，将有效提升上杭县的生态环境质量，促进区域可持续发展。</w:t>
      </w:r>
    </w:p>
    <w:p w14:paraId="372FC0FC">
      <w:pPr>
        <w:outlineLvl w:val="2"/>
        <w:rPr>
          <w:rFonts w:hint="eastAsia" w:ascii="仿宋" w:hAnsi="仿宋" w:eastAsia="仿宋" w:cs="仿宋"/>
          <w:b/>
          <w:bCs/>
          <w:sz w:val="28"/>
          <w:szCs w:val="28"/>
          <w:lang w:val="en-US" w:eastAsia="zh-CN"/>
        </w:rPr>
      </w:pPr>
      <w:bookmarkStart w:id="82" w:name="_Toc311"/>
      <w:r>
        <w:rPr>
          <w:rFonts w:hint="eastAsia" w:ascii="仿宋" w:hAnsi="仿宋" w:eastAsia="仿宋" w:cs="仿宋"/>
          <w:b/>
          <w:bCs/>
          <w:sz w:val="28"/>
          <w:szCs w:val="28"/>
          <w:lang w:val="en-US" w:eastAsia="zh-CN"/>
        </w:rPr>
        <w:t>第35条（Ⅱ）区重点工程</w:t>
      </w:r>
      <w:bookmarkEnd w:id="82"/>
    </w:p>
    <w:p w14:paraId="6DB39D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 汀江中游城镇污水处理及管网建设工程</w:t>
      </w:r>
    </w:p>
    <w:p w14:paraId="39C44E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项目位置：珊瑚乡</w:t>
      </w:r>
    </w:p>
    <w:p w14:paraId="65964F7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内容：新建乡镇生活污水处理设施</w:t>
      </w:r>
      <w:r>
        <w:rPr>
          <w:rFonts w:hint="eastAsia" w:ascii="仿宋" w:hAnsi="仿宋" w:eastAsia="仿宋" w:cs="仿宋"/>
          <w:sz w:val="28"/>
          <w:szCs w:val="28"/>
          <w:lang w:val="en-US" w:eastAsia="zh-CN"/>
        </w:rPr>
        <w:t>及管网</w:t>
      </w:r>
      <w:r>
        <w:rPr>
          <w:rFonts w:hint="eastAsia" w:ascii="仿宋" w:hAnsi="仿宋" w:eastAsia="仿宋" w:cs="仿宋"/>
          <w:b w:val="0"/>
          <w:bCs w:val="0"/>
          <w:sz w:val="28"/>
          <w:szCs w:val="28"/>
          <w:lang w:val="en-US" w:eastAsia="zh-CN"/>
        </w:rPr>
        <w:t>，日处理能力200吨</w:t>
      </w:r>
    </w:p>
    <w:p w14:paraId="072147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总投资：约400万元</w:t>
      </w:r>
    </w:p>
    <w:p w14:paraId="7456DD5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 汀江中游水环境污染防治工程</w:t>
      </w:r>
    </w:p>
    <w:p w14:paraId="7EF8E7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项目位置：湖洋镇</w:t>
      </w:r>
    </w:p>
    <w:p w14:paraId="07655A2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内容：建设集中式污水厂及分散式处理设施，铺设污水管网</w:t>
      </w:r>
    </w:p>
    <w:p w14:paraId="2ED2CD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总投资：约305万元</w:t>
      </w:r>
    </w:p>
    <w:p w14:paraId="4AD8B5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 汀江中游水生态保护与提升工程</w:t>
      </w:r>
    </w:p>
    <w:p w14:paraId="622C9A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项目位置：官庄畲族乡、湖洋镇</w:t>
      </w:r>
    </w:p>
    <w:p w14:paraId="23DA04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内容：湿地公园建设、水源保护区水质保障、生态环境治理等</w:t>
      </w:r>
    </w:p>
    <w:p w14:paraId="3545873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总投资：约40070万元</w:t>
      </w:r>
    </w:p>
    <w:p w14:paraId="669D34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 汀江干流污水处理及管网建设工程</w:t>
      </w:r>
    </w:p>
    <w:p w14:paraId="0247D4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项目位置：中都镇、临城镇</w:t>
      </w:r>
    </w:p>
    <w:p w14:paraId="01A5DC5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内容：乡镇污水处理、城区污水管网改造及人工湿地建设</w:t>
      </w:r>
    </w:p>
    <w:p w14:paraId="51B695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总投资：约6457万元</w:t>
      </w:r>
    </w:p>
    <w:p w14:paraId="281CB82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 汀江干流水生态保护与提升工程</w:t>
      </w:r>
    </w:p>
    <w:p w14:paraId="6242F4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项目位置：中都镇、下都镇</w:t>
      </w:r>
    </w:p>
    <w:p w14:paraId="349FF1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内容：水污染防治、人工湿地、生态缓冲带建设等</w:t>
      </w:r>
    </w:p>
    <w:p w14:paraId="518898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总投资：约19397万元</w:t>
      </w:r>
    </w:p>
    <w:p w14:paraId="5A57FB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 上杭县中小河流域治理项目</w:t>
      </w:r>
    </w:p>
    <w:p w14:paraId="6C9785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项目位置：中都镇、才溪镇、南阳镇等多条中小河流</w:t>
      </w:r>
    </w:p>
    <w:p w14:paraId="294E9B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内容：新建堤防、护岸，河道清淤等</w:t>
      </w:r>
    </w:p>
    <w:p w14:paraId="5AC0F48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总投资：约2.86亿元</w:t>
      </w:r>
    </w:p>
    <w:p w14:paraId="10B036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 上杭县城市公园及绿地建设项目</w:t>
      </w:r>
    </w:p>
    <w:p w14:paraId="611BF70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内容：湿地公园、森林公园、口袋公园等建设</w:t>
      </w:r>
    </w:p>
    <w:p w14:paraId="2C1E2B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“十四五”计划投资：9.2亿元</w:t>
      </w:r>
    </w:p>
    <w:p w14:paraId="7F497B1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8. 上杭县城区污水处理厂网系统提质增效工程</w:t>
      </w:r>
    </w:p>
    <w:p w14:paraId="5996832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内容：污水管网改造、雨污分流、智慧污水管网系统建设</w:t>
      </w:r>
    </w:p>
    <w:p w14:paraId="3B90BE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“十四五”计划投资：1亿元</w:t>
      </w:r>
    </w:p>
    <w:p w14:paraId="580F22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9. 上杭县城区内涝治理工程</w:t>
      </w:r>
    </w:p>
    <w:p w14:paraId="4AFBAF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内容：实验中学、联泰建设研发基地等区域的内涝整治</w:t>
      </w:r>
    </w:p>
    <w:p w14:paraId="703B6D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总投资：1.0亿元</w:t>
      </w:r>
    </w:p>
    <w:p w14:paraId="6DEB34A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10. 上杭县城区主要水系生态修复项目</w:t>
      </w:r>
    </w:p>
    <w:p w14:paraId="74FA0F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内容：汀江防洪工程（二期），新建生态防洪堤和清淤整治</w:t>
      </w:r>
    </w:p>
    <w:p w14:paraId="7D8D8C2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总投资：1.0亿元</w:t>
      </w:r>
    </w:p>
    <w:p w14:paraId="2BD8F8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11. 上杭县城区垃圾分类及生活垃圾焚烧发电厂建设项目</w:t>
      </w:r>
    </w:p>
    <w:p w14:paraId="7D8C137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内容：垃圾分类设施、垃圾焚烧发电厂建设</w:t>
      </w:r>
    </w:p>
    <w:p w14:paraId="326AB0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总投资：5亿元，“十四五”计划投资4.9亿元</w:t>
      </w:r>
    </w:p>
    <w:p w14:paraId="1E8124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12. 海绵城市建设项目</w:t>
      </w:r>
    </w:p>
    <w:p w14:paraId="275E60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项目位置：古蛟组团、上杭县城</w:t>
      </w:r>
    </w:p>
    <w:p w14:paraId="6B650F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内容：按海绵城市理念进行城市建设，增强雨水源头径流管控</w:t>
      </w:r>
    </w:p>
    <w:p w14:paraId="49DCF48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13. 上杭县松材线虫病防治项目</w:t>
      </w:r>
    </w:p>
    <w:p w14:paraId="5929167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内容：监测预警、检疫御灾、控灾减灾体系建设</w:t>
      </w:r>
    </w:p>
    <w:p w14:paraId="118D34E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总投资：约8100万元</w:t>
      </w:r>
    </w:p>
    <w:p w14:paraId="4B85E6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14. 建筑垃圾处理厂</w:t>
      </w:r>
    </w:p>
    <w:p w14:paraId="29A28E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内容：年处理22万立方米建筑垃圾，实现资源再利用</w:t>
      </w:r>
    </w:p>
    <w:p w14:paraId="796D815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总投资：约4000万元，环保投资900万元</w:t>
      </w:r>
    </w:p>
    <w:p w14:paraId="21BFD773">
      <w:pPr>
        <w:outlineLvl w:val="2"/>
        <w:rPr>
          <w:rFonts w:hint="eastAsia" w:ascii="仿宋" w:hAnsi="仿宋" w:eastAsia="仿宋" w:cs="仿宋"/>
          <w:b/>
          <w:bCs/>
          <w:sz w:val="28"/>
          <w:szCs w:val="28"/>
          <w:lang w:val="en-US" w:eastAsia="zh-CN"/>
        </w:rPr>
      </w:pPr>
      <w:bookmarkStart w:id="83" w:name="_Toc32565"/>
      <w:r>
        <w:rPr>
          <w:rFonts w:hint="eastAsia" w:ascii="仿宋" w:hAnsi="仿宋" w:eastAsia="仿宋" w:cs="仿宋"/>
          <w:b/>
          <w:bCs/>
          <w:sz w:val="28"/>
          <w:szCs w:val="28"/>
          <w:lang w:val="en-US" w:eastAsia="zh-CN"/>
        </w:rPr>
        <w:t>第36条（Ⅲ）区重点工程</w:t>
      </w:r>
      <w:bookmarkEnd w:id="83"/>
    </w:p>
    <w:p w14:paraId="356661E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 黄潭河流域城镇污水处理及管网建设工程</w:t>
      </w:r>
    </w:p>
    <w:p w14:paraId="7450C3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项目位置：古田镇、庐丰畲族乡</w:t>
      </w:r>
    </w:p>
    <w:p w14:paraId="5BD714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建设内容：新建乡镇生活污水处理设施，处理规模分别为200吨/日和500吨/日</w:t>
      </w:r>
    </w:p>
    <w:p w14:paraId="0403CED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总投资：约2600万元</w:t>
      </w:r>
    </w:p>
    <w:p w14:paraId="782AB4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目标：提升黄潭河流域乡镇污水处理能力，改善区域水环境质量</w:t>
      </w:r>
    </w:p>
    <w:p w14:paraId="3ABBAEF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 黄潭河流域水环境污染防治工程</w:t>
      </w:r>
    </w:p>
    <w:p w14:paraId="3850948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项目位置：蛟洋镇</w:t>
      </w:r>
    </w:p>
    <w:p w14:paraId="6F1E40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建设内容：蛟洋工业园区磷石膏综合利用项目，年处理45万吨磷石膏</w:t>
      </w:r>
    </w:p>
    <w:p w14:paraId="67EE7F2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总投资：约15000万元</w:t>
      </w:r>
    </w:p>
    <w:p w14:paraId="4C7A2EB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目标：防控城头坪断面总磷超标问题，减少水环境污染</w:t>
      </w:r>
    </w:p>
    <w:p w14:paraId="37EF531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 黄潭河流域水生态保护与提升工程</w:t>
      </w:r>
    </w:p>
    <w:p w14:paraId="20CA6B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项目位置：古田镇、蛟洋镇、蓝溪镇</w:t>
      </w:r>
    </w:p>
    <w:p w14:paraId="21E9F48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建设内容：人工湿地净化及生态保护修复工程，水生态环境综合治理工程</w:t>
      </w:r>
    </w:p>
    <w:p w14:paraId="470D160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总投资：约26705万元</w:t>
      </w:r>
    </w:p>
    <w:p w14:paraId="505AB06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目标：提升汀江流域水生态质量，增强生物多样性保护</w:t>
      </w:r>
    </w:p>
    <w:p w14:paraId="71D78A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 古蛟组团汀江流域人工湿地净化及生态保护修复工程</w:t>
      </w:r>
    </w:p>
    <w:p w14:paraId="78B5981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项目位置：古田镇、蛟洋镇</w:t>
      </w:r>
    </w:p>
    <w:p w14:paraId="6B0FEE2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建设内容：建设人工湿地、稳定塘、生态隔离带等，配套建设管网和监测系统</w:t>
      </w:r>
    </w:p>
    <w:p w14:paraId="5F1ABEC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总投资：“十四五”期间计划投资1.153亿元</w:t>
      </w:r>
    </w:p>
    <w:p w14:paraId="5A25902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目标：通过湿地净化提升水质，增强区域水生态服务功能</w:t>
      </w:r>
    </w:p>
    <w:p w14:paraId="42418E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5. 上杭县高标准农田建设项目</w:t>
      </w:r>
    </w:p>
    <w:p w14:paraId="2F207F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项目位置：全县各个乡镇</w:t>
      </w:r>
    </w:p>
    <w:p w14:paraId="1E7BDF3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建设内容：建设高标准农田18万亩，包括水陂、排灌渠、防冲护岸等设施</w:t>
      </w:r>
    </w:p>
    <w:p w14:paraId="3C4748C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总投资：约3.6亿元</w:t>
      </w:r>
    </w:p>
    <w:p w14:paraId="06E59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目标：提高耕地质量，增强农业生产能力，促进农业现代化</w:t>
      </w:r>
    </w:p>
    <w:p w14:paraId="607B2B7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 上杭县世界地质公园创建项目</w:t>
      </w:r>
    </w:p>
    <w:p w14:paraId="24192E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项目位置：古田镇、旧县镇</w:t>
      </w:r>
    </w:p>
    <w:p w14:paraId="0F5F30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建设内容：梅花山游步道、景区体验提升，紫金山尾矿库生态治理，地质遗迹保护等</w:t>
      </w:r>
    </w:p>
    <w:p w14:paraId="0C945BD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总投资：约6亿元</w:t>
      </w:r>
    </w:p>
    <w:p w14:paraId="583D54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目标：提升区域地质旅游价值，推动地质遗迹保护和科普教育</w:t>
      </w:r>
    </w:p>
    <w:p w14:paraId="2DF049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 上杭县废弃矿山综合治理项目</w:t>
      </w:r>
    </w:p>
    <w:p w14:paraId="24721B5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项目位置：临城镇和稔田镇</w:t>
      </w:r>
    </w:p>
    <w:p w14:paraId="56D97E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建设内容：对3处废弃矿山进行绿化、保土、生态增效等综合治理</w:t>
      </w:r>
    </w:p>
    <w:p w14:paraId="40EDAAA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总投资：约500万元</w:t>
      </w:r>
    </w:p>
    <w:p w14:paraId="5F26F82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目标：恢复废弃矿山生态环境，减少地质安全隐患</w:t>
      </w:r>
    </w:p>
    <w:p w14:paraId="75AC4A52">
      <w:pPr>
        <w:outlineLvl w:val="2"/>
        <w:rPr>
          <w:rFonts w:hint="eastAsia" w:ascii="仿宋" w:hAnsi="仿宋" w:eastAsia="仿宋" w:cs="仿宋"/>
          <w:b/>
          <w:bCs/>
          <w:sz w:val="28"/>
          <w:szCs w:val="28"/>
          <w:lang w:val="en-US" w:eastAsia="zh-CN"/>
        </w:rPr>
      </w:pPr>
      <w:bookmarkStart w:id="84" w:name="_Toc26202"/>
      <w:r>
        <w:rPr>
          <w:rFonts w:hint="eastAsia" w:ascii="仿宋" w:hAnsi="仿宋" w:eastAsia="仿宋" w:cs="仿宋"/>
          <w:b/>
          <w:bCs/>
          <w:sz w:val="28"/>
          <w:szCs w:val="28"/>
          <w:lang w:val="en-US" w:eastAsia="zh-CN"/>
        </w:rPr>
        <w:t>第37条（Ⅳ）区重点工程</w:t>
      </w:r>
      <w:bookmarkEnd w:id="84"/>
    </w:p>
    <w:p w14:paraId="07E4B1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 森林康养基地建设项目</w:t>
      </w:r>
    </w:p>
    <w:p w14:paraId="76FDA5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项目目标：依托丰富的森林康养资源，建设高品质的森林康养基地。</w:t>
      </w:r>
    </w:p>
    <w:p w14:paraId="25DE24D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建设内容：在梅花山地区建设森林康养基地，提供森林饮食、森林药膳、保健养生、康复疗养、健康养老、休闲游憩等多元化服务。</w:t>
      </w:r>
    </w:p>
    <w:p w14:paraId="3BB16FD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总投资：约1亿元</w:t>
      </w:r>
    </w:p>
    <w:p w14:paraId="78E56EA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预期效果：通过森林康养项目的实施，提升当地旅游业的附加值，促进区域经济发展，同时增强公众对森林生态保护的意识。</w:t>
      </w:r>
    </w:p>
    <w:p w14:paraId="6CEAD4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 天然林资源保护项目</w:t>
      </w:r>
    </w:p>
    <w:p w14:paraId="297F2C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项目目标：稳定天然林面积，加强天然林管护能力，提升森林生态系统的稳定性和生物多样性。</w:t>
      </w:r>
    </w:p>
    <w:p w14:paraId="57248AE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w:t>
      </w:r>
    </w:p>
    <w:p w14:paraId="104E527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建设天然林管护站点和监测站，完善天然林管护体系。</w:t>
      </w:r>
    </w:p>
    <w:p w14:paraId="1FC40D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开发并推广应用天然林管护信息系统平台、手机APP巡护软件，配备无人机和护林巡护平板，提高管护效率。</w:t>
      </w:r>
    </w:p>
    <w:p w14:paraId="5E2447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开展国有林场重点生态系统修复与保护，实施森林质量精准提升工程和生物防火林带建设。</w:t>
      </w:r>
    </w:p>
    <w:p w14:paraId="6E4CC1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总投资：约1亿元</w:t>
      </w:r>
    </w:p>
    <w:p w14:paraId="7102843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预期效果：通过天然林资源保护项目的实施，确保天然林面积的稳定，提高森林生态系统的自我恢复能力和生物多样性，同时增强森林防火能力。</w:t>
      </w:r>
    </w:p>
    <w:p w14:paraId="0D816D1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 森林质量精准提升项目</w:t>
      </w:r>
    </w:p>
    <w:p w14:paraId="474103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项目目标：提升森林质量，优化树种和林分结构，提高森林生态系统的综合效益。</w:t>
      </w:r>
    </w:p>
    <w:p w14:paraId="020076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建设内容：</w:t>
      </w:r>
    </w:p>
    <w:p w14:paraId="7EC608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及时完成采伐迹地和火烧迹地的更新造林工作。</w:t>
      </w:r>
    </w:p>
    <w:p w14:paraId="6FA9BC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采取“去针套阔”策略，对现有针叶林、稀疏林分和低产低效林分进行补植修复，推广不炼山造林和混交林营造技术。</w:t>
      </w:r>
    </w:p>
    <w:p w14:paraId="5FB1D0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通过植树造林，营建珍贵树种和生物防火林带，修复天然林，并进行森林抚育。</w:t>
      </w:r>
    </w:p>
    <w:p w14:paraId="5EAA484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实施“二沿一环”景观林营造和“两带一窗口”绿化美化工程。</w:t>
      </w:r>
    </w:p>
    <w:p w14:paraId="7E992E7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总投资：约1亿元</w:t>
      </w:r>
    </w:p>
    <w:p w14:paraId="67FA1E1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预期效果：通过森林质量精准提升项目的实施，优化森林结构，提高森林质量和生物多样性，增强森林碳汇功能，为应对气候变化做出贡献。同时，提升森林景观价值，促进生态旅游的发展。</w:t>
      </w:r>
    </w:p>
    <w:p w14:paraId="20AE091A">
      <w:p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br w:type="page"/>
      </w:r>
    </w:p>
    <w:p w14:paraId="6224D587">
      <w:pPr>
        <w:spacing w:before="156" w:beforeLines="50"/>
        <w:ind w:firstLine="723" w:firstLineChars="200"/>
        <w:jc w:val="center"/>
        <w:outlineLvl w:val="0"/>
        <w:rPr>
          <w:rFonts w:hint="default" w:ascii="宋体" w:hAnsi="宋体" w:eastAsia="宋体" w:cs="宋体"/>
          <w:b/>
          <w:bCs/>
          <w:kern w:val="0"/>
          <w:sz w:val="36"/>
          <w:szCs w:val="36"/>
          <w:lang w:val="en-US" w:eastAsia="zh-CN" w:bidi="ar"/>
        </w:rPr>
      </w:pPr>
      <w:bookmarkStart w:id="85" w:name="_Toc16830"/>
      <w:bookmarkStart w:id="86" w:name="_Toc27859"/>
      <w:r>
        <w:rPr>
          <w:rFonts w:hint="eastAsia" w:ascii="宋体" w:hAnsi="宋体" w:eastAsia="宋体" w:cs="宋体"/>
          <w:b/>
          <w:bCs/>
          <w:kern w:val="0"/>
          <w:sz w:val="36"/>
          <w:szCs w:val="36"/>
          <w:lang w:bidi="ar"/>
        </w:rPr>
        <w:t>第</w:t>
      </w:r>
      <w:r>
        <w:rPr>
          <w:rFonts w:hint="eastAsia" w:ascii="宋体" w:hAnsi="宋体" w:eastAsia="宋体" w:cs="宋体"/>
          <w:b/>
          <w:bCs/>
          <w:kern w:val="0"/>
          <w:sz w:val="36"/>
          <w:szCs w:val="36"/>
          <w:lang w:val="en-US" w:eastAsia="zh-CN" w:bidi="ar"/>
        </w:rPr>
        <w:t>六</w:t>
      </w:r>
      <w:r>
        <w:rPr>
          <w:rFonts w:hint="eastAsia" w:ascii="宋体" w:hAnsi="宋体" w:eastAsia="宋体" w:cs="宋体"/>
          <w:b/>
          <w:bCs/>
          <w:kern w:val="0"/>
          <w:sz w:val="36"/>
          <w:szCs w:val="36"/>
          <w:lang w:bidi="ar"/>
        </w:rPr>
        <w:t xml:space="preserve">章 </w:t>
      </w:r>
      <w:r>
        <w:rPr>
          <w:rFonts w:hint="eastAsia" w:ascii="宋体" w:hAnsi="宋体" w:eastAsia="宋体" w:cs="宋体"/>
          <w:b/>
          <w:bCs/>
          <w:kern w:val="0"/>
          <w:sz w:val="36"/>
          <w:szCs w:val="36"/>
          <w:lang w:val="en-US" w:eastAsia="zh-CN" w:bidi="ar"/>
        </w:rPr>
        <w:t>成本效益</w:t>
      </w:r>
      <w:bookmarkEnd w:id="85"/>
      <w:bookmarkEnd w:id="86"/>
    </w:p>
    <w:p w14:paraId="5FB1BACA">
      <w:pPr>
        <w:keepNext/>
        <w:keepLines/>
        <w:widowControl w:val="0"/>
        <w:spacing w:before="140" w:after="140" w:line="413" w:lineRule="auto"/>
        <w:ind w:left="0" w:leftChars="0" w:firstLine="0" w:firstLineChars="0"/>
        <w:jc w:val="left"/>
        <w:outlineLvl w:val="1"/>
        <w:rPr>
          <w:rFonts w:hint="eastAsia" w:ascii="仿宋" w:hAnsi="仿宋" w:eastAsia="仿宋" w:cs="仿宋"/>
          <w:b w:val="0"/>
          <w:bCs w:val="0"/>
          <w:sz w:val="28"/>
          <w:szCs w:val="28"/>
          <w:lang w:val="en-US" w:eastAsia="zh-CN"/>
        </w:rPr>
      </w:pPr>
      <w:bookmarkStart w:id="87" w:name="_Toc8330"/>
      <w:bookmarkStart w:id="88" w:name="_Toc18762"/>
      <w:bookmarkStart w:id="89" w:name="_Toc30022_WPSOffice_Level2"/>
      <w:r>
        <w:rPr>
          <w:rFonts w:hint="eastAsia" w:ascii="宋体" w:hAnsi="宋体" w:eastAsia="宋体" w:cs="宋体"/>
          <w:b/>
          <w:bCs/>
          <w:kern w:val="2"/>
          <w:sz w:val="28"/>
          <w:szCs w:val="28"/>
          <w:shd w:val="clear" w:color="auto" w:fill="FFFFFF"/>
          <w:lang w:val="en-US" w:eastAsia="zh-CN" w:bidi="ar-SA"/>
        </w:rPr>
        <w:t>第一节 匡算依据</w:t>
      </w:r>
      <w:bookmarkEnd w:id="87"/>
      <w:bookmarkEnd w:id="88"/>
      <w:bookmarkEnd w:id="89"/>
    </w:p>
    <w:p w14:paraId="7573D347">
      <w:pPr>
        <w:outlineLvl w:val="2"/>
        <w:rPr>
          <w:rFonts w:hint="eastAsia" w:ascii="仿宋" w:hAnsi="仿宋" w:eastAsia="仿宋" w:cs="仿宋"/>
          <w:b/>
          <w:bCs/>
          <w:sz w:val="28"/>
          <w:szCs w:val="28"/>
          <w:lang w:val="en-US" w:eastAsia="zh-CN"/>
        </w:rPr>
      </w:pPr>
      <w:bookmarkStart w:id="90" w:name="_Toc1770"/>
      <w:r>
        <w:rPr>
          <w:rFonts w:hint="eastAsia" w:ascii="仿宋" w:hAnsi="仿宋" w:eastAsia="仿宋" w:cs="仿宋"/>
          <w:b/>
          <w:bCs/>
          <w:sz w:val="28"/>
          <w:szCs w:val="28"/>
          <w:lang w:val="en-US" w:eastAsia="zh-CN"/>
        </w:rPr>
        <w:t>第38条资金预算框架</w:t>
      </w:r>
      <w:bookmarkEnd w:id="90"/>
    </w:p>
    <w:p w14:paraId="0F473CB1">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矿山生态修复预算</w:t>
      </w:r>
    </w:p>
    <w:p w14:paraId="19F2C74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（1）植被恢复与土地复垦</w:t>
      </w:r>
    </w:p>
    <w:p w14:paraId="6A07A6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预算构成：地形整理、土壤改良、苗木购置、种植与养护等费用。</w:t>
      </w:r>
    </w:p>
    <w:p w14:paraId="7096A1E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预算估算：根据废弃矿山的面积、地形复杂程度及所需恢复植被的种类和数量，预计每亩投入数万元至数十万元不等。整体预算需根据具体矿山情况详细计算。</w:t>
      </w:r>
    </w:p>
    <w:p w14:paraId="25ECCD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（2）土地再利用与基础设施</w:t>
      </w:r>
    </w:p>
    <w:p w14:paraId="62ADD07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预算构成：土地平整、灌溉排水系统建设、道路建设等费用。</w:t>
      </w:r>
    </w:p>
    <w:p w14:paraId="14260A8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预算估算：根据土地再利用的具体用途（如农业用地、林地或建设用地）和所需基础设施规模，预算差异较大。一般来说，每亩土地再利用费用可能在数千元至数万元之间。</w:t>
      </w:r>
    </w:p>
    <w:p w14:paraId="26CA142F">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水土流失治理预算</w:t>
      </w:r>
    </w:p>
    <w:p w14:paraId="547B6F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（1）坡耕地改造</w:t>
      </w:r>
    </w:p>
    <w:p w14:paraId="4B6CC3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预算构成：梯田化改造工程费用、水利设施建设费用等。</w:t>
      </w:r>
    </w:p>
    <w:p w14:paraId="161463D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预算估算：根据坡耕地的面积、坡度及所需改造的工程量，预计每亩投入数千元至数万元不等。</w:t>
      </w:r>
    </w:p>
    <w:p w14:paraId="711F79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（2）生态护坡与植被恢复</w:t>
      </w:r>
    </w:p>
    <w:p w14:paraId="6FD2F6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预算构成：生态护坡材料费用、植被恢复费用（包括苗木购置、种植与养护）等。</w:t>
      </w:r>
    </w:p>
    <w:p w14:paraId="397F03D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预算估算：根据护坡面积和所需植被恢复的数量，预计每平方米或每亩投入数千元至数万元不等。</w:t>
      </w:r>
    </w:p>
    <w:p w14:paraId="2AA2ECB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森林保护与恢复预算</w:t>
      </w:r>
    </w:p>
    <w:p w14:paraId="7688C8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（1）森林资源保护</w:t>
      </w:r>
    </w:p>
    <w:p w14:paraId="1001A6B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预算构成：森林防火、病虫害防治设备购置与运行费用、人员培训费用等。</w:t>
      </w:r>
    </w:p>
    <w:p w14:paraId="34BE6F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预算估算：根据森林面积和保护需求，预计每年投入数百万元至数千万元不等。</w:t>
      </w:r>
    </w:p>
    <w:p w14:paraId="2C3225C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（2）退耕还林与封山育林</w:t>
      </w:r>
    </w:p>
    <w:p w14:paraId="205098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预算构成：退耕补贴、苗木购置与种植费用、封育期间的管理费用等。</w:t>
      </w:r>
    </w:p>
    <w:p w14:paraId="0313B60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预算估算：根据退耕面积和所需苗木数量，预计每亩投入数千元至数万元不等。</w:t>
      </w:r>
    </w:p>
    <w:p w14:paraId="3BE41363">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湿地保护与恢复预算</w:t>
      </w:r>
    </w:p>
    <w:p w14:paraId="400261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（1）湿地资源保护</w:t>
      </w:r>
    </w:p>
    <w:p w14:paraId="3384898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预算构成：湿地保护区或湿地公园建设费用、日常管理费用等。</w:t>
      </w:r>
    </w:p>
    <w:p w14:paraId="7DA8F5D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预算估算：根据湿地保护区的面积和保护级别，预计每年投入数百万元至数千万元不等。</w:t>
      </w:r>
    </w:p>
    <w:p w14:paraId="2B2AB7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（2）湿地恢复与生态补水</w:t>
      </w:r>
    </w:p>
    <w:p w14:paraId="57D8B2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预算构成：湿地恢复工程费用（包括植被恢复、地形整理等）、生态补水设施建设与运行费用等。</w:t>
      </w:r>
    </w:p>
    <w:p w14:paraId="1B4CAF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预算估算：根据湿地恢复面积和所需补水量，预计每亩或每立方米投入数千元至数万元不等。</w:t>
      </w:r>
    </w:p>
    <w:p w14:paraId="0650708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河流生态廊道建设预算</w:t>
      </w:r>
    </w:p>
    <w:p w14:paraId="3DB5937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（1）恢复自然岸线</w:t>
      </w:r>
    </w:p>
    <w:p w14:paraId="29AB4AD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预算构成：拆除硬质护岸费用、生态护坡材料费用、植被恢复费用等。</w:t>
      </w:r>
    </w:p>
    <w:p w14:paraId="22D2500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预算估算：根据河流长度和所需恢复的岸线长度，预计每公里投入数百万元至数千万元不等。</w:t>
      </w:r>
    </w:p>
    <w:p w14:paraId="53EFCA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（2）建设生态缓冲带</w:t>
      </w:r>
    </w:p>
    <w:p w14:paraId="0AF351D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预算构成：土地租赁或征用费用、植被恢复费用、基础设施建设费用等。</w:t>
      </w:r>
    </w:p>
    <w:p w14:paraId="55834DA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预算估算：根据生态缓冲带的面积和所需植被恢复的数量，预计每亩投入数千元至数万元不等。</w:t>
      </w:r>
    </w:p>
    <w:p w14:paraId="00D42BF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总预算与资金来源</w:t>
      </w:r>
    </w:p>
    <w:p w14:paraId="775ED9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总预算：上述各项预算相加得出总预算。由于各项目预算差异较大且需根据具体情况详细编制，大型生态修复项目的总预算可能达到数亿元甚至更高。</w:t>
      </w:r>
    </w:p>
    <w:p w14:paraId="539545B5">
      <w:pPr>
        <w:keepNext/>
        <w:keepLines/>
        <w:widowControl w:val="0"/>
        <w:numPr>
          <w:ilvl w:val="0"/>
          <w:numId w:val="1"/>
        </w:numPr>
        <w:spacing w:before="140" w:after="140" w:line="413" w:lineRule="auto"/>
        <w:jc w:val="left"/>
        <w:outlineLvl w:val="1"/>
        <w:rPr>
          <w:rFonts w:ascii="宋体" w:hAnsi="宋体" w:eastAsia="宋体" w:cs="宋体"/>
          <w:b/>
          <w:bCs/>
          <w:kern w:val="2"/>
          <w:sz w:val="28"/>
          <w:szCs w:val="28"/>
          <w:shd w:val="clear" w:color="auto" w:fill="FFFFFF"/>
          <w:lang w:val="en-US" w:eastAsia="zh-CN" w:bidi="ar-SA"/>
        </w:rPr>
      </w:pPr>
      <w:bookmarkStart w:id="91" w:name="_Toc2672"/>
      <w:bookmarkStart w:id="92" w:name="_Toc3041"/>
      <w:r>
        <w:rPr>
          <w:rFonts w:hint="eastAsia" w:ascii="宋体" w:hAnsi="宋体" w:eastAsia="宋体" w:cs="宋体"/>
          <w:b/>
          <w:bCs/>
          <w:kern w:val="2"/>
          <w:sz w:val="28"/>
          <w:szCs w:val="28"/>
          <w:shd w:val="clear" w:color="auto" w:fill="FFFFFF"/>
          <w:lang w:val="en-US" w:eastAsia="zh-CN" w:bidi="ar-SA"/>
        </w:rPr>
        <w:t>资金需求</w:t>
      </w:r>
      <w:bookmarkEnd w:id="91"/>
      <w:bookmarkEnd w:id="92"/>
    </w:p>
    <w:p w14:paraId="7E01F6EC">
      <w:pPr>
        <w:outlineLvl w:val="2"/>
        <w:rPr>
          <w:rFonts w:hint="eastAsia" w:ascii="仿宋" w:hAnsi="仿宋" w:eastAsia="仿宋" w:cs="仿宋"/>
          <w:b/>
          <w:bCs/>
          <w:sz w:val="28"/>
          <w:szCs w:val="28"/>
          <w:lang w:val="en-US" w:eastAsia="zh-CN"/>
        </w:rPr>
      </w:pPr>
      <w:bookmarkStart w:id="93" w:name="_Toc24346"/>
      <w:r>
        <w:rPr>
          <w:rFonts w:hint="eastAsia" w:ascii="仿宋" w:hAnsi="仿宋" w:eastAsia="仿宋" w:cs="仿宋"/>
          <w:b/>
          <w:bCs/>
          <w:sz w:val="28"/>
          <w:szCs w:val="28"/>
          <w:lang w:val="en-US" w:eastAsia="zh-CN"/>
        </w:rPr>
        <w:t>第39条资金需求</w:t>
      </w:r>
      <w:bookmarkEnd w:id="93"/>
    </w:p>
    <w:p w14:paraId="3C1906F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根据规划建设内容匡算，规划总投资约73.11亿元，共31项重点工程。</w:t>
      </w:r>
    </w:p>
    <w:p w14:paraId="51240E4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旧县河流域土壤保持和水质维护区（Ⅰ）涉及南阳镇、通贤镇、才溪镇、旧县镇，共7个重点工程，总投资约25.67亿元。</w:t>
      </w:r>
    </w:p>
    <w:p w14:paraId="33D6EF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汀江干流流域水源涵养和生态维护区（Ⅱ）涉及珊瑚乡、官庄畲族乡、湖洋镇、临城镇、临江镇、白砂镇、中都镇、下都镇，共14个重点工程，总投资约29.21亿元。</w:t>
      </w:r>
    </w:p>
    <w:p w14:paraId="76DE999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黄潭河流域水质维护和防灾减灾区（Ⅲ）涉及茶地镇、蓝溪镇、庐丰畲族乡、泮境乡、稔田镇、太拔镇、溪口镇、古田镇和蛟洋镇，共7个重点工程，总投资约15.21亿元。</w:t>
      </w:r>
    </w:p>
    <w:p w14:paraId="7DCA64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万安溪水源涵养与生物多样性保护修复区（Ⅳ）涉及古田镇梅花山自然保护区，共3个重点工程，总投资约3亿元。</w:t>
      </w:r>
    </w:p>
    <w:p w14:paraId="08A31E3A">
      <w:pPr>
        <w:keepNext/>
        <w:keepLines/>
        <w:widowControl w:val="0"/>
        <w:numPr>
          <w:ilvl w:val="0"/>
          <w:numId w:val="2"/>
        </w:numPr>
        <w:spacing w:before="140" w:after="140" w:line="413" w:lineRule="auto"/>
        <w:jc w:val="left"/>
        <w:outlineLvl w:val="1"/>
        <w:rPr>
          <w:rFonts w:ascii="宋体" w:hAnsi="宋体" w:eastAsia="宋体" w:cs="宋体"/>
          <w:b/>
          <w:bCs/>
          <w:kern w:val="2"/>
          <w:sz w:val="28"/>
          <w:szCs w:val="28"/>
          <w:shd w:val="clear" w:color="auto" w:fill="FFFFFF"/>
          <w:lang w:val="en-US" w:eastAsia="zh-CN" w:bidi="ar-SA"/>
        </w:rPr>
      </w:pPr>
      <w:r>
        <w:rPr>
          <w:rFonts w:hint="eastAsia" w:ascii="宋体" w:hAnsi="宋体" w:eastAsia="宋体" w:cs="宋体"/>
          <w:b/>
          <w:bCs/>
          <w:kern w:val="2"/>
          <w:sz w:val="28"/>
          <w:szCs w:val="28"/>
          <w:shd w:val="clear" w:color="auto" w:fill="FFFFFF"/>
          <w:lang w:val="en-US" w:eastAsia="zh-CN" w:bidi="ar-SA"/>
        </w:rPr>
        <w:t xml:space="preserve"> </w:t>
      </w:r>
      <w:bookmarkStart w:id="94" w:name="_Toc18006"/>
      <w:bookmarkStart w:id="95" w:name="_Toc31194"/>
      <w:r>
        <w:rPr>
          <w:rFonts w:hint="eastAsia" w:ascii="宋体" w:hAnsi="宋体" w:eastAsia="宋体" w:cs="宋体"/>
          <w:b/>
          <w:bCs/>
          <w:kern w:val="2"/>
          <w:sz w:val="28"/>
          <w:szCs w:val="28"/>
          <w:shd w:val="clear" w:color="auto" w:fill="FFFFFF"/>
          <w:lang w:val="en-US" w:eastAsia="zh-CN" w:bidi="ar-SA"/>
        </w:rPr>
        <w:t>综合效益分析</w:t>
      </w:r>
      <w:bookmarkEnd w:id="94"/>
      <w:bookmarkEnd w:id="95"/>
    </w:p>
    <w:p w14:paraId="3B6CAF4A">
      <w:pPr>
        <w:outlineLvl w:val="2"/>
        <w:rPr>
          <w:rFonts w:hint="eastAsia" w:ascii="仿宋" w:hAnsi="仿宋" w:eastAsia="仿宋" w:cs="仿宋"/>
          <w:b/>
          <w:bCs/>
          <w:sz w:val="28"/>
          <w:szCs w:val="28"/>
          <w:lang w:val="en-US" w:eastAsia="zh-CN"/>
        </w:rPr>
      </w:pPr>
      <w:bookmarkStart w:id="96" w:name="_Toc31756"/>
      <w:r>
        <w:rPr>
          <w:rFonts w:hint="eastAsia" w:ascii="仿宋" w:hAnsi="仿宋" w:eastAsia="仿宋" w:cs="仿宋"/>
          <w:b/>
          <w:bCs/>
          <w:sz w:val="28"/>
          <w:szCs w:val="28"/>
          <w:lang w:val="en-US" w:eastAsia="zh-CN"/>
        </w:rPr>
        <w:t>第40条生态效益</w:t>
      </w:r>
      <w:bookmarkEnd w:id="96"/>
    </w:p>
    <w:p w14:paraId="6FE2856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对区域生态安全保障功能的显著提升</w:t>
      </w:r>
    </w:p>
    <w:p w14:paraId="48C0F8C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1.保障下游生态安全</w:t>
      </w:r>
    </w:p>
    <w:p w14:paraId="49CA6F4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汀江、九龙江生态廊道：作为重要的流域，汀江和九龙江的水质和生态状况直接影响到下游地区的水生态安全。上杭县的生态修复项目通过改善水质、恢复植被、减少水土流失等措施，为这两条河流提供了坚实的生态屏障，有效降低了洪水、泥沙淤积等自然灾害的风险。</w:t>
      </w:r>
    </w:p>
    <w:p w14:paraId="3D5C38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生态系统稳定性：通过恢复和保护自然生态系统，项目促进了生态系统的自我修复和稳定，增强了抵御外部干扰和灾害的能力，为下游地区提供了更加可靠的生态保障。</w:t>
      </w:r>
    </w:p>
    <w:p w14:paraId="38107E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改善区域生态环境</w:t>
      </w:r>
    </w:p>
    <w:p w14:paraId="3A45D4E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脆弱区治理：上杭县作为南方红壤丘陵山地生态脆弱区的一部分，面临着水土流失、植被破坏等严峻挑战。生态修复项目的实施，有助于恢复植被覆盖，减少水土流失，提升土壤质量，从而改善整个区域的生态环境。</w:t>
      </w:r>
    </w:p>
    <w:p w14:paraId="6D6B457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功能区建设：作为南岭山地森林及生物多样性生态功能区的重要组成部分，上杭县的生态修复项目有助于加强这一区域的生态服务功能，如水源涵养、气候调节、空气净化等，为周边地区提供优质的生态服务。</w:t>
      </w:r>
    </w:p>
    <w:p w14:paraId="0F79F0B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3生物多样性保护</w:t>
      </w:r>
    </w:p>
    <w:p w14:paraId="18BDBF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保护网络构建：通过构建以自然保护区为核心，地质公园、湿地公园、森林公园、风景名胜区等为辐射的生物多样性保护网络，项目为野生动植物提供了更加广阔的栖息地和繁衍空间，促进了生物多样性的恢复和增长。</w:t>
      </w:r>
    </w:p>
    <w:p w14:paraId="6A65EC6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珍稀濒危物种保护：针对珍稀和濒危物种实施专门的保护措施，如建立保护区、进行人工繁育等，有助于防止这些物种的灭绝风险，维护生态系统的完整性和稳定性。</w:t>
      </w:r>
    </w:p>
    <w:p w14:paraId="74BC56B8">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生态环境质量的显著改善</w:t>
      </w:r>
    </w:p>
    <w:p w14:paraId="1DF179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森林生态功能增强</w:t>
      </w:r>
    </w:p>
    <w:p w14:paraId="2574E0C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林分结构改造：通过调整林分结构，增加阔叶林比例，项目提升了森林生态系统的稳定性和多样性。阔叶林具有更强的根系固土和水源涵养能力，有助于减少水土流失和提高土壤质量。</w:t>
      </w:r>
    </w:p>
    <w:p w14:paraId="582E39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碳汇能力提升：作为重要的碳汇来源，森林在应对全球气候变化中发挥着重要作用。通过林分改造和森林管理，项目增加了森林吸收二氧化碳的能力，有助于降低大气中的温室气体浓度，推进碳市场建设。</w:t>
      </w:r>
    </w:p>
    <w:p w14:paraId="1B3BEE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2.水土流失减少与土地质量提高</w:t>
      </w:r>
    </w:p>
    <w:p w14:paraId="150E27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水土流失治理：通过实施水土流失治理工程和矿山环境修复工程，项目有效减少了区域内的水土流失现象，改善了土壤结构和水文条件。这不仅提高了土地资源的利用效率，还有助于减少河道、坝库等水利工程的淤积和污染风险。</w:t>
      </w:r>
    </w:p>
    <w:p w14:paraId="190214E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土地质量提升：随着水土流失的减少和土壤结构的改善，项目区域内的土地质量得到了显著提升。这有助于促进农业生产和生态旅游等产业的发展，提高当地居民的生活水平。</w:t>
      </w:r>
    </w:p>
    <w:p w14:paraId="4B8CD3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3</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水资源保障能力加强与自然灾害危害降低</w:t>
      </w:r>
    </w:p>
    <w:p w14:paraId="54D908A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流域水环境保护：通过开展流域水环境保护与整治工程，项目减少了人为活动对水源保护区的干扰和污染负荷对水源地水质的影响。这提高了水资源的保障能力和水灾应对能力，确保了流域内居民的饮水安全。</w:t>
      </w:r>
    </w:p>
    <w:p w14:paraId="091A613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自然灾害防控：通过加强生态环境保护和治理工作，项目降低了自然灾害的发生频率和危害程度。这有助于保障人民群众的生命财产安全和社会稳定。</w:t>
      </w:r>
    </w:p>
    <w:p w14:paraId="07A37CC4">
      <w:pPr>
        <w:outlineLvl w:val="2"/>
        <w:rPr>
          <w:rFonts w:hint="eastAsia" w:ascii="仿宋" w:hAnsi="仿宋" w:eastAsia="仿宋" w:cs="仿宋"/>
          <w:b/>
          <w:bCs/>
          <w:sz w:val="28"/>
          <w:szCs w:val="28"/>
          <w:lang w:val="en-US" w:eastAsia="zh-CN"/>
        </w:rPr>
      </w:pPr>
      <w:bookmarkStart w:id="97" w:name="_Toc26642"/>
      <w:r>
        <w:rPr>
          <w:rFonts w:hint="eastAsia" w:ascii="仿宋" w:hAnsi="仿宋" w:eastAsia="仿宋" w:cs="仿宋"/>
          <w:b/>
          <w:bCs/>
          <w:sz w:val="28"/>
          <w:szCs w:val="28"/>
          <w:lang w:val="en-US" w:eastAsia="zh-CN"/>
        </w:rPr>
        <w:t>第41条社会效益</w:t>
      </w:r>
      <w:bookmarkEnd w:id="97"/>
    </w:p>
    <w:p w14:paraId="0308C56E">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良好生态环境提高居民生活质量</w:t>
      </w:r>
    </w:p>
    <w:p w14:paraId="3552623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1.生态环境作为公共产品与民生福祉</w:t>
      </w:r>
    </w:p>
    <w:p w14:paraId="3D1855C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良好生态环境不仅是自然界赋予的宝贵财富，更是现代社会中不可或缺的公共产品。它以其普惠性、公平性和可持续性，为全体居民提供了高质量的生活环境。作为民生福祉的重要组成部分，生态环境的改善直接关系到人民群众的幸福感和满意度。</w:t>
      </w:r>
    </w:p>
    <w:p w14:paraId="077F44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“绿水青山”转化为“金山银山”</w:t>
      </w:r>
    </w:p>
    <w:p w14:paraId="4F06881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将“绿水青山”转化为“金山银山”，是实现绿色惠民新路径的关键。通过将美丽乡村建设与宜居城市建设相结合，推进新型城镇化建设，不仅可以提升城乡人民群众的生活质量，还能促进当地经济的绿色转型和可持续发展。在这一过程中，生态环境的保护和改善成为推动经济社会发展的重要动力。</w:t>
      </w:r>
    </w:p>
    <w:p w14:paraId="7C7BF9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3</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城乡环境治理与民生改善</w:t>
      </w:r>
    </w:p>
    <w:p w14:paraId="0DAEDF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随着城乡垃圾和污水治理、废弃工矿地环境整治、水利及其配套设施建设等工程的深入开展，城乡环境质量得到显著提升。农村卫生条件的改善和城乡居民休憩活动场所的增加，为人民群众提供了更加舒适、便捷的生活空间。同时，这些工程的实施还有助于推动农村产业结构调整和农业现代化进程，为农民增收致富创造有利条件。</w:t>
      </w:r>
    </w:p>
    <w:p w14:paraId="02BC25B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生态意识显著增强，生态文明观念深入人心</w:t>
      </w:r>
    </w:p>
    <w:p w14:paraId="4E0214E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生态价值意识的树立</w:t>
      </w:r>
    </w:p>
    <w:p w14:paraId="3EBE8C4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在重点工程实施过程中，政府和民众对水土保持、矿山修复、环境保护的重要性和价值</w:t>
      </w:r>
      <w:r>
        <w:rPr>
          <w:rFonts w:hint="eastAsia" w:ascii="仿宋" w:hAnsi="仿宋" w:eastAsia="仿宋" w:cs="仿宋"/>
          <w:b w:val="0"/>
          <w:bCs w:val="0"/>
          <w:sz w:val="28"/>
          <w:szCs w:val="28"/>
          <w:lang w:val="en-US" w:eastAsia="zh-CN"/>
        </w:rPr>
        <w:t>将有</w:t>
      </w:r>
      <w:r>
        <w:rPr>
          <w:rFonts w:hint="default" w:ascii="仿宋" w:hAnsi="仿宋" w:eastAsia="仿宋" w:cs="仿宋"/>
          <w:b w:val="0"/>
          <w:bCs w:val="0"/>
          <w:sz w:val="28"/>
          <w:szCs w:val="28"/>
          <w:lang w:val="en-US" w:eastAsia="zh-CN"/>
        </w:rPr>
        <w:t>更深刻的认识</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促使人们逐步树立生态价值意识，认识到生态环境对于人类生存和发展的重要意义。同时，人们开始形成对自然生态的敬畏之心，意识到保护生态环境就是保护人类自己。</w:t>
      </w:r>
    </w:p>
    <w:p w14:paraId="5B3BDDF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2.生态责任和生态道德意识的建立</w:t>
      </w:r>
    </w:p>
    <w:p w14:paraId="54F3C99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随着生态价值意识的树立，人们的生态责任和生态道德意识也逐步增强。越来越多的人将上杭生态环境保护视为己任，积极参与各种环保活动，为改善生态环境贡献自己的力量。同时，人们还注重培养自身的生态道德素质，自觉抵制破坏生态环境的行为，共同维护良好的生态环境。</w:t>
      </w:r>
    </w:p>
    <w:p w14:paraId="0400C8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3</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生态知识的学习与教育</w:t>
      </w:r>
    </w:p>
    <w:p w14:paraId="7D6FC6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为了更好地推动生态文明建设，人们开始重视生态知识的学习和教育。通过各种渠道和方式，人们了解和掌握了生态治理与保护的基本常识和理念。这种知识的普及不仅提高了人们的环保意识和能力，还促进了全社会对生态文明建设的广泛参与和支持。</w:t>
      </w:r>
    </w:p>
    <w:p w14:paraId="47DA0D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4</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绿色消费意识的普及</w:t>
      </w:r>
    </w:p>
    <w:p w14:paraId="635784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随着生态文明观念的深入人心，人们的绿色消费意识也普遍增强。在日常生活中，人们开始关注产品的环保性能和可持续性，自觉抵制过度包装和浪费资源的行为。同时，人们还注重节约资源、减少污染，共同推动形成人与自然和谐发展的良好局面。这种绿色消费意识的普及不仅有助于推动经济社会的绿色转型和可持续发展，还有助于提升人民群众的生活质量和幸福感。</w:t>
      </w:r>
    </w:p>
    <w:p w14:paraId="060CDC9E">
      <w:pPr>
        <w:outlineLvl w:val="2"/>
        <w:rPr>
          <w:rFonts w:hint="eastAsia" w:ascii="仿宋" w:hAnsi="仿宋" w:eastAsia="仿宋" w:cs="仿宋"/>
          <w:b/>
          <w:bCs/>
          <w:sz w:val="28"/>
          <w:szCs w:val="28"/>
          <w:lang w:val="en-US" w:eastAsia="zh-CN"/>
        </w:rPr>
      </w:pPr>
      <w:bookmarkStart w:id="98" w:name="_Toc20063"/>
      <w:r>
        <w:rPr>
          <w:rFonts w:hint="eastAsia" w:ascii="仿宋" w:hAnsi="仿宋" w:eastAsia="仿宋" w:cs="仿宋"/>
          <w:b/>
          <w:bCs/>
          <w:sz w:val="28"/>
          <w:szCs w:val="28"/>
          <w:lang w:val="en-US" w:eastAsia="zh-CN"/>
        </w:rPr>
        <w:t>第42条经济效益</w:t>
      </w:r>
      <w:bookmarkEnd w:id="98"/>
    </w:p>
    <w:p w14:paraId="1A0B96C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生态价值提升助力乡村振兴</w:t>
      </w:r>
    </w:p>
    <w:p w14:paraId="789143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补贴政策促进生态保护与农民增收</w:t>
      </w:r>
    </w:p>
    <w:p w14:paraId="6F4FDF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在重点生态功能区和生态环境敏感区、脆弱区，实施退耕还林、天然林保护、生态公益林建设保护等补贴政策，是一项双赢的举措。这些政策不仅能够有效保护生态环境和生物多样性，减少人类活动对自然环境的破坏，还能够增加山区农民的收入，提高他们保护生态的积极性。通过经济补偿机制，农民在保护生态环境的同时，也能够获得实实在在的经济利益，从而形成了生态保护与经济发展的良性循环。</w:t>
      </w:r>
    </w:p>
    <w:p w14:paraId="7D6170F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生态工程推动经济发展与GDP增长</w:t>
      </w:r>
    </w:p>
    <w:p w14:paraId="078FC0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上杭县通过实施水土流失治理工程、矿山环境修复工程、流域水环境保护与整治工程、生物多样性保护以及土地整治与土壤改良工程等一系列生态修复项目，将显著改善生态环境质量。这些工程的实施不仅能够提升区域生态系统的稳定性和服务功能，还能够为当地经济发展注入新的动力。随着生态环境的改善，上杭县将吸引更多的投资和人才，推动产业升级和转型，从而拉动GDP增长，实现经济社会的可持续发展。</w:t>
      </w:r>
    </w:p>
    <w:p w14:paraId="19CB133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推动经济社会发展绿色转型</w:t>
      </w:r>
    </w:p>
    <w:p w14:paraId="040548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1</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土地资源有效利用促进农业与经济发展</w:t>
      </w:r>
    </w:p>
    <w:p w14:paraId="33D18E8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生态修复工程的实施使得区域水土资源得到有效利用。这些土地资源的恢复和改良为当地粮食安全问题的解决提供了有力保障，同时也为农村经济的发展提供了大量有用的土地储备资源。通过合理规划和利用这些土地资源，上杭县将能够发展更加高效、可持续的农业产业，提高土地资源的利用率和产出率。这将为县域经济的快速、持续、健康、稳定发展奠定坚实基础，并注入新的活力。</w:t>
      </w:r>
    </w:p>
    <w:p w14:paraId="7B57DE8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2.绿色产业开发促进农业产业结构调整和产业链升级</w:t>
      </w:r>
    </w:p>
    <w:p w14:paraId="39FEBE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随着生态修复工程的深入推进，上杭县将积极推动绿色产业的发展。通过发展生态农业、生态旅游等绿色产业，上杭县将实现农业产业结构的优化和升级，提高农业产业的附加值和市场竞争力。同时，绿色产业的发展还将带动农村产业链的延伸和拓展，形成更加完整、高效的产业链体系。这将有助于推动农村经济的多元化发展，提高农民的收入水平和生活质量。</w:t>
      </w:r>
    </w:p>
    <w:p w14:paraId="2E32305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3</w:t>
      </w:r>
      <w:r>
        <w:rPr>
          <w:rFonts w:hint="eastAsia" w:ascii="仿宋" w:hAnsi="仿宋" w:eastAsia="仿宋" w:cs="仿宋"/>
          <w:b w:val="0"/>
          <w:bCs w:val="0"/>
          <w:sz w:val="28"/>
          <w:szCs w:val="28"/>
          <w:lang w:val="en-US" w:eastAsia="zh-CN"/>
        </w:rPr>
        <w:t>.</w:t>
      </w:r>
      <w:r>
        <w:rPr>
          <w:rFonts w:hint="default" w:ascii="仿宋" w:hAnsi="仿宋" w:eastAsia="仿宋" w:cs="仿宋"/>
          <w:b w:val="0"/>
          <w:bCs w:val="0"/>
          <w:sz w:val="28"/>
          <w:szCs w:val="28"/>
          <w:lang w:val="en-US" w:eastAsia="zh-CN"/>
        </w:rPr>
        <w:t>地质灾害防治保障人民生命财产安全</w:t>
      </w:r>
    </w:p>
    <w:p w14:paraId="6CE950F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废弃矿山修复和地质灾害</w:t>
      </w:r>
      <w:r>
        <w:rPr>
          <w:rFonts w:hint="eastAsia" w:ascii="仿宋" w:hAnsi="仿宋" w:eastAsia="仿宋" w:cs="仿宋"/>
          <w:b w:val="0"/>
          <w:bCs w:val="0"/>
          <w:sz w:val="28"/>
          <w:szCs w:val="28"/>
          <w:lang w:val="en-US" w:eastAsia="zh-CN"/>
        </w:rPr>
        <w:t>隐患点</w:t>
      </w:r>
      <w:r>
        <w:rPr>
          <w:rFonts w:hint="default" w:ascii="仿宋" w:hAnsi="仿宋" w:eastAsia="仿宋" w:cs="仿宋"/>
          <w:b w:val="0"/>
          <w:bCs w:val="0"/>
          <w:sz w:val="28"/>
          <w:szCs w:val="28"/>
          <w:lang w:val="en-US" w:eastAsia="zh-CN"/>
        </w:rPr>
        <w:t>的综合整治是上杭县生态修复工程的重要组成部分。通过这些工程的实施，将有效减轻泥石流、滑坡、崩塌等自然灾害的发生频率和危害程度，保护人民群众的生命财产安全。同时，这些工程的实施还将减少因自然灾害造成的经济损失和社会影响，为当地经济社会的稳定发展提供有力保障。</w:t>
      </w:r>
    </w:p>
    <w:p w14:paraId="595C388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br w:type="page"/>
      </w:r>
    </w:p>
    <w:p w14:paraId="3C07532F">
      <w:pPr>
        <w:keepNext/>
        <w:keepLines/>
        <w:spacing w:before="240" w:after="240" w:line="360" w:lineRule="auto"/>
        <w:ind w:firstLine="0" w:firstLineChars="0"/>
        <w:jc w:val="center"/>
        <w:outlineLvl w:val="0"/>
        <w:rPr>
          <w:rFonts w:ascii="宋体" w:hAnsi="宋体" w:eastAsia="宋体" w:cs="宋体"/>
          <w:b/>
          <w:bCs/>
          <w:kern w:val="44"/>
          <w:sz w:val="36"/>
          <w:szCs w:val="44"/>
        </w:rPr>
      </w:pPr>
      <w:bookmarkStart w:id="99" w:name="_Toc20919_WPSOffice_Level1"/>
      <w:bookmarkStart w:id="100" w:name="_Toc12729"/>
      <w:bookmarkStart w:id="101" w:name="_Toc21963"/>
      <w:r>
        <w:rPr>
          <w:rFonts w:hint="eastAsia" w:ascii="宋体" w:hAnsi="宋体" w:eastAsia="宋体" w:cs="宋体"/>
          <w:b/>
          <w:bCs/>
          <w:kern w:val="44"/>
          <w:sz w:val="36"/>
          <w:szCs w:val="44"/>
        </w:rPr>
        <w:t>第</w:t>
      </w:r>
      <w:r>
        <w:rPr>
          <w:rFonts w:hint="eastAsia" w:ascii="宋体" w:hAnsi="宋体" w:eastAsia="宋体" w:cs="宋体"/>
          <w:b/>
          <w:bCs/>
          <w:kern w:val="44"/>
          <w:sz w:val="36"/>
          <w:szCs w:val="44"/>
          <w:lang w:val="en-US" w:eastAsia="zh-CN"/>
        </w:rPr>
        <w:t>七</w:t>
      </w:r>
      <w:r>
        <w:rPr>
          <w:rFonts w:hint="eastAsia" w:ascii="宋体" w:hAnsi="宋体" w:eastAsia="宋体" w:cs="宋体"/>
          <w:b/>
          <w:bCs/>
          <w:kern w:val="44"/>
          <w:sz w:val="36"/>
          <w:szCs w:val="44"/>
        </w:rPr>
        <w:t>章 保障机制</w:t>
      </w:r>
      <w:bookmarkEnd w:id="99"/>
      <w:bookmarkEnd w:id="100"/>
      <w:bookmarkEnd w:id="101"/>
    </w:p>
    <w:p w14:paraId="6CF6ECE1">
      <w:pPr>
        <w:outlineLvl w:val="2"/>
        <w:rPr>
          <w:rFonts w:hint="eastAsia" w:ascii="仿宋" w:hAnsi="仿宋" w:eastAsia="仿宋" w:cs="仿宋"/>
          <w:b/>
          <w:bCs/>
          <w:sz w:val="28"/>
          <w:szCs w:val="28"/>
          <w:lang w:val="en-US" w:eastAsia="zh-CN"/>
        </w:rPr>
      </w:pPr>
      <w:bookmarkStart w:id="102" w:name="_Toc9282"/>
      <w:r>
        <w:rPr>
          <w:rFonts w:hint="eastAsia" w:ascii="仿宋" w:hAnsi="仿宋" w:eastAsia="仿宋" w:cs="仿宋"/>
          <w:b/>
          <w:bCs/>
          <w:sz w:val="28"/>
          <w:szCs w:val="28"/>
          <w:lang w:val="en-US" w:eastAsia="zh-CN"/>
        </w:rPr>
        <w:t>第43条保障机制</w:t>
      </w:r>
      <w:bookmarkEnd w:id="102"/>
    </w:p>
    <w:p w14:paraId="40C00F9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03" w:name="_Toc31480"/>
      <w:bookmarkStart w:id="104" w:name="_Toc910_WPSOffice_Level2"/>
      <w:r>
        <w:rPr>
          <w:rFonts w:hint="default" w:ascii="仿宋" w:hAnsi="仿宋" w:eastAsia="仿宋" w:cs="仿宋"/>
          <w:b/>
          <w:bCs/>
          <w:sz w:val="28"/>
          <w:szCs w:val="28"/>
          <w:lang w:val="en-US" w:eastAsia="zh-CN"/>
        </w:rPr>
        <w:t>加强组织领导</w:t>
      </w:r>
      <w:bookmarkEnd w:id="103"/>
      <w:bookmarkEnd w:id="104"/>
    </w:p>
    <w:p w14:paraId="31CEFA2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在</w:t>
      </w:r>
      <w:r>
        <w:rPr>
          <w:rFonts w:hint="eastAsia" w:ascii="仿宋" w:hAnsi="仿宋" w:eastAsia="仿宋" w:cs="仿宋"/>
          <w:b w:val="0"/>
          <w:bCs w:val="0"/>
          <w:sz w:val="28"/>
          <w:szCs w:val="28"/>
          <w:lang w:val="en-US" w:eastAsia="zh-CN"/>
        </w:rPr>
        <w:t>上杭</w:t>
      </w:r>
      <w:r>
        <w:rPr>
          <w:rFonts w:hint="default" w:ascii="仿宋" w:hAnsi="仿宋" w:eastAsia="仿宋" w:cs="仿宋"/>
          <w:b w:val="0"/>
          <w:bCs w:val="0"/>
          <w:sz w:val="28"/>
          <w:szCs w:val="28"/>
          <w:lang w:val="en-US" w:eastAsia="zh-CN"/>
        </w:rPr>
        <w:t>县委、县政府领导下，各地要将国土空间生态保护与修复工作摆到突出位置，切实加强组织领导和基础保障。各级、各部门要进一步发挥在生态修复工作中的组织领导和督促检查作用。充分发挥人大、政协对规划实施的监督作用。加强相关部门在协调组织、规划决策、规划管理中的作用，完善规划实施统筹决策机制。</w:t>
      </w:r>
    </w:p>
    <w:p w14:paraId="6EEA00F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05" w:name="_Toc10742"/>
      <w:bookmarkStart w:id="106" w:name="_Toc32140_WPSOffice_Level2"/>
      <w:r>
        <w:rPr>
          <w:rFonts w:hint="default" w:ascii="仿宋" w:hAnsi="仿宋" w:eastAsia="仿宋" w:cs="仿宋"/>
          <w:b/>
          <w:bCs/>
          <w:sz w:val="28"/>
          <w:szCs w:val="28"/>
          <w:lang w:val="en-US" w:eastAsia="zh-CN"/>
        </w:rPr>
        <w:t>创新政策体系</w:t>
      </w:r>
      <w:bookmarkEnd w:id="105"/>
      <w:bookmarkEnd w:id="106"/>
    </w:p>
    <w:p w14:paraId="064842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在符合国土空间规划的前提下，切实解决好重要生态系统保护和修复重大项目的用地、用林等要素保障。县级行业主管部门要积极争取重要生态系统保护和修复重大工程项目纳入国家、省级、市级相关规划。探索建立政府主导、社会参与、市场化运作、可持续的生态保护补偿机制，对履行自然资源资产保护义务的权利主体给予合理补偿。按照谁修复、谁受益的原则，通过赋予一定期限的自然资源资产使用权等产权安排，激励社会投资主体从事生态保护修复。对集中连片开展生态修复达到一定规模的经营主体，允许在符合土地管理法律法规和国土空间规划、依法办理建设用地审批手续、坚持节约集约用地的前提下，利用1-3%的治理面积从事相关产业开发。通过“以奖代补”“示范补助”等方式，加大财政对废弃矿山生态修复工作的支持，并通过城乡建设用地增减挂钩、放活农用地经营权、实行差别化土地供应、鼓励废弃矿山土地及土石料综合利用等方式吸引社会资金参与废弃矿山生态修复。</w:t>
      </w:r>
    </w:p>
    <w:p w14:paraId="3D5D966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07" w:name="_Toc21953_WPSOffice_Level2"/>
      <w:bookmarkStart w:id="108" w:name="_Toc13815"/>
      <w:r>
        <w:rPr>
          <w:rFonts w:hint="default" w:ascii="仿宋" w:hAnsi="仿宋" w:eastAsia="仿宋" w:cs="仿宋"/>
          <w:b/>
          <w:bCs/>
          <w:sz w:val="28"/>
          <w:szCs w:val="28"/>
          <w:lang w:val="en-US" w:eastAsia="zh-CN"/>
        </w:rPr>
        <w:t>落实资金保障</w:t>
      </w:r>
      <w:bookmarkEnd w:id="107"/>
      <w:bookmarkEnd w:id="108"/>
    </w:p>
    <w:p w14:paraId="5E7EEB3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建立政府引导、社会参与、多元投入的资金筹措机制。积极争取中央、省级资金支持。将重大工程项目作为财政优先支持领域，加大投入力度。鼓励各个乡镇统筹多层级、多领域资金，集中开展重大工程建设，形成资金投入合力，提高财政资源配置效率和使用效率。将生态保护和修复领域作为金融支持的重点，建立健全生态资源融资担保体系，鼓励金融机构创新绿色金融产品，探索建立生态基金。支持通过绿色发展基金、地方政府债券、政府和社会资本合作等多种方式筹措工程建设资金。鼓励将重大工程项目与生态旅游、生态农业、特色小镇、林下经济等相关产业深度融合，吸引社会资本积极参与重大工程建设与管理，探索重大工程市场化建设、运营、管理的有效模式。</w:t>
      </w:r>
    </w:p>
    <w:p w14:paraId="7E1F49B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09" w:name="_Toc23414"/>
      <w:bookmarkStart w:id="110" w:name="_Toc17611_WPSOffice_Level2"/>
      <w:r>
        <w:rPr>
          <w:rFonts w:hint="default" w:ascii="仿宋" w:hAnsi="仿宋" w:eastAsia="仿宋" w:cs="仿宋"/>
          <w:b/>
          <w:bCs/>
          <w:sz w:val="28"/>
          <w:szCs w:val="28"/>
          <w:lang w:val="en-US" w:eastAsia="zh-CN"/>
        </w:rPr>
        <w:t>强化科技支撑</w:t>
      </w:r>
      <w:bookmarkEnd w:id="109"/>
      <w:bookmarkEnd w:id="110"/>
    </w:p>
    <w:p w14:paraId="0FE0B5A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遵循自然生态系统演替规律，充分发挥大自然的自我修复能力，强化科技支撑作用，因地制宜、实事求是，采取科学配置保护和修复、自然和人工、生物和工程等措施，推进一体化保护修复，避免修复过程中造成新的生态破坏。充分发挥高校、科研机构等专业优势，开展生态保护与修复标准体系建设、修复新技术推广、科研成果转化等方面的研究，增强关键修复技术和措施的针对性、系统性、长效性。通过科学修复、精准修复，全面提升生态系统功能，促进生态系统正向演替。</w:t>
      </w:r>
    </w:p>
    <w:p w14:paraId="7A82E525">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11" w:name="_Toc29216_WPSOffice_Level2"/>
      <w:bookmarkStart w:id="112" w:name="_Toc4391"/>
      <w:r>
        <w:rPr>
          <w:rFonts w:hint="default" w:ascii="仿宋" w:hAnsi="仿宋" w:eastAsia="仿宋" w:cs="仿宋"/>
          <w:b/>
          <w:bCs/>
          <w:sz w:val="28"/>
          <w:szCs w:val="28"/>
          <w:lang w:val="en-US" w:eastAsia="zh-CN"/>
        </w:rPr>
        <w:t>强化评估监管</w:t>
      </w:r>
      <w:bookmarkEnd w:id="111"/>
      <w:bookmarkEnd w:id="112"/>
    </w:p>
    <w:p w14:paraId="1BBE1E6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加快构建横向协调、纵向联动的动态监测-定期体检-监测评估预警机制，全方位掌握生态修复工作的落实情况和实际效果。建立规划实施动态监测、定期评估和及时维护制度。对规划中确定的各项指标进行实时监测，根据评估结果，采取完善规划实施机制、优化调整近期建设规划和年度实施计划等方式，及时调整相关实施策略，开展规划动态维护。开展全域监测评估，及时发现生态保护修复过程中新产生的生态问题及潜在风险，对生态修复规划实施工作进行反馈和修正。相关部门要加强对生态修复工作的检查指导，切实做好绩效考评工作，确保下达的各项任务和绩效目标如期完成。</w:t>
      </w:r>
    </w:p>
    <w:p w14:paraId="091DDB1B">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ascii="仿宋" w:hAnsi="仿宋" w:eastAsia="仿宋" w:cs="仿宋"/>
          <w:b/>
          <w:bCs/>
          <w:sz w:val="28"/>
          <w:szCs w:val="28"/>
          <w:lang w:val="en-US" w:eastAsia="zh-CN"/>
        </w:rPr>
      </w:pPr>
      <w:bookmarkStart w:id="113" w:name="_Toc13692"/>
      <w:bookmarkStart w:id="114" w:name="_Toc5749_WPSOffice_Level2"/>
      <w:r>
        <w:rPr>
          <w:rFonts w:hint="default" w:ascii="仿宋" w:hAnsi="仿宋" w:eastAsia="仿宋" w:cs="仿宋"/>
          <w:b/>
          <w:bCs/>
          <w:sz w:val="28"/>
          <w:szCs w:val="28"/>
          <w:lang w:val="en-US" w:eastAsia="zh-CN"/>
        </w:rPr>
        <w:t>鼓励公众参与</w:t>
      </w:r>
      <w:bookmarkEnd w:id="113"/>
      <w:bookmarkEnd w:id="114"/>
    </w:p>
    <w:p w14:paraId="4F7C051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 w:hAnsi="仿宋" w:eastAsia="仿宋" w:cs="仿宋"/>
          <w:b w:val="0"/>
          <w:bCs w:val="0"/>
          <w:sz w:val="28"/>
          <w:szCs w:val="28"/>
          <w:lang w:val="en-US" w:eastAsia="zh-CN"/>
        </w:rPr>
      </w:pPr>
      <w:r>
        <w:rPr>
          <w:rFonts w:hint="default" w:ascii="仿宋" w:hAnsi="仿宋" w:eastAsia="仿宋" w:cs="仿宋"/>
          <w:b w:val="0"/>
          <w:bCs w:val="0"/>
          <w:sz w:val="28"/>
          <w:szCs w:val="28"/>
          <w:lang w:val="en-US" w:eastAsia="zh-CN"/>
        </w:rPr>
        <w:t>大力学习宣传习近平生态文明思想，加强自然生态县情宣传和生态保护法治教育。将国家公园、自然保护区、各类自然公园、科技馆等作为普及生态保护知识的重要阵地。各乡镇各部门要充分发挥政府网站、传统媒体和新媒体的作用，开展形式多样的生态主题宣传，普及生态文化，提高公众生态文明意识。大力推进全民义务植树，创新公众参与生态保护和修复模式，推动生态工程全民共建、生态产品全民共享。及时总结各地生态保护修复新的经验做法，形成可复制、可推广的典型案例，推动全县生态保护修复上新水平。</w:t>
      </w:r>
    </w:p>
    <w:p w14:paraId="2E6E0EEE">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7D21D2F2">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6512AA4D">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6AE478B1">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28CAA81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56E0E97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30B9259F">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1EF4E71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3C0CF4E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4E8B17C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5A245762">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416F8E49">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602C245C">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27B366BE">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083F1DC3">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49D9A6A2">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0CF2E604">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0C0336B4">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184CB924">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1211064C">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6AF1B2C5">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0299655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48F63C00">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0C1CBECB">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b w:val="0"/>
          <w:bCs w:val="0"/>
          <w:sz w:val="28"/>
          <w:szCs w:val="28"/>
          <w:lang w:val="en-US" w:eastAsia="zh-CN"/>
        </w:rPr>
      </w:pPr>
    </w:p>
    <w:p w14:paraId="06BB3940">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7B57146F">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b w:val="0"/>
          <w:bCs w:val="0"/>
          <w:sz w:val="28"/>
          <w:szCs w:val="28"/>
          <w:lang w:val="en-US" w:eastAsia="zh-CN"/>
        </w:rPr>
      </w:pPr>
    </w:p>
    <w:p w14:paraId="01D7E387">
      <w:pPr>
        <w:numPr>
          <w:ilvl w:val="0"/>
          <w:numId w:val="0"/>
        </w:numPr>
        <w:jc w:val="both"/>
        <w:rPr>
          <w:rFonts w:hint="default" w:ascii="宋体" w:hAnsi="宋体" w:eastAsia="宋体" w:cs="宋体"/>
          <w:b/>
          <w:bCs/>
          <w:kern w:val="44"/>
          <w:sz w:val="36"/>
          <w:szCs w:val="44"/>
          <w:lang w:val="en-US" w:eastAsia="zh-CN" w:bidi="ar-SA"/>
        </w:rPr>
      </w:pPr>
    </w:p>
    <w:p w14:paraId="6E05C3C9">
      <w:pPr>
        <w:rPr>
          <w:rFonts w:hint="default" w:ascii="仿宋" w:hAnsi="仿宋" w:eastAsia="仿宋" w:cs="仿宋"/>
          <w:sz w:val="28"/>
          <w:szCs w:val="28"/>
          <w:lang w:val="en-US" w:eastAsia="zh-CN"/>
        </w:rPr>
      </w:pPr>
    </w:p>
    <w:p w14:paraId="4D09002C">
      <w:pPr>
        <w:rPr>
          <w:rFonts w:hint="eastAsia" w:ascii="仿宋" w:hAnsi="仿宋" w:eastAsia="仿宋" w:cs="仿宋"/>
          <w:sz w:val="28"/>
          <w:szCs w:val="28"/>
          <w:lang w:val="en-US" w:eastAsia="zh-CN"/>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28D0E">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A9734">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14A973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3ED19F"/>
    <w:multiLevelType w:val="singleLevel"/>
    <w:tmpl w:val="E63ED19F"/>
    <w:lvl w:ilvl="0" w:tentative="0">
      <w:start w:val="3"/>
      <w:numFmt w:val="chineseCounting"/>
      <w:suff w:val="space"/>
      <w:lvlText w:val="第%1节"/>
      <w:lvlJc w:val="left"/>
      <w:rPr>
        <w:rFonts w:hint="eastAsia"/>
      </w:rPr>
    </w:lvl>
  </w:abstractNum>
  <w:abstractNum w:abstractNumId="1">
    <w:nsid w:val="232CE562"/>
    <w:multiLevelType w:val="singleLevel"/>
    <w:tmpl w:val="232CE562"/>
    <w:lvl w:ilvl="0" w:tentative="0">
      <w:start w:val="2"/>
      <w:numFmt w:val="chineseCounting"/>
      <w:suff w:val="space"/>
      <w:lvlText w:val="第%1节"/>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outline"/>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3NTYwOTBiYjlmNWIzMjI1MWQ5MTNlZDhiNTFmZWEifQ=="/>
  </w:docVars>
  <w:rsids>
    <w:rsidRoot w:val="7B5C1FCC"/>
    <w:rsid w:val="03966E89"/>
    <w:rsid w:val="08657C35"/>
    <w:rsid w:val="0FE311CD"/>
    <w:rsid w:val="135B5BAB"/>
    <w:rsid w:val="356457B0"/>
    <w:rsid w:val="5B1C5814"/>
    <w:rsid w:val="625975E8"/>
    <w:rsid w:val="70874FAF"/>
    <w:rsid w:val="73F7233A"/>
    <w:rsid w:val="7B5C1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qFormat/>
    <w:uiPriority w:val="0"/>
    <w:pPr>
      <w:keepNext/>
      <w:keepLines/>
      <w:spacing w:before="240" w:after="240" w:line="360" w:lineRule="auto"/>
      <w:outlineLvl w:val="0"/>
    </w:pPr>
    <w:rPr>
      <w:rFonts w:eastAsia="黑体"/>
      <w:b/>
      <w:bCs/>
      <w:kern w:val="44"/>
      <w:sz w:val="36"/>
      <w:szCs w:val="44"/>
    </w:rPr>
  </w:style>
  <w:style w:type="paragraph" w:styleId="3">
    <w:name w:val="heading 2"/>
    <w:basedOn w:val="1"/>
    <w:next w:val="1"/>
    <w:unhideWhenUsed/>
    <w:qFormat/>
    <w:uiPriority w:val="0"/>
    <w:pPr>
      <w:keepNext/>
      <w:keepLines/>
      <w:spacing w:before="140" w:after="140" w:line="413" w:lineRule="auto"/>
      <w:jc w:val="center"/>
      <w:outlineLvl w:val="1"/>
    </w:pPr>
    <w:rPr>
      <w:rFonts w:ascii="Arial" w:hAnsi="Arial" w:eastAsia="宋体" w:cs="Times New Roman"/>
      <w:b/>
      <w:sz w:val="28"/>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toc 3"/>
    <w:basedOn w:val="1"/>
    <w:next w:val="1"/>
    <w:qFormat/>
    <w:uiPriority w:val="0"/>
    <w:pPr>
      <w:ind w:left="840" w:leftChars="400"/>
    </w:p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6">
    <w:name w:val="Strong"/>
    <w:basedOn w:val="15"/>
    <w:qFormat/>
    <w:uiPriority w:val="0"/>
    <w:rPr>
      <w:b/>
    </w:rPr>
  </w:style>
  <w:style w:type="character" w:customStyle="1" w:styleId="17">
    <w:name w:val="标题 1 Char"/>
    <w:link w:val="2"/>
    <w:qFormat/>
    <w:uiPriority w:val="0"/>
    <w:rPr>
      <w:rFonts w:eastAsia="黑体"/>
      <w:b/>
      <w:bCs/>
      <w:kern w:val="44"/>
      <w:sz w:val="36"/>
      <w:szCs w:val="44"/>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9855</Words>
  <Characters>10251</Characters>
  <Lines>0</Lines>
  <Paragraphs>0</Paragraphs>
  <TotalTime>319</TotalTime>
  <ScaleCrop>false</ScaleCrop>
  <LinksUpToDate>false</LinksUpToDate>
  <CharactersWithSpaces>10378</CharactersWithSpaces>
  <Application>WPS Office_12.1.0.18909_F1E327BC-269C-435d-A152-05C5408002CA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2024-08-15T03:14:00Z</dcterms:created>
  <dc:creator>C丶hao</dc:creator>
  <cp:lastModifiedBy>胡发荣</cp:lastModifiedBy>
  <dcterms:modified xsi:type="dcterms:W3CDTF">2024-11-07T08:48:36Z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2052-12.1.0.18909</vt:lpwstr>
  </property>
  <property fmtid="{D5CDD505-2E9C-101B-9397-08002B2CF9AE}" pid="3" name="ICV">
    <vt:lpwstr>EA1220A1DED84E8C98F82E95C6EAC8A4_13</vt:lpwstr>
  </property>
</Properties>
</file>