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before="0" w:after="0" w:line="590" w:lineRule="exact"/>
        <w:ind w:left="0" w:leftChars="0" w:right="0"/>
        <w:jc w:val="left"/>
        <w:textAlignment w:val="auto"/>
        <w:outlineLvl w:val="9"/>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eastAsia="zh-CN"/>
        </w:rPr>
        <w:t>附件</w:t>
      </w:r>
      <w:r>
        <w:rPr>
          <w:rFonts w:hint="default" w:ascii="Times New Roman" w:hAnsi="Times New Roman" w:eastAsia="黑体" w:cs="Times New Roman"/>
          <w:b w:val="0"/>
          <w:bCs w:val="0"/>
          <w:color w:val="000000"/>
          <w:sz w:val="32"/>
          <w:szCs w:val="32"/>
          <w:lang w:val="en-US" w:eastAsia="zh-CN"/>
        </w:rPr>
        <w:t>2</w:t>
      </w:r>
    </w:p>
    <w:p>
      <w:pPr>
        <w:widowControl w:val="0"/>
        <w:wordWrap/>
        <w:adjustRightInd/>
        <w:snapToGrid/>
        <w:spacing w:before="0" w:after="0" w:line="590" w:lineRule="exact"/>
        <w:ind w:left="0" w:leftChars="0" w:right="0"/>
        <w:jc w:val="center"/>
        <w:textAlignment w:val="auto"/>
        <w:outlineLvl w:val="9"/>
        <w:rPr>
          <w:rFonts w:hint="default" w:ascii="Times New Roman" w:hAnsi="Times New Roman" w:eastAsia="方正小标宋简体" w:cs="Times New Roman"/>
          <w:b w:val="0"/>
          <w:bCs w:val="0"/>
          <w:color w:val="000000"/>
          <w:sz w:val="44"/>
          <w:szCs w:val="44"/>
        </w:rPr>
      </w:pPr>
      <w:r>
        <w:rPr>
          <w:rFonts w:hint="eastAsia" w:ascii="Times New Roman" w:hAnsi="Times New Roman" w:eastAsia="方正小标宋简体" w:cs="Times New Roman"/>
          <w:b w:val="0"/>
          <w:bCs w:val="0"/>
          <w:color w:val="000000"/>
          <w:sz w:val="44"/>
          <w:szCs w:val="44"/>
          <w:lang w:eastAsia="zh-CN"/>
        </w:rPr>
        <w:t>上杭县</w:t>
      </w:r>
      <w:r>
        <w:rPr>
          <w:rFonts w:hint="default" w:ascii="Times New Roman" w:hAnsi="Times New Roman" w:eastAsia="方正小标宋简体" w:cs="Times New Roman"/>
          <w:b w:val="0"/>
          <w:bCs w:val="0"/>
          <w:color w:val="000000"/>
          <w:sz w:val="44"/>
          <w:szCs w:val="44"/>
          <w:lang w:eastAsia="zh-CN"/>
        </w:rPr>
        <w:t>中小学</w:t>
      </w:r>
      <w:r>
        <w:rPr>
          <w:rFonts w:hint="default" w:ascii="Times New Roman" w:hAnsi="Times New Roman" w:eastAsia="方正小标宋简体" w:cs="Times New Roman"/>
          <w:b w:val="0"/>
          <w:bCs w:val="0"/>
          <w:color w:val="000000"/>
          <w:sz w:val="44"/>
          <w:szCs w:val="44"/>
        </w:rPr>
        <w:t>教师职称评聘和细分岗位等级</w:t>
      </w:r>
    </w:p>
    <w:p>
      <w:pPr>
        <w:widowControl w:val="0"/>
        <w:wordWrap/>
        <w:adjustRightInd/>
        <w:snapToGrid/>
        <w:spacing w:before="0" w:after="0" w:line="590" w:lineRule="exact"/>
        <w:ind w:left="0" w:leftChars="0" w:right="0"/>
        <w:jc w:val="center"/>
        <w:textAlignment w:val="auto"/>
        <w:outlineLvl w:val="9"/>
        <w:rPr>
          <w:rFonts w:hint="default" w:ascii="Times New Roman" w:hAnsi="Times New Roman" w:eastAsia="方正小标宋简体" w:cs="Times New Roman"/>
          <w:b w:val="0"/>
          <w:bCs w:val="0"/>
          <w:color w:val="000000"/>
          <w:sz w:val="44"/>
          <w:szCs w:val="44"/>
          <w:lang w:eastAsia="zh-CN"/>
        </w:rPr>
      </w:pPr>
      <w:r>
        <w:rPr>
          <w:rFonts w:hint="default" w:ascii="Times New Roman" w:hAnsi="Times New Roman" w:eastAsia="方正小标宋简体" w:cs="Times New Roman"/>
          <w:b w:val="0"/>
          <w:bCs w:val="0"/>
          <w:color w:val="000000"/>
          <w:sz w:val="44"/>
          <w:szCs w:val="44"/>
        </w:rPr>
        <w:t>晋级考评</w:t>
      </w:r>
      <w:r>
        <w:rPr>
          <w:rFonts w:hint="default" w:ascii="Times New Roman" w:hAnsi="Times New Roman" w:eastAsia="方正小标宋简体" w:cs="Times New Roman"/>
          <w:b w:val="0"/>
          <w:bCs w:val="0"/>
          <w:color w:val="000000"/>
          <w:sz w:val="44"/>
          <w:szCs w:val="44"/>
          <w:lang w:eastAsia="zh-CN"/>
        </w:rPr>
        <w:t>附则</w:t>
      </w:r>
    </w:p>
    <w:p>
      <w:pPr>
        <w:widowControl w:val="0"/>
        <w:wordWrap/>
        <w:adjustRightInd/>
        <w:snapToGrid/>
        <w:spacing w:before="0" w:after="0" w:line="590" w:lineRule="exact"/>
        <w:ind w:left="0" w:leftChars="0" w:right="0" w:firstLine="562" w:firstLineChars="200"/>
        <w:textAlignment w:val="auto"/>
        <w:outlineLvl w:val="9"/>
        <w:rPr>
          <w:rFonts w:hint="default" w:ascii="Times New Roman" w:hAnsi="Times New Roman" w:cs="Times New Roman"/>
          <w:b/>
          <w:bCs/>
          <w:sz w:val="28"/>
          <w:szCs w:val="28"/>
          <w:lang w:val="en-US" w:eastAsia="zh-CN"/>
        </w:rPr>
      </w:pPr>
    </w:p>
    <w:p>
      <w:pPr>
        <w:widowControl w:val="0"/>
        <w:wordWrap/>
        <w:adjustRightInd/>
        <w:snapToGrid/>
        <w:spacing w:before="0" w:after="0" w:line="590" w:lineRule="exact"/>
        <w:ind w:left="0" w:leftChars="0" w:right="0" w:firstLine="643" w:firstLineChars="2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1.教学工作量</w:t>
      </w:r>
      <w:r>
        <w:rPr>
          <w:rFonts w:hint="default" w:ascii="Times New Roman" w:hAnsi="Times New Roman" w:eastAsia="仿宋_GB2312" w:cs="Times New Roman"/>
          <w:b w:val="0"/>
          <w:bCs w:val="0"/>
          <w:sz w:val="32"/>
          <w:szCs w:val="32"/>
          <w:lang w:val="en-US" w:eastAsia="zh-CN"/>
        </w:rPr>
        <w:t>：中小学教师以45分钟或40分钟的一节课为一个工作量（不足40分钟的课，按实际时间折算），幼儿园教师以每半天为一个工作量。</w:t>
      </w:r>
    </w:p>
    <w:p>
      <w:pPr>
        <w:widowControl w:val="0"/>
        <w:wordWrap/>
        <w:adjustRightInd/>
        <w:snapToGrid/>
        <w:spacing w:before="0" w:after="0" w:line="590" w:lineRule="exact"/>
        <w:ind w:left="0" w:leftChars="0" w:right="0" w:firstLine="643" w:firstLineChars="200"/>
        <w:jc w:val="both"/>
        <w:textAlignment w:val="auto"/>
        <w:outlineLvl w:val="9"/>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教学业务展示（</w:t>
      </w:r>
      <w:r>
        <w:rPr>
          <w:rFonts w:hint="default" w:ascii="Times New Roman" w:hAnsi="Times New Roman" w:eastAsia="仿宋_GB2312" w:cs="Times New Roman"/>
          <w:b/>
          <w:bCs/>
          <w:sz w:val="32"/>
          <w:szCs w:val="32"/>
        </w:rPr>
        <w:t>公开课、专题讲座、示范课及</w:t>
      </w:r>
      <w:r>
        <w:rPr>
          <w:rFonts w:hint="default" w:ascii="Times New Roman" w:hAnsi="Times New Roman" w:eastAsia="仿宋_GB2312" w:cs="Times New Roman"/>
          <w:b/>
          <w:bCs/>
          <w:sz w:val="32"/>
          <w:szCs w:val="32"/>
          <w:lang w:eastAsia="zh-CN"/>
        </w:rPr>
        <w:t>视同公开课、讲座）</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省厅文件规定的“</w:t>
      </w:r>
      <w:r>
        <w:rPr>
          <w:rFonts w:hint="default" w:ascii="Times New Roman" w:hAnsi="Times New Roman" w:eastAsia="仿宋_GB2312" w:cs="Times New Roman"/>
          <w:sz w:val="32"/>
          <w:szCs w:val="32"/>
          <w:lang w:val="en-US" w:eastAsia="zh-CN"/>
        </w:rPr>
        <w:t>中小学智慧教育平台”应用融合创新教学案例评比、</w:t>
      </w:r>
      <w:r>
        <w:rPr>
          <w:rFonts w:hint="default" w:ascii="Times New Roman" w:hAnsi="Times New Roman" w:eastAsia="仿宋_GB2312" w:cs="Times New Roman"/>
          <w:sz w:val="32"/>
          <w:szCs w:val="32"/>
          <w:lang w:eastAsia="zh-CN"/>
        </w:rPr>
        <w:t>网络空间评比视同于同一级别一节公开课；各级“一师一优课”“精品课”按下一级别公开课计分，县级优课和精品课按县级减半计分；非现场教学录像课、非现场的优质课按同级别减半计分；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经由</w:t>
      </w:r>
      <w:r>
        <w:rPr>
          <w:rFonts w:hint="default" w:ascii="Times New Roman" w:hAnsi="Times New Roman" w:eastAsia="仿宋_GB2312" w:cs="Times New Roman"/>
          <w:sz w:val="32"/>
          <w:szCs w:val="32"/>
        </w:rPr>
        <w:t>教育主管部门同意组织的各级名师工作室送教送培活动，省市级名校长、名师工作室的公开课或讲座按县级公开课计</w:t>
      </w:r>
      <w:r>
        <w:rPr>
          <w:rFonts w:hint="default" w:ascii="Times New Roman" w:hAnsi="Times New Roman" w:eastAsia="仿宋_GB2312" w:cs="Times New Roman"/>
          <w:sz w:val="32"/>
          <w:szCs w:val="32"/>
          <w:lang w:eastAsia="zh-CN"/>
        </w:rPr>
        <w:t>分</w:t>
      </w:r>
      <w:r>
        <w:rPr>
          <w:rFonts w:hint="default" w:ascii="Times New Roman" w:hAnsi="Times New Roman" w:eastAsia="仿宋_GB2312" w:cs="Times New Roman"/>
          <w:sz w:val="32"/>
          <w:szCs w:val="32"/>
        </w:rPr>
        <w:t>（其中2019年9月~2021年6月间的市级名校长、名师工作室的公开课按县级公开课减半核计），县级</w:t>
      </w:r>
      <w:r>
        <w:rPr>
          <w:rFonts w:hint="default" w:ascii="Times New Roman" w:hAnsi="Times New Roman" w:eastAsia="仿宋_GB2312" w:cs="Times New Roman"/>
          <w:sz w:val="32"/>
          <w:szCs w:val="32"/>
          <w:lang w:val="en-US" w:eastAsia="zh-CN"/>
        </w:rPr>
        <w:t>名师、名校长</w:t>
      </w:r>
      <w:r>
        <w:rPr>
          <w:rFonts w:hint="default" w:ascii="Times New Roman" w:hAnsi="Times New Roman" w:eastAsia="仿宋_GB2312" w:cs="Times New Roman"/>
          <w:sz w:val="32"/>
          <w:szCs w:val="32"/>
        </w:rPr>
        <w:t>工作室建设期内的送教送培的课例或讲座按提供的县级证书及文件计</w:t>
      </w:r>
      <w:r>
        <w:rPr>
          <w:rFonts w:hint="default" w:ascii="Times New Roman" w:hAnsi="Times New Roman" w:eastAsia="仿宋_GB2312" w:cs="Times New Roman"/>
          <w:sz w:val="32"/>
          <w:szCs w:val="32"/>
          <w:lang w:eastAsia="zh-CN"/>
        </w:rPr>
        <w:t>分；</w:t>
      </w:r>
      <w:r>
        <w:rPr>
          <w:rFonts w:hint="default" w:ascii="Times New Roman" w:hAnsi="Times New Roman" w:eastAsia="仿宋_GB2312" w:cs="Times New Roman"/>
          <w:sz w:val="32"/>
          <w:szCs w:val="32"/>
        </w:rPr>
        <w:t>钉钉备课作品按提供县级证书可视同一次县级公开课；片区活动公开课、讲座按县级核计，其中2014年9月以前的片区活动，按县级活动的减半计</w:t>
      </w:r>
      <w:r>
        <w:rPr>
          <w:rFonts w:hint="default" w:ascii="Times New Roman" w:hAnsi="Times New Roman" w:eastAsia="仿宋_GB2312" w:cs="Times New Roman"/>
          <w:sz w:val="32"/>
          <w:szCs w:val="32"/>
          <w:lang w:eastAsia="zh-CN"/>
        </w:rPr>
        <w:t>分</w:t>
      </w:r>
      <w:r>
        <w:rPr>
          <w:rFonts w:hint="default" w:ascii="Times New Roman" w:hAnsi="Times New Roman" w:eastAsia="仿宋_GB2312" w:cs="Times New Roman"/>
          <w:sz w:val="32"/>
          <w:szCs w:val="32"/>
        </w:rPr>
        <w:t>；作为学员参加省市级学科带头人、骨干教师培训活动开展做课、讲座或介绍学习体会，不予赋分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 xml:space="preserve">   </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符合条件的</w:t>
      </w:r>
      <w:r>
        <w:rPr>
          <w:rFonts w:hint="default" w:ascii="Times New Roman" w:hAnsi="Times New Roman" w:eastAsia="仿宋_GB2312" w:cs="Times New Roman"/>
          <w:sz w:val="32"/>
          <w:szCs w:val="32"/>
          <w:lang w:val="en-US" w:eastAsia="zh-CN"/>
        </w:rPr>
        <w:t>特殊教育学校、专门学校、乡村学校教师（以职改文件认定的为准），</w:t>
      </w:r>
      <w:r>
        <w:rPr>
          <w:rFonts w:hint="default" w:ascii="Times New Roman" w:hAnsi="Times New Roman" w:eastAsia="仿宋_GB2312" w:cs="Times New Roman"/>
          <w:sz w:val="32"/>
          <w:szCs w:val="32"/>
        </w:rPr>
        <w:t>2节</w:t>
      </w:r>
      <w:r>
        <w:rPr>
          <w:rFonts w:hint="default" w:ascii="Times New Roman" w:hAnsi="Times New Roman" w:eastAsia="仿宋_GB2312" w:cs="Times New Roman"/>
          <w:sz w:val="32"/>
          <w:szCs w:val="32"/>
          <w:lang w:eastAsia="zh-CN"/>
        </w:rPr>
        <w:t>校级</w:t>
      </w:r>
      <w:r>
        <w:rPr>
          <w:rFonts w:hint="default" w:ascii="Times New Roman" w:hAnsi="Times New Roman" w:eastAsia="仿宋_GB2312" w:cs="Times New Roman"/>
          <w:sz w:val="32"/>
          <w:szCs w:val="32"/>
        </w:rPr>
        <w:t>公开课</w:t>
      </w:r>
      <w:r>
        <w:rPr>
          <w:rFonts w:hint="default" w:ascii="Times New Roman" w:hAnsi="Times New Roman" w:eastAsia="仿宋_GB2312" w:cs="Times New Roman"/>
          <w:sz w:val="32"/>
          <w:szCs w:val="32"/>
          <w:lang w:eastAsia="zh-CN"/>
        </w:rPr>
        <w:t>或讲座（</w:t>
      </w:r>
      <w:r>
        <w:rPr>
          <w:rFonts w:hint="default" w:ascii="Times New Roman" w:hAnsi="Times New Roman" w:eastAsia="仿宋_GB2312" w:cs="Times New Roman"/>
          <w:sz w:val="32"/>
          <w:szCs w:val="32"/>
          <w:lang w:val="en-US" w:eastAsia="zh-CN"/>
        </w:rPr>
        <w:t>下同）</w:t>
      </w:r>
      <w:r>
        <w:rPr>
          <w:rFonts w:hint="default" w:ascii="Times New Roman" w:hAnsi="Times New Roman" w:eastAsia="仿宋_GB2312" w:cs="Times New Roman"/>
          <w:sz w:val="32"/>
          <w:szCs w:val="32"/>
          <w:lang w:eastAsia="zh-CN"/>
        </w:rPr>
        <w:t>视同</w:t>
      </w:r>
      <w:r>
        <w:rPr>
          <w:rFonts w:hint="default" w:ascii="Times New Roman" w:hAnsi="Times New Roman" w:eastAsia="仿宋_GB2312" w:cs="Times New Roman"/>
          <w:sz w:val="32"/>
          <w:szCs w:val="32"/>
        </w:rPr>
        <w:t>县级公开课给分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其余按城镇教师要求计分。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（4）除转教综合学科教师外，与所申报职称学科不</w:t>
      </w:r>
      <w:r>
        <w:rPr>
          <w:rFonts w:hint="default" w:ascii="Times New Roman" w:hAnsi="Times New Roman" w:eastAsia="仿宋_GB2312" w:cs="Times New Roman"/>
          <w:sz w:val="32"/>
          <w:szCs w:val="32"/>
        </w:rPr>
        <w:t>一致的课例</w:t>
      </w:r>
      <w:r>
        <w:rPr>
          <w:rFonts w:hint="default"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rPr>
        <w:t>讲座，按相应级别减半计</w:t>
      </w:r>
      <w:r>
        <w:rPr>
          <w:rFonts w:hint="default" w:ascii="Times New Roman" w:hAnsi="Times New Roman" w:eastAsia="仿宋_GB2312" w:cs="Times New Roman"/>
          <w:sz w:val="32"/>
          <w:szCs w:val="32"/>
          <w:lang w:eastAsia="zh-CN"/>
        </w:rPr>
        <w:t>分；同一课题参加级别竞赛获奖，按从高原则一次计分；</w:t>
      </w:r>
      <w:r>
        <w:rPr>
          <w:rFonts w:hint="default" w:ascii="Times New Roman" w:hAnsi="Times New Roman" w:eastAsia="仿宋_GB2312" w:cs="Times New Roman"/>
          <w:sz w:val="32"/>
          <w:szCs w:val="32"/>
        </w:rPr>
        <w:t>多次参加上级部门组织</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非学科教育教学且同一主题的讲座、宣讲、巡回报告等，按最高级别的一半一次性计分</w:t>
      </w:r>
      <w:r>
        <w:rPr>
          <w:rFonts w:hint="default" w:ascii="Times New Roman" w:hAnsi="Times New Roman" w:eastAsia="仿宋_GB2312" w:cs="Times New Roman"/>
          <w:sz w:val="32"/>
          <w:szCs w:val="32"/>
          <w:lang w:eastAsia="zh-CN"/>
        </w:rPr>
        <w:t>。</w:t>
      </w:r>
    </w:p>
    <w:p>
      <w:pPr>
        <w:widowControl w:val="0"/>
        <w:wordWrap/>
        <w:adjustRightInd/>
        <w:snapToGrid/>
        <w:spacing w:before="0" w:after="0" w:line="590" w:lineRule="exact"/>
        <w:ind w:left="0" w:leftChars="0" w:right="0" w:firstLine="643" w:firstLineChars="200"/>
        <w:jc w:val="both"/>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3.教学业务竞赛</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作为学员参加各级骨干教师、学科带头人、名校长培训参加竞赛，由承办单位颁发奖项证书的不列入计分。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同一课题参加公开课、教学评优、教学技能大赛、单项竞赛、小项目竞赛，按取高的原则一次计分，不重复计分。</w:t>
      </w:r>
      <w:r>
        <w:rPr>
          <w:rFonts w:hint="default" w:ascii="Times New Roman" w:hAnsi="Times New Roman" w:eastAsia="仿宋_GB2312" w:cs="Times New Roman"/>
          <w:sz w:val="32"/>
          <w:szCs w:val="32"/>
          <w:lang w:eastAsia="zh-CN"/>
        </w:rPr>
        <w:t>没有等级的，按二等奖计；有两个级别的，按一、二等奖计。课题成果评比及网络空间的获奖作品，不列入本项竞赛项目。</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除转教综合学科专职教师外，</w:t>
      </w:r>
      <w:r>
        <w:rPr>
          <w:rFonts w:hint="default" w:ascii="Times New Roman" w:hAnsi="Times New Roman" w:eastAsia="仿宋_GB2312" w:cs="Times New Roman"/>
          <w:sz w:val="32"/>
          <w:szCs w:val="32"/>
        </w:rPr>
        <w:t>参加与所申报职称不一致学科的公开教学（专题讲座）、评优、竞赛获奖，按相应级别分值减半核计。</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（4）乡村教师参加中心校级教学竞赛获奖的，其中2次校级获奖按一次县级相应等级核计，其余按城镇教师要求核计。</w:t>
      </w:r>
    </w:p>
    <w:p>
      <w:pPr>
        <w:widowControl w:val="0"/>
        <w:wordWrap/>
        <w:adjustRightInd/>
        <w:snapToGrid/>
        <w:spacing w:before="0" w:after="0" w:line="590" w:lineRule="exact"/>
        <w:ind w:left="0" w:leftChars="0" w:right="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4.课题研究</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课题研究必须为主课题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随承担省教育厅名师培养工程、名校长培养工程、骨干教师培养、学科带头人培训开设的课题（视同下一级），福师大基础教育中心下达的开放课题</w:t>
      </w:r>
      <w:r>
        <w:rPr>
          <w:rFonts w:hint="default" w:ascii="Times New Roman" w:hAnsi="Times New Roman" w:eastAsia="仿宋_GB2312" w:cs="Times New Roman"/>
          <w:sz w:val="32"/>
          <w:szCs w:val="32"/>
          <w:lang w:eastAsia="zh-CN"/>
        </w:rPr>
        <w:t>为省级课题</w:t>
      </w:r>
      <w:r>
        <w:rPr>
          <w:rFonts w:hint="default" w:ascii="Times New Roman" w:hAnsi="Times New Roman" w:eastAsia="仿宋_GB2312" w:cs="Times New Roman"/>
          <w:sz w:val="32"/>
          <w:szCs w:val="32"/>
        </w:rPr>
        <w:t>；乡村教师</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1个中心校级课题视同</w:t>
      </w:r>
      <w:r>
        <w:rPr>
          <w:rFonts w:hint="default" w:ascii="Times New Roman" w:hAnsi="Times New Roman" w:eastAsia="仿宋_GB2312" w:cs="Times New Roman"/>
          <w:sz w:val="32"/>
          <w:szCs w:val="32"/>
          <w:lang w:val="en-US" w:eastAsia="zh-CN"/>
        </w:rPr>
        <w:t>1个</w:t>
      </w:r>
      <w:r>
        <w:rPr>
          <w:rFonts w:hint="default" w:ascii="Times New Roman" w:hAnsi="Times New Roman" w:eastAsia="仿宋_GB2312" w:cs="Times New Roman"/>
          <w:sz w:val="32"/>
          <w:szCs w:val="32"/>
        </w:rPr>
        <w:t>县级课题给分，其余课题按城镇教师要求给分。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与申报学科非一致的课题（如德育课题、管理类课题，申报对象为中心小学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中心校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、县直</w:t>
      </w:r>
      <w:r>
        <w:rPr>
          <w:rFonts w:hint="default" w:ascii="Times New Roman" w:hAnsi="Times New Roman" w:eastAsia="仿宋_GB2312" w:cs="Times New Roman"/>
          <w:sz w:val="32"/>
          <w:szCs w:val="32"/>
          <w:lang w:eastAsia="zh-CN"/>
        </w:rPr>
        <w:t>学</w:t>
      </w:r>
      <w:r>
        <w:rPr>
          <w:rFonts w:hint="default" w:ascii="Times New Roman" w:hAnsi="Times New Roman" w:eastAsia="仿宋_GB2312" w:cs="Times New Roman"/>
          <w:sz w:val="32"/>
          <w:szCs w:val="32"/>
        </w:rPr>
        <w:t>校校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长、书记</w:t>
      </w:r>
      <w:r>
        <w:rPr>
          <w:rFonts w:hint="default" w:ascii="Times New Roman" w:hAnsi="Times New Roman" w:eastAsia="仿宋_GB2312" w:cs="Times New Roman"/>
          <w:sz w:val="32"/>
          <w:szCs w:val="32"/>
          <w:lang w:eastAsia="zh-CN"/>
        </w:rPr>
        <w:t>、转教综合学科专职教师</w:t>
      </w:r>
      <w:r>
        <w:rPr>
          <w:rFonts w:hint="default" w:ascii="Times New Roman" w:hAnsi="Times New Roman" w:eastAsia="仿宋_GB2312" w:cs="Times New Roman"/>
          <w:sz w:val="32"/>
          <w:szCs w:val="32"/>
        </w:rPr>
        <w:t>除外），按相应级别分值减半计</w:t>
      </w:r>
      <w:r>
        <w:rPr>
          <w:rFonts w:hint="default" w:ascii="Times New Roman" w:hAnsi="Times New Roman" w:eastAsia="仿宋_GB2312" w:cs="Times New Roman"/>
          <w:sz w:val="32"/>
          <w:szCs w:val="32"/>
          <w:lang w:eastAsia="zh-CN"/>
        </w:rPr>
        <w:t>分</w:t>
      </w:r>
      <w:r>
        <w:rPr>
          <w:rFonts w:hint="default" w:ascii="Times New Roman" w:hAnsi="Times New Roman" w:eastAsia="仿宋_GB2312" w:cs="Times New Roman"/>
          <w:sz w:val="32"/>
          <w:szCs w:val="32"/>
        </w:rPr>
        <w:t>。</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课题送审材料要提供课题立项、结题通知或证书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立项申请（申报表）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结题报告、结题签定表、课题成果等。</w:t>
      </w:r>
    </w:p>
    <w:p>
      <w:pPr>
        <w:widowControl w:val="0"/>
        <w:wordWrap/>
        <w:adjustRightInd/>
        <w:snapToGrid/>
        <w:spacing w:before="0" w:after="0" w:line="590" w:lineRule="exact"/>
        <w:ind w:left="0" w:leftChars="0" w:right="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5.教学论文</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代表作（限与所评职</w:t>
      </w:r>
      <w:r>
        <w:rPr>
          <w:rFonts w:hint="default" w:ascii="Times New Roman" w:hAnsi="Times New Roman" w:eastAsia="仿宋_GB2312" w:cs="Times New Roman"/>
          <w:sz w:val="32"/>
          <w:szCs w:val="32"/>
          <w:lang w:eastAsia="zh-CN"/>
        </w:rPr>
        <w:t>称</w:t>
      </w:r>
      <w:r>
        <w:rPr>
          <w:rFonts w:hint="default" w:ascii="Times New Roman" w:hAnsi="Times New Roman" w:eastAsia="仿宋_GB2312" w:cs="Times New Roman"/>
          <w:sz w:val="32"/>
          <w:szCs w:val="32"/>
        </w:rPr>
        <w:t>相一致的学科论文）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所发表的CN级学术刊物在国家新闻出版总署网站查询检索并截图打印（以确认刊物是否合法）；学术论文需在中国知网</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维普网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或万方数据网查询截图并打印至少1份（以确认论文是否收入合法刊物），查重率低于15%，共</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分。只提供刊物截图，无法提供学术论文截图的，不予计分。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其他CN级学科教学论文或一般论文成果（含教学案例、教学反思、教学设计、教学随笔），能按上述要求检索并有一张及以上截图打印的每篇给1分。只提供刊物截图，无法提供学术论文截图的，不予计分。个人出版教育专著视同在CN级核心期刊发表一篇教育教学论文。</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教师教学论文或案例参加教研部门、教育主管部门组织的省、市、县级汇编，每篇按0.5、0.3、0.2计分。小学乡村教师的论文或案例</w:t>
      </w:r>
      <w:r>
        <w:rPr>
          <w:rFonts w:hint="default" w:ascii="Times New Roman" w:hAnsi="Times New Roman" w:eastAsia="仿宋_GB2312" w:cs="Times New Roman"/>
          <w:sz w:val="32"/>
          <w:szCs w:val="32"/>
          <w:lang w:eastAsia="zh-CN"/>
        </w:rPr>
        <w:t>在中心级汇编的，其中</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篇视同县级汇编计分，其余按城镇小学教师按要求计分。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上述第（2）(3)项计分之和封</w:t>
      </w:r>
      <w:bookmarkStart w:id="0" w:name="_GoBack"/>
      <w:bookmarkEnd w:id="0"/>
      <w:r>
        <w:rPr>
          <w:rFonts w:hint="default" w:ascii="Times New Roman" w:hAnsi="Times New Roman" w:eastAsia="仿宋_GB2312" w:cs="Times New Roman"/>
          <w:sz w:val="32"/>
          <w:szCs w:val="32"/>
        </w:rPr>
        <w:t>顶</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同一论文或案例在多处发表、参评的，取最高值一次性给分；</w:t>
      </w:r>
      <w:r>
        <w:rPr>
          <w:rFonts w:hint="default" w:ascii="Times New Roman" w:hAnsi="Times New Roman" w:eastAsia="仿宋_GB2312" w:cs="Times New Roman"/>
          <w:sz w:val="32"/>
          <w:szCs w:val="32"/>
          <w:lang w:eastAsia="zh-CN"/>
        </w:rPr>
        <w:t>除转教综合学科除外，</w:t>
      </w:r>
      <w:r>
        <w:rPr>
          <w:rFonts w:hint="default" w:ascii="Times New Roman" w:hAnsi="Times New Roman" w:eastAsia="仿宋_GB2312" w:cs="Times New Roman"/>
          <w:sz w:val="32"/>
          <w:szCs w:val="32"/>
        </w:rPr>
        <w:t>与所申报职称不一致学科的教学论文按相应级别分值减半计；学会或民间机构单独主办的各类论文竞赛不计分</w:t>
      </w:r>
      <w:r>
        <w:rPr>
          <w:rFonts w:hint="default" w:ascii="Times New Roman" w:hAnsi="Times New Roman" w:eastAsia="仿宋_GB2312" w:cs="Times New Roman"/>
          <w:sz w:val="32"/>
          <w:szCs w:val="32"/>
          <w:lang w:eastAsia="zh-CN"/>
        </w:rPr>
        <w:t>。</w:t>
      </w:r>
    </w:p>
    <w:p>
      <w:pPr>
        <w:widowControl w:val="0"/>
        <w:wordWrap/>
        <w:adjustRightInd/>
        <w:snapToGrid/>
        <w:spacing w:before="0" w:after="0" w:line="590" w:lineRule="exact"/>
        <w:ind w:left="0" w:leftChars="0" w:right="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6.指导教师</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（1）指导非现场的录像课及优课，按同级别公开课的1/2核计</w:t>
      </w:r>
      <w:r>
        <w:rPr>
          <w:rFonts w:hint="eastAsia" w:ascii="Times New Roman" w:hAnsi="Times New Roman" w:eastAsia="仿宋_GB2312" w:cs="Times New Roman"/>
          <w:sz w:val="32"/>
          <w:szCs w:val="32"/>
          <w:lang w:val="en-US" w:eastAsia="zh-CN"/>
        </w:rPr>
        <w:t>。</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（2）指导教师参加同一课题评优或公开教学展示获奖的，取最高级别一次性计分；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（3）除转教综合学科专职教师除外，指导与所申报职称不一致学科的公开教学、评优、竞赛获奖的，按相应级别分值的1/2核计。不同课题可累计加分。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（4）乡村教师指导中心校级的公开教学或评优的，其中两次2次校级按县级相应等级的1次核计，其余按城镇教师要求核计。</w:t>
      </w:r>
    </w:p>
    <w:p>
      <w:pPr>
        <w:widowControl w:val="0"/>
        <w:wordWrap/>
        <w:adjustRightInd/>
        <w:snapToGrid/>
        <w:spacing w:before="0" w:after="0" w:line="590" w:lineRule="exact"/>
        <w:ind w:left="0" w:leftChars="0" w:right="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7.指导学生</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教育部门与其它部门联办（含事实联办的）的</w:t>
      </w:r>
      <w:r>
        <w:rPr>
          <w:rFonts w:hint="default" w:ascii="Times New Roman" w:hAnsi="Times New Roman" w:eastAsia="仿宋_GB2312" w:cs="Times New Roman"/>
          <w:color w:val="auto"/>
          <w:sz w:val="32"/>
          <w:szCs w:val="32"/>
          <w:lang w:eastAsia="zh-CN"/>
        </w:rPr>
        <w:t>个人</w:t>
      </w:r>
      <w:r>
        <w:rPr>
          <w:rFonts w:hint="default" w:ascii="Times New Roman" w:hAnsi="Times New Roman" w:eastAsia="仿宋_GB2312" w:cs="Times New Roman"/>
          <w:color w:val="auto"/>
          <w:sz w:val="32"/>
          <w:szCs w:val="32"/>
        </w:rPr>
        <w:t>作品获奖，国家级0.5分，省级0.3分，市级0.2分，县级0.1分计分</w:t>
      </w:r>
      <w:r>
        <w:rPr>
          <w:rFonts w:hint="default" w:ascii="Times New Roman" w:hAnsi="Times New Roman" w:eastAsia="仿宋_GB2312" w:cs="Times New Roman"/>
          <w:color w:val="auto"/>
          <w:sz w:val="32"/>
          <w:szCs w:val="32"/>
          <w:lang w:eastAsia="zh-CN"/>
        </w:rPr>
        <w:t>；指导学生团体参加非官方举办的团体赛事的，按</w:t>
      </w:r>
      <w:r>
        <w:rPr>
          <w:rFonts w:hint="default" w:ascii="Times New Roman" w:hAnsi="Times New Roman" w:eastAsia="仿宋_GB2312" w:cs="Times New Roman"/>
          <w:color w:val="auto"/>
          <w:sz w:val="32"/>
          <w:szCs w:val="32"/>
        </w:rPr>
        <w:t>国家级0.</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分，省级0.</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分，市级0.2分，县级0.1分计分</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本项封顶为1分。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同一项目内容多次获奖取最高级别一次性计分；同一项目多人参与</w:t>
      </w:r>
      <w:r>
        <w:rPr>
          <w:rFonts w:hint="default" w:ascii="Times New Roman" w:hAnsi="Times New Roman" w:eastAsia="仿宋_GB2312" w:cs="Times New Roman"/>
          <w:color w:val="auto"/>
          <w:sz w:val="32"/>
          <w:szCs w:val="32"/>
          <w:lang w:eastAsia="zh-CN"/>
        </w:rPr>
        <w:t>团体</w:t>
      </w:r>
      <w:r>
        <w:rPr>
          <w:rFonts w:hint="default" w:ascii="Times New Roman" w:hAnsi="Times New Roman" w:eastAsia="仿宋_GB2312" w:cs="Times New Roman"/>
          <w:color w:val="auto"/>
          <w:sz w:val="32"/>
          <w:szCs w:val="32"/>
        </w:rPr>
        <w:t>获奖的，</w:t>
      </w:r>
      <w:r>
        <w:rPr>
          <w:rFonts w:hint="default" w:ascii="Times New Roman" w:hAnsi="Times New Roman" w:eastAsia="仿宋_GB2312" w:cs="Times New Roman"/>
          <w:color w:val="auto"/>
          <w:sz w:val="32"/>
          <w:szCs w:val="32"/>
          <w:lang w:eastAsia="zh-CN"/>
        </w:rPr>
        <w:t>按排序赋分：前三的，每人按同级别单项计分，排名第四及以后的，按同级别单项的</w:t>
      </w:r>
      <w:r>
        <w:rPr>
          <w:rFonts w:hint="default" w:ascii="Times New Roman" w:hAnsi="Times New Roman" w:eastAsia="仿宋_GB2312" w:cs="Times New Roman"/>
          <w:color w:val="auto"/>
          <w:sz w:val="32"/>
          <w:szCs w:val="32"/>
          <w:lang w:val="en-US" w:eastAsia="zh-CN"/>
        </w:rPr>
        <w:t>1/2计分。</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不同项目内容比赛获奖可累计加分；</w:t>
      </w:r>
      <w:r>
        <w:rPr>
          <w:rFonts w:hint="default" w:ascii="Times New Roman" w:hAnsi="Times New Roman" w:eastAsia="仿宋_GB2312" w:cs="Times New Roman"/>
          <w:color w:val="auto"/>
          <w:sz w:val="32"/>
          <w:szCs w:val="32"/>
          <w:lang w:eastAsia="zh-CN"/>
        </w:rPr>
        <w:t>除转教综合学科专职教师外，</w:t>
      </w:r>
      <w:r>
        <w:rPr>
          <w:rFonts w:hint="default" w:ascii="Times New Roman" w:hAnsi="Times New Roman" w:eastAsia="仿宋_GB2312" w:cs="Times New Roman"/>
          <w:color w:val="auto"/>
          <w:sz w:val="32"/>
          <w:szCs w:val="32"/>
        </w:rPr>
        <w:t>与所申报职称学科不一致的指导学生作品，按相应级别减半计</w:t>
      </w:r>
      <w:r>
        <w:rPr>
          <w:rFonts w:hint="default" w:ascii="Times New Roman" w:hAnsi="Times New Roman" w:eastAsia="仿宋_GB2312" w:cs="Times New Roman"/>
          <w:color w:val="auto"/>
          <w:sz w:val="32"/>
          <w:szCs w:val="32"/>
          <w:lang w:eastAsia="zh-CN"/>
        </w:rPr>
        <w:t>分</w:t>
      </w:r>
      <w:r>
        <w:rPr>
          <w:rFonts w:hint="default" w:ascii="Times New Roman" w:hAnsi="Times New Roman" w:eastAsia="仿宋_GB2312" w:cs="Times New Roman"/>
          <w:color w:val="auto"/>
          <w:sz w:val="32"/>
          <w:szCs w:val="32"/>
        </w:rPr>
        <w:t>。</w:t>
      </w:r>
    </w:p>
    <w:p>
      <w:pPr>
        <w:widowControl w:val="0"/>
        <w:wordWrap/>
        <w:adjustRightInd/>
        <w:snapToGrid/>
        <w:spacing w:before="0" w:after="0" w:line="590" w:lineRule="exact"/>
        <w:ind w:left="0" w:leftChars="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乡村教师指导学生参加中心校级获奖的，</w:t>
      </w:r>
      <w:r>
        <w:rPr>
          <w:rFonts w:hint="default" w:ascii="Times New Roman" w:hAnsi="Times New Roman" w:eastAsia="仿宋_GB2312" w:cs="Times New Roman"/>
          <w:color w:val="auto"/>
          <w:sz w:val="32"/>
          <w:szCs w:val="32"/>
          <w:lang w:eastAsia="zh-CN"/>
        </w:rPr>
        <w:t>其中</w:t>
      </w:r>
      <w:r>
        <w:rPr>
          <w:rFonts w:hint="default" w:ascii="Times New Roman" w:hAnsi="Times New Roman" w:eastAsia="仿宋_GB2312" w:cs="Times New Roman"/>
          <w:color w:val="auto"/>
          <w:sz w:val="32"/>
          <w:szCs w:val="32"/>
        </w:rPr>
        <w:t>2次</w:t>
      </w:r>
      <w:r>
        <w:rPr>
          <w:rFonts w:hint="default" w:ascii="Times New Roman" w:hAnsi="Times New Roman" w:eastAsia="仿宋_GB2312" w:cs="Times New Roman"/>
          <w:color w:val="auto"/>
          <w:sz w:val="32"/>
          <w:szCs w:val="32"/>
          <w:lang w:eastAsia="zh-CN"/>
        </w:rPr>
        <w:t>校级</w:t>
      </w:r>
      <w:r>
        <w:rPr>
          <w:rFonts w:hint="default" w:ascii="Times New Roman" w:hAnsi="Times New Roman" w:eastAsia="仿宋_GB2312" w:cs="Times New Roman"/>
          <w:color w:val="auto"/>
          <w:sz w:val="32"/>
          <w:szCs w:val="32"/>
        </w:rPr>
        <w:t>按</w:t>
      </w:r>
      <w:r>
        <w:rPr>
          <w:rFonts w:hint="default" w:ascii="Times New Roman" w:hAnsi="Times New Roman" w:eastAsia="仿宋_GB2312" w:cs="Times New Roman"/>
          <w:color w:val="auto"/>
          <w:sz w:val="32"/>
          <w:szCs w:val="32"/>
          <w:lang w:val="en-US" w:eastAsia="zh-CN"/>
        </w:rPr>
        <w:t>2次</w:t>
      </w:r>
      <w:r>
        <w:rPr>
          <w:rFonts w:hint="default" w:ascii="Times New Roman" w:hAnsi="Times New Roman" w:eastAsia="仿宋_GB2312" w:cs="Times New Roman"/>
          <w:color w:val="auto"/>
          <w:sz w:val="32"/>
          <w:szCs w:val="32"/>
        </w:rPr>
        <w:t>县级核计，其余按城镇教师要求核计。</w:t>
      </w:r>
    </w:p>
    <w:p>
      <w:pPr>
        <w:widowControl w:val="0"/>
        <w:wordWrap/>
        <w:adjustRightInd/>
        <w:snapToGrid/>
        <w:spacing w:before="0" w:after="0" w:line="560" w:lineRule="exact"/>
        <w:ind w:left="0" w:leftChars="0" w:right="0" w:firstLine="640" w:firstLineChars="200"/>
        <w:jc w:val="both"/>
        <w:textAlignment w:val="auto"/>
        <w:outlineLvl w:val="9"/>
        <w:rPr>
          <w:rFonts w:hint="default" w:ascii="Times New Roman" w:hAnsi="Times New Roman" w:cs="Times New Roman"/>
          <w:sz w:val="32"/>
          <w:szCs w:val="32"/>
          <w:lang w:val="en-US" w:eastAsia="zh-CN"/>
        </w:rPr>
      </w:pPr>
    </w:p>
    <w:p>
      <w:pPr>
        <w:widowControl w:val="0"/>
        <w:wordWrap/>
        <w:adjustRightInd/>
        <w:snapToGrid/>
        <w:spacing w:before="0" w:after="0" w:line="560" w:lineRule="exact"/>
        <w:ind w:left="0" w:leftChars="0" w:right="0" w:firstLine="0" w:firstLineChars="0"/>
        <w:jc w:val="both"/>
        <w:textAlignment w:val="auto"/>
        <w:outlineLvl w:val="9"/>
        <w:rPr>
          <w:rFonts w:hint="default" w:ascii="Times New Roman" w:hAnsi="Times New Roman" w:cs="Times New Roman"/>
          <w:sz w:val="32"/>
          <w:szCs w:val="32"/>
        </w:rPr>
      </w:pPr>
    </w:p>
    <w:p>
      <w:pPr>
        <w:widowControl w:val="0"/>
        <w:wordWrap/>
        <w:adjustRightInd/>
        <w:snapToGrid/>
        <w:spacing w:before="0" w:after="0" w:line="560" w:lineRule="exact"/>
        <w:ind w:left="0" w:leftChars="0" w:right="0" w:firstLine="0" w:firstLineChars="0"/>
        <w:jc w:val="both"/>
        <w:textAlignment w:val="auto"/>
        <w:outlineLvl w:val="9"/>
        <w:rPr>
          <w:rFonts w:hint="default" w:ascii="Times New Roman" w:hAnsi="Times New Roman" w:cs="Times New Roman"/>
          <w:sz w:val="32"/>
          <w:szCs w:val="32"/>
          <w:lang w:val="en-US" w:eastAsia="zh-CN"/>
        </w:rPr>
      </w:pPr>
    </w:p>
    <w:p>
      <w:pPr>
        <w:widowControl w:val="0"/>
        <w:wordWrap/>
        <w:adjustRightInd/>
        <w:snapToGrid/>
        <w:spacing w:before="0" w:after="0" w:line="560" w:lineRule="exact"/>
        <w:ind w:left="0" w:leftChars="0" w:right="0" w:firstLine="0" w:firstLineChars="0"/>
        <w:jc w:val="both"/>
        <w:textAlignment w:val="auto"/>
        <w:outlineLvl w:val="9"/>
        <w:rPr>
          <w:rFonts w:hint="default" w:ascii="Times New Roman" w:hAnsi="Times New Roman" w:cs="Times New Roman"/>
          <w:sz w:val="32"/>
          <w:szCs w:val="32"/>
          <w:lang w:val="en-US" w:eastAsia="zh-CN"/>
        </w:rPr>
      </w:pPr>
    </w:p>
    <w:sectPr>
      <w:headerReference r:id="rId4" w:type="default"/>
      <w:footerReference r:id="rId5" w:type="default"/>
      <w:pgSz w:w="11906" w:h="16838"/>
      <w:pgMar w:top="1417" w:right="1474" w:bottom="1417" w:left="1587" w:header="1417" w:footer="1304"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Calibri" w:hAnsi="Calibri" w:eastAsia="宋体" w:cs="黑体"/>
        <w:kern w:val="2"/>
        <w:sz w:val="18"/>
        <w:szCs w:val="24"/>
        <w:lang w:val="en-US" w:eastAsia="zh-CN" w:bidi="ar-SA"/>
      </w:rPr>
      <w:pict>
        <v:shape id="文本框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qFormat/>
    <w:uiPriority w:val="0"/>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2183</Words>
  <Characters>2239</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2026-03-04T08:27:00Z</dcterms:created>
  <dc:creator>Administrator</dc:creator>
  <cp:lastModifiedBy>1</cp:lastModifiedBy>
  <cp:lastPrinted>2026-03-12T03:20:00Z</cp:lastPrinted>
  <dcterms:modified xsi:type="dcterms:W3CDTF">2026-03-20T06:38:33Z</dcterms:modified>
  <dc:title>附件2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ICV">
    <vt:lpwstr>9AC07CAD1DBA46BE9C7DB57D1798E4E4_12</vt:lpwstr>
  </property>
  <property fmtid="{D5CDD505-2E9C-101B-9397-08002B2CF9AE}" pid="4" name="KSOTemplateDocerSaveRecord">
    <vt:lpwstr>eyJoZGlkIjoiNWM2YjkwMzUzODgwM2M0NTcxNTgyZTEyZDNkYzUwZGUiLCJ1c2VySWQiOiI3MDk2NzU1MTgifQ==</vt:lpwstr>
  </property>
</Properties>
</file>