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wordWrap/>
        <w:adjustRightInd/>
        <w:snapToGrid/>
        <w:spacing w:line="240" w:lineRule="auto"/>
        <w:ind w:right="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附件1           </w:t>
      </w:r>
    </w:p>
    <w:p>
      <w:pPr>
        <w:widowControl w:val="0"/>
        <w:wordWrap/>
        <w:adjustRightInd/>
        <w:snapToGrid/>
        <w:spacing w:line="240" w:lineRule="auto"/>
        <w:ind w:right="0"/>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上杭县小学幼儿园教师职称评聘和细分岗位等级晋级教绩考评认定标准</w:t>
      </w:r>
    </w:p>
    <w:p>
      <w:pPr>
        <w:widowControl w:val="0"/>
        <w:wordWrap/>
        <w:adjustRightInd/>
        <w:snapToGrid/>
        <w:spacing w:line="240" w:lineRule="auto"/>
        <w:ind w:right="0" w:firstLine="5903" w:firstLineChars="2100"/>
        <w:jc w:val="both"/>
        <w:textAlignment w:val="auto"/>
        <w:outlineLvl w:val="9"/>
        <w:rPr>
          <w:rFonts w:hint="eastAsia" w:ascii="Times New Roman" w:hAnsi="Times New Roman" w:eastAsia="仿宋_GB2312" w:cs="Times New Roman"/>
          <w:b/>
          <w:bCs/>
          <w:color w:val="auto"/>
          <w:sz w:val="28"/>
          <w:szCs w:val="28"/>
          <w:lang w:val="en-US" w:eastAsia="zh-CN"/>
        </w:rPr>
      </w:pPr>
      <w:r>
        <w:rPr>
          <w:rFonts w:hint="eastAsia" w:ascii="Times New Roman" w:hAnsi="Times New Roman" w:eastAsia="仿宋_GB2312" w:cs="Times New Roman"/>
          <w:b/>
          <w:bCs/>
          <w:color w:val="auto"/>
          <w:sz w:val="28"/>
          <w:szCs w:val="28"/>
          <w:lang w:val="en-US" w:eastAsia="zh-CN"/>
        </w:rPr>
        <w:t>（2025年8月31日前）</w:t>
      </w:r>
    </w:p>
    <w:tbl>
      <w:tblPr>
        <w:tblW w:w="14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052"/>
        <w:gridCol w:w="2613"/>
        <w:gridCol w:w="1843"/>
        <w:gridCol w:w="3219"/>
        <w:gridCol w:w="2018"/>
        <w:gridCol w:w="3267"/>
      </w:tblGrid>
      <w:tr>
        <w:trPr>
          <w:trHeight w:val="561" w:hRule="atLeast"/>
          <w:tblHeader/>
          <w:jc w:val="center"/>
        </w:trPr>
        <w:tc>
          <w:tcPr>
            <w:tcW w:w="724" w:type="dxa"/>
            <w:vMerge w:val="restart"/>
            <w:vAlign w:val="center"/>
          </w:tcPr>
          <w:p>
            <w:pPr>
              <w:widowControl w:val="0"/>
              <w:wordWrap/>
              <w:adjustRightInd/>
              <w:snapToGrid/>
              <w:spacing w:line="240" w:lineRule="auto"/>
              <w:ind w:right="0"/>
              <w:jc w:val="center"/>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eastAsia="zh-CN"/>
              </w:rPr>
              <w:t>学科</w:t>
            </w:r>
          </w:p>
        </w:tc>
        <w:tc>
          <w:tcPr>
            <w:tcW w:w="1052" w:type="dxa"/>
            <w:vMerge w:val="restart"/>
            <w:vAlign w:val="center"/>
          </w:tcPr>
          <w:p>
            <w:pPr>
              <w:widowControl w:val="0"/>
              <w:wordWrap/>
              <w:adjustRightInd/>
              <w:snapToGrid/>
              <w:spacing w:line="240" w:lineRule="auto"/>
              <w:ind w:right="0"/>
              <w:jc w:val="center"/>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eastAsia="zh-CN"/>
              </w:rPr>
              <w:t>类型</w:t>
            </w:r>
          </w:p>
        </w:tc>
        <w:tc>
          <w:tcPr>
            <w:tcW w:w="4456" w:type="dxa"/>
            <w:gridSpan w:val="2"/>
            <w:vAlign w:val="center"/>
          </w:tcPr>
          <w:p>
            <w:pPr>
              <w:widowControl w:val="0"/>
              <w:wordWrap/>
              <w:adjustRightInd/>
              <w:snapToGrid/>
              <w:spacing w:line="240" w:lineRule="auto"/>
              <w:ind w:right="0"/>
              <w:jc w:val="center"/>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eastAsia="zh-CN"/>
              </w:rPr>
              <w:t>县级质检</w:t>
            </w:r>
          </w:p>
        </w:tc>
        <w:tc>
          <w:tcPr>
            <w:tcW w:w="5237" w:type="dxa"/>
            <w:gridSpan w:val="2"/>
            <w:vAlign w:val="center"/>
          </w:tcPr>
          <w:p>
            <w:pPr>
              <w:widowControl w:val="0"/>
              <w:wordWrap/>
              <w:adjustRightInd/>
              <w:snapToGrid/>
              <w:spacing w:line="240" w:lineRule="auto"/>
              <w:ind w:right="0"/>
              <w:jc w:val="center"/>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eastAsia="zh-CN"/>
              </w:rPr>
              <w:t>校级期末考评</w:t>
            </w:r>
          </w:p>
        </w:tc>
        <w:tc>
          <w:tcPr>
            <w:tcW w:w="3267" w:type="dxa"/>
            <w:vMerge w:val="restart"/>
            <w:vAlign w:val="center"/>
          </w:tcPr>
          <w:p>
            <w:pPr>
              <w:widowControl w:val="0"/>
              <w:wordWrap/>
              <w:adjustRightInd/>
              <w:snapToGrid/>
              <w:spacing w:line="240" w:lineRule="auto"/>
              <w:ind w:right="0"/>
              <w:jc w:val="center"/>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eastAsia="zh-CN"/>
              </w:rPr>
              <w:t>备注</w:t>
            </w:r>
          </w:p>
        </w:tc>
      </w:tr>
      <w:tr>
        <w:trPr>
          <w:trHeight w:val="561" w:hRule="atLeast"/>
          <w:tblHeader/>
          <w:jc w:val="center"/>
        </w:trPr>
        <w:tc>
          <w:tcPr>
            <w:tcW w:w="724" w:type="dxa"/>
            <w:vMerge w:val="continue"/>
            <w:vAlign w:val="center"/>
          </w:tcPr>
          <w:p>
            <w:pPr>
              <w:widowControl w:val="0"/>
              <w:wordWrap/>
              <w:adjustRightInd/>
              <w:snapToGrid/>
              <w:spacing w:line="240" w:lineRule="auto"/>
              <w:ind w:right="0"/>
              <w:jc w:val="center"/>
              <w:textAlignment w:val="auto"/>
              <w:outlineLvl w:val="9"/>
              <w:rPr>
                <w:rFonts w:hint="eastAsia" w:ascii="Times New Roman" w:hAnsi="Times New Roman" w:eastAsia="仿宋_GB2312" w:cs="Times New Roman"/>
                <w:color w:val="auto"/>
                <w:sz w:val="21"/>
                <w:szCs w:val="21"/>
                <w:lang w:eastAsia="zh-CN"/>
              </w:rPr>
            </w:pPr>
          </w:p>
        </w:tc>
        <w:tc>
          <w:tcPr>
            <w:tcW w:w="1052" w:type="dxa"/>
            <w:vMerge w:val="continue"/>
            <w:vAlign w:val="center"/>
          </w:tcPr>
          <w:p>
            <w:pPr>
              <w:widowControl w:val="0"/>
              <w:wordWrap/>
              <w:adjustRightInd/>
              <w:snapToGrid/>
              <w:spacing w:line="240" w:lineRule="auto"/>
              <w:ind w:right="0"/>
              <w:jc w:val="center"/>
              <w:textAlignment w:val="auto"/>
              <w:outlineLvl w:val="9"/>
              <w:rPr>
                <w:rFonts w:hint="eastAsia" w:ascii="Times New Roman" w:hAnsi="Times New Roman" w:eastAsia="仿宋_GB2312" w:cs="Times New Roman"/>
                <w:color w:val="auto"/>
                <w:sz w:val="21"/>
                <w:szCs w:val="21"/>
                <w:lang w:eastAsia="zh-CN"/>
              </w:rPr>
            </w:pPr>
          </w:p>
        </w:tc>
        <w:tc>
          <w:tcPr>
            <w:tcW w:w="2613" w:type="dxa"/>
            <w:vAlign w:val="center"/>
          </w:tcPr>
          <w:p>
            <w:pPr>
              <w:widowControl w:val="0"/>
              <w:wordWrap/>
              <w:adjustRightInd/>
              <w:snapToGrid/>
              <w:spacing w:line="240" w:lineRule="auto"/>
              <w:ind w:right="0"/>
              <w:jc w:val="center"/>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eastAsia="zh-CN"/>
              </w:rPr>
              <w:t>考评标准</w:t>
            </w:r>
          </w:p>
        </w:tc>
        <w:tc>
          <w:tcPr>
            <w:tcW w:w="1843" w:type="dxa"/>
            <w:vAlign w:val="center"/>
          </w:tcPr>
          <w:p>
            <w:pPr>
              <w:widowControl w:val="0"/>
              <w:wordWrap/>
              <w:adjustRightInd/>
              <w:snapToGrid/>
              <w:spacing w:line="240" w:lineRule="auto"/>
              <w:ind w:right="0"/>
              <w:jc w:val="center"/>
              <w:textAlignment w:val="auto"/>
              <w:outlineLvl w:val="9"/>
              <w:rPr>
                <w:rFonts w:hint="default"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eastAsia="zh-CN"/>
              </w:rPr>
              <w:t>说明</w:t>
            </w:r>
            <w:r>
              <w:rPr>
                <w:rFonts w:hint="eastAsia" w:ascii="Times New Roman" w:hAnsi="Times New Roman" w:eastAsia="仿宋_GB2312" w:cs="Times New Roman"/>
                <w:color w:val="auto"/>
                <w:sz w:val="21"/>
                <w:szCs w:val="21"/>
                <w:lang w:val="en-US" w:eastAsia="zh-CN"/>
              </w:rPr>
              <w:t xml:space="preserve"> </w:t>
            </w:r>
          </w:p>
        </w:tc>
        <w:tc>
          <w:tcPr>
            <w:tcW w:w="3219" w:type="dxa"/>
            <w:vAlign w:val="center"/>
          </w:tcPr>
          <w:p>
            <w:pPr>
              <w:widowControl w:val="0"/>
              <w:wordWrap/>
              <w:adjustRightInd/>
              <w:snapToGrid/>
              <w:spacing w:line="240" w:lineRule="auto"/>
              <w:ind w:right="0"/>
              <w:jc w:val="center"/>
              <w:textAlignment w:val="auto"/>
              <w:outlineLvl w:val="9"/>
              <w:rPr>
                <w:rFonts w:hint="eastAsia" w:ascii="Times New Roman" w:hAnsi="Times New Roman" w:eastAsia="仿宋_GB2312" w:cs="Times New Roman"/>
                <w:color w:val="auto"/>
                <w:sz w:val="21"/>
                <w:szCs w:val="21"/>
                <w:lang w:eastAsia="zh-CN"/>
              </w:rPr>
            </w:pPr>
          </w:p>
        </w:tc>
        <w:tc>
          <w:tcPr>
            <w:tcW w:w="2018" w:type="dxa"/>
            <w:vAlign w:val="center"/>
          </w:tcPr>
          <w:p>
            <w:pPr>
              <w:widowControl w:val="0"/>
              <w:wordWrap/>
              <w:adjustRightInd/>
              <w:snapToGrid/>
              <w:spacing w:line="240" w:lineRule="auto"/>
              <w:ind w:right="0"/>
              <w:jc w:val="center"/>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eastAsia="zh-CN"/>
              </w:rPr>
              <w:t>说明</w:t>
            </w:r>
          </w:p>
        </w:tc>
        <w:tc>
          <w:tcPr>
            <w:tcW w:w="3267" w:type="dxa"/>
            <w:vMerge w:val="continue"/>
            <w:vAlign w:val="top"/>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eastAsia="zh-CN"/>
              </w:rPr>
            </w:pPr>
          </w:p>
        </w:tc>
      </w:tr>
      <w:tr>
        <w:trPr>
          <w:trHeight w:val="3600" w:hRule="atLeast"/>
          <w:jc w:val="center"/>
        </w:trPr>
        <w:tc>
          <w:tcPr>
            <w:tcW w:w="724" w:type="dxa"/>
            <w:vMerge w:val="restart"/>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eastAsia="zh-CN"/>
              </w:rPr>
              <w:t>语文、数学、英语</w:t>
            </w:r>
          </w:p>
        </w:tc>
        <w:tc>
          <w:tcPr>
            <w:tcW w:w="1052" w:type="dxa"/>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eastAsia="zh-CN"/>
              </w:rPr>
              <w:t>主担语</w:t>
            </w:r>
            <w:r>
              <w:rPr>
                <w:rFonts w:hint="eastAsia" w:ascii="Times New Roman" w:hAnsi="Times New Roman" w:eastAsia="仿宋_GB2312" w:cs="Times New Roman"/>
                <w:color w:val="auto"/>
                <w:sz w:val="21"/>
                <w:szCs w:val="21"/>
                <w:lang w:val="en-US" w:eastAsia="zh-CN"/>
              </w:rPr>
              <w:t>文</w:t>
            </w:r>
            <w:r>
              <w:rPr>
                <w:rFonts w:hint="eastAsia" w:ascii="Times New Roman" w:hAnsi="Times New Roman" w:eastAsia="仿宋_GB2312" w:cs="Times New Roman"/>
                <w:color w:val="auto"/>
                <w:sz w:val="21"/>
                <w:szCs w:val="21"/>
                <w:lang w:eastAsia="zh-CN"/>
              </w:rPr>
              <w:t>、数</w:t>
            </w:r>
            <w:r>
              <w:rPr>
                <w:rFonts w:hint="eastAsia" w:ascii="Times New Roman" w:hAnsi="Times New Roman" w:eastAsia="仿宋_GB2312" w:cs="Times New Roman"/>
                <w:color w:val="auto"/>
                <w:sz w:val="21"/>
                <w:szCs w:val="21"/>
                <w:lang w:val="en-US" w:eastAsia="zh-CN"/>
              </w:rPr>
              <w:t>学</w:t>
            </w:r>
            <w:r>
              <w:rPr>
                <w:rFonts w:hint="eastAsia" w:ascii="Times New Roman" w:hAnsi="Times New Roman" w:eastAsia="仿宋_GB2312" w:cs="Times New Roman"/>
                <w:color w:val="auto"/>
                <w:sz w:val="21"/>
                <w:szCs w:val="21"/>
                <w:lang w:eastAsia="zh-CN"/>
              </w:rPr>
              <w:t>单班教学</w:t>
            </w:r>
          </w:p>
        </w:tc>
        <w:tc>
          <w:tcPr>
            <w:tcW w:w="2613"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highlight w:val="none"/>
              </w:rPr>
            </w:pPr>
            <w:r>
              <w:rPr>
                <w:rFonts w:hint="eastAsia" w:ascii="Times New Roman" w:hAnsi="Times New Roman" w:eastAsia="仿宋_GB2312" w:cs="Times New Roman"/>
                <w:color w:val="auto"/>
                <w:sz w:val="21"/>
                <w:szCs w:val="21"/>
                <w:highlight w:val="none"/>
                <w:lang w:val="en-US" w:eastAsia="zh-CN"/>
              </w:rPr>
              <w:t>班级</w:t>
            </w:r>
            <w:r>
              <w:rPr>
                <w:rFonts w:hint="default" w:ascii="Times New Roman" w:hAnsi="Times New Roman" w:eastAsia="仿宋_GB2312" w:cs="Times New Roman"/>
                <w:color w:val="auto"/>
                <w:sz w:val="21"/>
                <w:szCs w:val="21"/>
                <w:highlight w:val="none"/>
                <w:lang w:val="en-US" w:eastAsia="zh-CN"/>
              </w:rPr>
              <w:t>最终考评分值</w:t>
            </w:r>
            <w:r>
              <w:rPr>
                <w:rFonts w:hint="eastAsia" w:ascii="Times New Roman" w:hAnsi="Times New Roman" w:eastAsia="仿宋_GB2312" w:cs="Times New Roman"/>
                <w:color w:val="auto"/>
                <w:sz w:val="21"/>
                <w:szCs w:val="21"/>
                <w:highlight w:val="none"/>
                <w:lang w:val="en-US" w:eastAsia="zh-CN"/>
              </w:rPr>
              <w:t>（下同）</w:t>
            </w:r>
            <w:r>
              <w:rPr>
                <w:rFonts w:hint="default" w:ascii="Times New Roman" w:hAnsi="Times New Roman" w:eastAsia="仿宋_GB2312" w:cs="Times New Roman"/>
                <w:color w:val="auto"/>
                <w:sz w:val="21"/>
                <w:szCs w:val="21"/>
                <w:highlight w:val="none"/>
                <w:lang w:val="en-US" w:eastAsia="zh-CN"/>
              </w:rPr>
              <w:t>居于同组别同学科质量考评平均分值－1.5分及以上的，视为教绩达标，按</w:t>
            </w:r>
            <w:r>
              <w:rPr>
                <w:rFonts w:hint="eastAsia" w:ascii="Times New Roman" w:hAnsi="Times New Roman" w:eastAsia="仿宋_GB2312" w:cs="Times New Roman"/>
                <w:color w:val="auto"/>
                <w:sz w:val="21"/>
                <w:szCs w:val="21"/>
                <w:highlight w:val="none"/>
                <w:lang w:val="en-US" w:eastAsia="zh-CN"/>
              </w:rPr>
              <w:t>3</w:t>
            </w:r>
            <w:r>
              <w:rPr>
                <w:rFonts w:hint="default" w:ascii="Times New Roman" w:hAnsi="Times New Roman" w:eastAsia="仿宋_GB2312" w:cs="Times New Roman"/>
                <w:color w:val="auto"/>
                <w:sz w:val="21"/>
                <w:szCs w:val="21"/>
                <w:highlight w:val="none"/>
                <w:lang w:val="en-US" w:eastAsia="zh-CN"/>
              </w:rPr>
              <w:t>分/学期赋分。班级平均分在同组别同学科质量考评平均分值－1.5分值之下，按平均分每降达</w:t>
            </w:r>
            <w:r>
              <w:rPr>
                <w:rFonts w:hint="eastAsia" w:ascii="Times New Roman" w:hAnsi="Times New Roman" w:eastAsia="仿宋_GB2312" w:cs="Times New Roman"/>
                <w:color w:val="auto"/>
                <w:sz w:val="21"/>
                <w:szCs w:val="21"/>
                <w:highlight w:val="none"/>
                <w:lang w:val="en-US" w:eastAsia="zh-CN"/>
              </w:rPr>
              <w:t>1.5</w:t>
            </w:r>
            <w:r>
              <w:rPr>
                <w:rFonts w:hint="default" w:ascii="Times New Roman" w:hAnsi="Times New Roman" w:eastAsia="仿宋_GB2312" w:cs="Times New Roman"/>
                <w:color w:val="auto"/>
                <w:sz w:val="21"/>
                <w:szCs w:val="21"/>
                <w:highlight w:val="none"/>
                <w:lang w:val="en-US" w:eastAsia="zh-CN"/>
              </w:rPr>
              <w:t>分</w:t>
            </w:r>
            <w:r>
              <w:rPr>
                <w:rFonts w:hint="eastAsia" w:ascii="Times New Roman" w:hAnsi="Times New Roman" w:eastAsia="仿宋_GB2312" w:cs="Times New Roman"/>
                <w:color w:val="auto"/>
                <w:sz w:val="21"/>
                <w:szCs w:val="21"/>
                <w:highlight w:val="none"/>
                <w:lang w:val="en-US" w:eastAsia="zh-CN"/>
              </w:rPr>
              <w:t>（含区间，下同）</w:t>
            </w:r>
            <w:r>
              <w:rPr>
                <w:rFonts w:hint="default" w:ascii="Times New Roman" w:hAnsi="Times New Roman" w:eastAsia="仿宋_GB2312" w:cs="Times New Roman"/>
                <w:color w:val="auto"/>
                <w:sz w:val="21"/>
                <w:szCs w:val="21"/>
                <w:highlight w:val="none"/>
                <w:lang w:val="en-US" w:eastAsia="zh-CN"/>
              </w:rPr>
              <w:t>，教绩从</w:t>
            </w:r>
            <w:r>
              <w:rPr>
                <w:rFonts w:hint="eastAsia" w:ascii="Times New Roman" w:hAnsi="Times New Roman" w:eastAsia="仿宋_GB2312" w:cs="Times New Roman"/>
                <w:color w:val="auto"/>
                <w:sz w:val="21"/>
                <w:szCs w:val="21"/>
                <w:highlight w:val="none"/>
                <w:lang w:val="en-US" w:eastAsia="zh-CN"/>
              </w:rPr>
              <w:t>3</w:t>
            </w:r>
            <w:r>
              <w:rPr>
                <w:rFonts w:hint="default" w:ascii="Times New Roman" w:hAnsi="Times New Roman" w:eastAsia="仿宋_GB2312" w:cs="Times New Roman"/>
                <w:color w:val="auto"/>
                <w:sz w:val="21"/>
                <w:szCs w:val="21"/>
                <w:highlight w:val="none"/>
                <w:lang w:val="en-US" w:eastAsia="zh-CN"/>
              </w:rPr>
              <w:t>分始递减0.5分计。</w:t>
            </w:r>
          </w:p>
        </w:tc>
        <w:tc>
          <w:tcPr>
            <w:tcW w:w="1843"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每学期3分，按距同组别平均分1.5分为临界点</w:t>
            </w:r>
          </w:p>
        </w:tc>
        <w:tc>
          <w:tcPr>
            <w:tcW w:w="3219"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highlight w:val="none"/>
              </w:rPr>
            </w:pPr>
            <w:r>
              <w:rPr>
                <w:rFonts w:hint="eastAsia" w:ascii="Times New Roman" w:hAnsi="Times New Roman" w:eastAsia="仿宋_GB2312" w:cs="Times New Roman"/>
                <w:color w:val="auto"/>
                <w:sz w:val="21"/>
                <w:szCs w:val="21"/>
                <w:highlight w:val="none"/>
                <w:lang w:val="en-US" w:eastAsia="zh-CN"/>
              </w:rPr>
              <w:t>教育教学业绩考评分（下同）</w:t>
            </w:r>
            <w:r>
              <w:rPr>
                <w:rFonts w:hint="default" w:ascii="Times New Roman" w:hAnsi="Times New Roman" w:eastAsia="仿宋_GB2312" w:cs="Times New Roman"/>
                <w:color w:val="auto"/>
                <w:sz w:val="21"/>
                <w:szCs w:val="21"/>
                <w:highlight w:val="none"/>
                <w:lang w:val="en-US" w:eastAsia="zh-CN"/>
              </w:rPr>
              <w:t>居于同组别同学科质量考评平均分值－1.5分及以上的，视为教绩达标，按</w:t>
            </w:r>
            <w:r>
              <w:rPr>
                <w:rFonts w:hint="eastAsia" w:ascii="Times New Roman" w:hAnsi="Times New Roman" w:eastAsia="仿宋_GB2312" w:cs="Times New Roman"/>
                <w:color w:val="auto"/>
                <w:sz w:val="21"/>
                <w:szCs w:val="21"/>
                <w:highlight w:val="none"/>
                <w:lang w:val="en-US" w:eastAsia="zh-CN"/>
              </w:rPr>
              <w:t>2.5</w:t>
            </w:r>
            <w:r>
              <w:rPr>
                <w:rFonts w:hint="default" w:ascii="Times New Roman" w:hAnsi="Times New Roman" w:eastAsia="仿宋_GB2312" w:cs="Times New Roman"/>
                <w:color w:val="auto"/>
                <w:sz w:val="21"/>
                <w:szCs w:val="21"/>
                <w:highlight w:val="none"/>
                <w:lang w:val="en-US" w:eastAsia="zh-CN"/>
              </w:rPr>
              <w:t>分/学期赋分。</w:t>
            </w:r>
            <w:r>
              <w:rPr>
                <w:rFonts w:hint="eastAsia" w:ascii="Times New Roman" w:hAnsi="Times New Roman" w:eastAsia="仿宋_GB2312" w:cs="Times New Roman"/>
                <w:color w:val="auto"/>
                <w:sz w:val="21"/>
                <w:szCs w:val="21"/>
                <w:highlight w:val="none"/>
                <w:lang w:val="en-US" w:eastAsia="zh-CN"/>
              </w:rPr>
              <w:t>达标分之下，</w:t>
            </w:r>
            <w:r>
              <w:rPr>
                <w:rFonts w:hint="default" w:ascii="Times New Roman" w:hAnsi="Times New Roman" w:eastAsia="仿宋_GB2312" w:cs="Times New Roman"/>
                <w:color w:val="auto"/>
                <w:sz w:val="21"/>
                <w:szCs w:val="21"/>
                <w:highlight w:val="none"/>
                <w:lang w:val="en-US" w:eastAsia="zh-CN"/>
              </w:rPr>
              <w:t>一、二年级班级平均分在达标值之下，按平均分每减达1分，教绩分递减0.5分计；三~六年级班级平均分在达标值之下，按平均分每减达2分，教绩分递减0.5分计。</w:t>
            </w:r>
          </w:p>
        </w:tc>
        <w:tc>
          <w:tcPr>
            <w:tcW w:w="2018"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每学期2.5分，低于同组别平均分1.5分为达标临界点。</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达标分之下考评，一、二年级与三~六年级有别。</w:t>
            </w:r>
          </w:p>
        </w:tc>
        <w:tc>
          <w:tcPr>
            <w:tcW w:w="3267" w:type="dxa"/>
            <w:vMerge w:val="restart"/>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b/>
                <w:bCs/>
                <w:color w:val="auto"/>
                <w:sz w:val="21"/>
                <w:szCs w:val="21"/>
                <w:lang w:val="en-US" w:eastAsia="zh-CN"/>
              </w:rPr>
              <w:t>1.总体思路</w:t>
            </w:r>
            <w:r>
              <w:rPr>
                <w:rFonts w:hint="default" w:ascii="Times New Roman" w:hAnsi="Times New Roman" w:eastAsia="仿宋_GB2312" w:cs="Times New Roman"/>
                <w:b/>
                <w:bCs/>
                <w:color w:val="auto"/>
                <w:sz w:val="21"/>
                <w:szCs w:val="21"/>
                <w:lang w:val="en-US" w:eastAsia="zh-CN"/>
              </w:rPr>
              <w:t>：</w:t>
            </w:r>
            <w:r>
              <w:rPr>
                <w:rFonts w:hint="eastAsia" w:ascii="Times New Roman" w:hAnsi="Times New Roman" w:eastAsia="仿宋_GB2312" w:cs="Times New Roman"/>
                <w:color w:val="auto"/>
                <w:sz w:val="21"/>
                <w:szCs w:val="21"/>
                <w:lang w:val="en-US" w:eastAsia="zh-CN"/>
              </w:rPr>
              <w:t>遵循县级考评推荐的组别，按“三个有别”的原则（县级质检与校级期考有别、单班与双班有别、原任综合学科与转任综合学科有别），差异化考评。五个学年考评总分在25~35之间。</w:t>
            </w:r>
          </w:p>
          <w:p>
            <w:pPr>
              <w:widowControl w:val="0"/>
              <w:wordWrap/>
              <w:adjustRightInd/>
              <w:snapToGrid/>
              <w:spacing w:before="0" w:after="0" w:line="340" w:lineRule="exact"/>
              <w:ind w:left="0" w:leftChars="0" w:right="0" w:firstLine="0" w:firstLineChars="0"/>
              <w:jc w:val="both"/>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b/>
                <w:bCs/>
                <w:color w:val="auto"/>
                <w:sz w:val="21"/>
                <w:szCs w:val="21"/>
                <w:lang w:val="en-US" w:eastAsia="zh-CN"/>
              </w:rPr>
              <w:t>2.组别认定：</w:t>
            </w:r>
            <w:r>
              <w:rPr>
                <w:rFonts w:hint="eastAsia" w:ascii="Times New Roman" w:hAnsi="Times New Roman" w:eastAsia="仿宋_GB2312" w:cs="Times New Roman"/>
                <w:color w:val="auto"/>
                <w:sz w:val="21"/>
                <w:szCs w:val="21"/>
                <w:lang w:val="en-US" w:eastAsia="zh-CN"/>
              </w:rPr>
              <w:t>在</w:t>
            </w:r>
            <w:r>
              <w:rPr>
                <w:rFonts w:hint="default" w:ascii="Times New Roman" w:hAnsi="Times New Roman" w:eastAsia="仿宋_GB2312" w:cs="Times New Roman"/>
                <w:color w:val="auto"/>
                <w:sz w:val="21"/>
                <w:szCs w:val="21"/>
                <w:lang w:val="en-US" w:eastAsia="zh-CN"/>
              </w:rPr>
              <w:t>县</w:t>
            </w:r>
            <w:r>
              <w:rPr>
                <w:rFonts w:hint="eastAsia" w:ascii="Times New Roman" w:hAnsi="Times New Roman" w:eastAsia="仿宋_GB2312" w:cs="Times New Roman"/>
                <w:color w:val="auto"/>
                <w:sz w:val="21"/>
                <w:szCs w:val="21"/>
                <w:lang w:val="en-US" w:eastAsia="zh-CN"/>
              </w:rPr>
              <w:t>级</w:t>
            </w:r>
            <w:r>
              <w:rPr>
                <w:rFonts w:hint="default" w:ascii="Times New Roman" w:hAnsi="Times New Roman" w:eastAsia="仿宋_GB2312" w:cs="Times New Roman"/>
                <w:color w:val="auto"/>
                <w:sz w:val="21"/>
                <w:szCs w:val="21"/>
                <w:lang w:val="en-US" w:eastAsia="zh-CN"/>
              </w:rPr>
              <w:t>质</w:t>
            </w:r>
            <w:r>
              <w:rPr>
                <w:rFonts w:hint="eastAsia" w:ascii="Times New Roman" w:hAnsi="Times New Roman" w:eastAsia="仿宋_GB2312" w:cs="Times New Roman"/>
                <w:color w:val="auto"/>
                <w:sz w:val="21"/>
                <w:szCs w:val="21"/>
                <w:lang w:val="en-US" w:eastAsia="zh-CN"/>
              </w:rPr>
              <w:t>检</w:t>
            </w:r>
            <w:r>
              <w:rPr>
                <w:rFonts w:hint="default" w:ascii="Times New Roman" w:hAnsi="Times New Roman" w:eastAsia="仿宋_GB2312" w:cs="Times New Roman"/>
                <w:color w:val="auto"/>
                <w:sz w:val="21"/>
                <w:szCs w:val="21"/>
                <w:lang w:val="en-US" w:eastAsia="zh-CN"/>
              </w:rPr>
              <w:t>考评</w:t>
            </w:r>
            <w:r>
              <w:rPr>
                <w:rFonts w:hint="eastAsia" w:ascii="Times New Roman" w:hAnsi="Times New Roman" w:eastAsia="仿宋_GB2312" w:cs="Times New Roman"/>
                <w:color w:val="auto"/>
                <w:sz w:val="21"/>
                <w:szCs w:val="21"/>
                <w:lang w:val="en-US" w:eastAsia="zh-CN"/>
              </w:rPr>
              <w:t>中，</w:t>
            </w:r>
            <w:r>
              <w:rPr>
                <w:rFonts w:hint="default" w:ascii="Times New Roman" w:hAnsi="Times New Roman" w:eastAsia="仿宋_GB2312" w:cs="Times New Roman"/>
                <w:color w:val="auto"/>
                <w:sz w:val="21"/>
                <w:szCs w:val="21"/>
                <w:lang w:val="en-US" w:eastAsia="zh-CN"/>
              </w:rPr>
              <w:t>设中心校本部组（县直组，其中实小的总校和紫金校区均为县直组，分开计）与完小组（分校组）</w:t>
            </w:r>
            <w:r>
              <w:rPr>
                <w:rFonts w:hint="eastAsia" w:ascii="Times New Roman" w:hAnsi="Times New Roman" w:eastAsia="仿宋_GB2312" w:cs="Times New Roman"/>
                <w:color w:val="auto"/>
                <w:sz w:val="21"/>
                <w:szCs w:val="21"/>
                <w:lang w:val="en-US" w:eastAsia="zh-CN"/>
              </w:rPr>
              <w:t>两个组别分类考评</w:t>
            </w:r>
            <w:r>
              <w:rPr>
                <w:rFonts w:hint="default" w:ascii="Times New Roman" w:hAnsi="Times New Roman" w:eastAsia="仿宋_GB2312" w:cs="Times New Roman"/>
                <w:color w:val="auto"/>
                <w:sz w:val="21"/>
                <w:szCs w:val="21"/>
                <w:lang w:val="en-US" w:eastAsia="zh-CN"/>
              </w:rPr>
              <w:t>。</w:t>
            </w:r>
            <w:r>
              <w:rPr>
                <w:rFonts w:hint="eastAsia" w:ascii="Times New Roman" w:hAnsi="Times New Roman" w:eastAsia="仿宋_GB2312" w:cs="Times New Roman"/>
                <w:color w:val="auto"/>
                <w:sz w:val="21"/>
                <w:szCs w:val="21"/>
                <w:lang w:val="en-US" w:eastAsia="zh-CN"/>
              </w:rPr>
              <w:t>在期末考试中，下辖多所完小的中心校，分设本部组和完小组（分校组）两个组别分类考评。</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b/>
                <w:bCs/>
                <w:color w:val="auto"/>
                <w:sz w:val="21"/>
                <w:szCs w:val="21"/>
                <w:lang w:val="en-US" w:eastAsia="zh-CN"/>
              </w:rPr>
              <w:t>3.学科认定：</w:t>
            </w:r>
            <w:r>
              <w:rPr>
                <w:rFonts w:hint="eastAsia" w:ascii="Times New Roman" w:hAnsi="Times New Roman" w:eastAsia="仿宋_GB2312" w:cs="Times New Roman"/>
                <w:color w:val="auto"/>
                <w:sz w:val="21"/>
                <w:szCs w:val="21"/>
                <w:lang w:val="en-US" w:eastAsia="zh-CN"/>
              </w:rPr>
              <w:t>综合考查学科指道法、科学、体育、音乐、美术、信息技术等六门学科，需参加县或校级考评；非考查学科之外的学科教师（如小学书记、校园长；书法、综合实践、劳动、校本课程；幼儿园教师等），按过程性考评和结果性考评相结合方式考评。</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b/>
                <w:bCs/>
                <w:color w:val="auto"/>
                <w:sz w:val="21"/>
                <w:szCs w:val="21"/>
                <w:lang w:val="en-US" w:eastAsia="zh-CN"/>
              </w:rPr>
              <w:t>3.双向选择：</w:t>
            </w:r>
            <w:r>
              <w:rPr>
                <w:rFonts w:hint="eastAsia" w:ascii="Times New Roman" w:hAnsi="Times New Roman" w:eastAsia="仿宋_GB2312" w:cs="Times New Roman"/>
                <w:color w:val="auto"/>
                <w:sz w:val="21"/>
                <w:szCs w:val="21"/>
                <w:lang w:val="en-US" w:eastAsia="zh-CN"/>
              </w:rPr>
              <w:t>每位教师以所承担一门学科列入考评，一是有参加县级质检时，按从有利的原则，既可以按县级考评标准进行量化，也可按校级考评标准进行量化。二是在县级质检中，被县局</w:t>
            </w:r>
            <w:r>
              <w:rPr>
                <w:rFonts w:hint="default" w:ascii="Times New Roman" w:hAnsi="Times New Roman" w:eastAsia="仿宋_GB2312" w:cs="Times New Roman"/>
                <w:color w:val="auto"/>
                <w:sz w:val="21"/>
                <w:szCs w:val="21"/>
                <w:lang w:val="en-US" w:eastAsia="zh-CN"/>
              </w:rPr>
              <w:t>被确定为教学质量进步奖对象的，按</w:t>
            </w:r>
            <w:r>
              <w:rPr>
                <w:rFonts w:hint="eastAsia" w:ascii="Times New Roman" w:hAnsi="Times New Roman" w:eastAsia="仿宋_GB2312" w:cs="Times New Roman"/>
                <w:color w:val="auto"/>
                <w:sz w:val="21"/>
                <w:szCs w:val="21"/>
                <w:lang w:val="en-US" w:eastAsia="zh-CN"/>
              </w:rPr>
              <w:t>达标（3</w:t>
            </w:r>
            <w:r>
              <w:rPr>
                <w:rFonts w:hint="default" w:ascii="Times New Roman" w:hAnsi="Times New Roman" w:eastAsia="仿宋_GB2312" w:cs="Times New Roman"/>
                <w:color w:val="auto"/>
                <w:sz w:val="21"/>
                <w:szCs w:val="21"/>
                <w:lang w:val="en-US" w:eastAsia="zh-CN"/>
              </w:rPr>
              <w:t>分/学期</w:t>
            </w:r>
            <w:r>
              <w:rPr>
                <w:rFonts w:hint="eastAsia" w:ascii="Times New Roman" w:hAnsi="Times New Roman" w:eastAsia="仿宋_GB2312" w:cs="Times New Roman"/>
                <w:color w:val="auto"/>
                <w:sz w:val="21"/>
                <w:szCs w:val="21"/>
                <w:lang w:val="en-US" w:eastAsia="zh-CN"/>
              </w:rPr>
              <w:t>）</w:t>
            </w:r>
            <w:r>
              <w:rPr>
                <w:rFonts w:hint="default" w:ascii="Times New Roman" w:hAnsi="Times New Roman" w:eastAsia="仿宋_GB2312" w:cs="Times New Roman"/>
                <w:color w:val="auto"/>
                <w:sz w:val="21"/>
                <w:szCs w:val="21"/>
                <w:lang w:val="en-US" w:eastAsia="zh-CN"/>
              </w:rPr>
              <w:t>赋分。进步分与正向教学质量考评分不重复计分，取较高值计分。</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b/>
                <w:bCs/>
                <w:color w:val="auto"/>
                <w:sz w:val="21"/>
                <w:szCs w:val="21"/>
                <w:lang w:val="en-US" w:eastAsia="zh-CN"/>
              </w:rPr>
              <w:t>4.均衡赋分</w:t>
            </w:r>
            <w:r>
              <w:rPr>
                <w:rFonts w:hint="eastAsia" w:ascii="Times New Roman" w:hAnsi="Times New Roman" w:eastAsia="仿宋_GB2312" w:cs="Times New Roman"/>
                <w:color w:val="auto"/>
                <w:sz w:val="21"/>
                <w:szCs w:val="21"/>
                <w:lang w:val="en-US" w:eastAsia="zh-CN"/>
              </w:rPr>
              <w:t>：</w:t>
            </w:r>
            <w:r>
              <w:rPr>
                <w:rFonts w:hint="default" w:ascii="Times New Roman" w:hAnsi="Times New Roman" w:eastAsia="仿宋_GB2312" w:cs="Times New Roman"/>
                <w:color w:val="auto"/>
                <w:sz w:val="21"/>
                <w:szCs w:val="21"/>
                <w:lang w:val="en-US" w:eastAsia="zh-CN"/>
              </w:rPr>
              <w:t>有承担教学但无法进行教绩考评计分的（如担一个年级一个班级无法进行横向比较的，一个教师承担一个年级所有班级教学的），按所申报学科同一类别参评人员的学期平均分值统一赋分。中途接任教学的，按工作月份所占学期月份的比例进行考评核计；遇有产假的或由学校安排特殊工作，没有承担教学工作的，所在学期教绩不列入，按实际学期数核算赋分后，再折成10个学期参评。</w:t>
            </w:r>
          </w:p>
          <w:p>
            <w:pPr>
              <w:widowControl w:val="0"/>
              <w:wordWrap/>
              <w:adjustRightInd/>
              <w:snapToGrid/>
              <w:spacing w:before="0" w:after="0" w:line="340" w:lineRule="exact"/>
              <w:ind w:left="0" w:leftChars="0" w:right="0" w:firstLine="0" w:firstLineChars="0"/>
              <w:jc w:val="both"/>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b/>
                <w:bCs/>
                <w:color w:val="auto"/>
                <w:sz w:val="21"/>
                <w:szCs w:val="21"/>
                <w:lang w:val="en-US" w:eastAsia="zh-CN"/>
              </w:rPr>
              <w:t>5.分段考核：</w:t>
            </w:r>
            <w:r>
              <w:rPr>
                <w:rFonts w:hint="eastAsia" w:ascii="Times New Roman" w:hAnsi="Times New Roman" w:eastAsia="仿宋_GB2312" w:cs="Times New Roman"/>
                <w:color w:val="auto"/>
                <w:sz w:val="21"/>
                <w:szCs w:val="21"/>
                <w:lang w:val="en-US" w:eastAsia="zh-CN"/>
              </w:rPr>
              <w:t>小学体育、美术、音乐、信息技术等五六学科，以21-22学年第二学期节点，之后（含）按学校上报的期末考查成绩计分，之前按无考查学科成绩计算，分段考核，加以累计。幼儿园近五学年担任教师与园级领导、县直幼儿园与乡镇农村幼儿园、园长与副园长的，按任职相应时段相应给分，再累加计分。</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b/>
                <w:bCs/>
                <w:color w:val="auto"/>
                <w:sz w:val="21"/>
                <w:szCs w:val="21"/>
                <w:lang w:val="en-US" w:eastAsia="zh-CN"/>
              </w:rPr>
              <w:t>6.严肃考评</w:t>
            </w:r>
            <w:r>
              <w:rPr>
                <w:rFonts w:hint="eastAsia" w:ascii="Times New Roman" w:hAnsi="Times New Roman" w:eastAsia="仿宋_GB2312" w:cs="Times New Roman"/>
                <w:color w:val="auto"/>
                <w:sz w:val="21"/>
                <w:szCs w:val="21"/>
                <w:lang w:val="en-US" w:eastAsia="zh-CN"/>
              </w:rPr>
              <w:t>：近五学年</w:t>
            </w:r>
            <w:r>
              <w:rPr>
                <w:rFonts w:hint="default" w:ascii="Times New Roman" w:hAnsi="Times New Roman" w:eastAsia="仿宋_GB2312" w:cs="Times New Roman"/>
                <w:color w:val="auto"/>
                <w:sz w:val="21"/>
                <w:szCs w:val="21"/>
                <w:lang w:val="en-US" w:eastAsia="zh-CN"/>
              </w:rPr>
              <w:t>所教任何学科两次及以上被列为县教学质量薄弱的重点跟踪对象</w:t>
            </w:r>
            <w:r>
              <w:rPr>
                <w:rFonts w:hint="eastAsia" w:ascii="Times New Roman" w:hAnsi="Times New Roman" w:eastAsia="仿宋_GB2312" w:cs="Times New Roman"/>
                <w:color w:val="auto"/>
                <w:sz w:val="21"/>
                <w:szCs w:val="21"/>
                <w:lang w:val="en-US" w:eastAsia="zh-CN"/>
              </w:rPr>
              <w:t>的、提供教绩经核查弄虚作假的</w:t>
            </w:r>
            <w:r>
              <w:rPr>
                <w:rFonts w:hint="default" w:ascii="Times New Roman" w:hAnsi="Times New Roman" w:eastAsia="仿宋_GB2312" w:cs="Times New Roman"/>
                <w:color w:val="auto"/>
                <w:sz w:val="21"/>
                <w:szCs w:val="21"/>
                <w:lang w:val="en-US" w:eastAsia="zh-CN"/>
              </w:rPr>
              <w:t>，取消评聘、晋升资格。</w:t>
            </w:r>
            <w:r>
              <w:rPr>
                <w:rFonts w:hint="eastAsia" w:ascii="Times New Roman" w:hAnsi="Times New Roman" w:eastAsia="仿宋_GB2312" w:cs="Times New Roman"/>
                <w:color w:val="auto"/>
                <w:sz w:val="21"/>
                <w:szCs w:val="21"/>
                <w:lang w:val="en-US" w:eastAsia="zh-CN"/>
              </w:rPr>
              <w:t>学校要做好教绩审核，</w:t>
            </w:r>
            <w:r>
              <w:rPr>
                <w:rFonts w:hint="default" w:ascii="Times New Roman" w:hAnsi="Times New Roman" w:eastAsia="仿宋_GB2312" w:cs="Times New Roman"/>
                <w:color w:val="auto"/>
                <w:sz w:val="21"/>
                <w:szCs w:val="21"/>
                <w:lang w:val="en-US" w:eastAsia="zh-CN"/>
              </w:rPr>
              <w:t>教绩没有达到基本要求的，不得参加推荐申报。</w:t>
            </w:r>
            <w:r>
              <w:rPr>
                <w:rFonts w:hint="eastAsia" w:ascii="Times New Roman" w:hAnsi="Times New Roman" w:eastAsia="仿宋_GB2312" w:cs="Times New Roman"/>
                <w:color w:val="auto"/>
                <w:sz w:val="21"/>
                <w:szCs w:val="21"/>
                <w:lang w:val="en-US" w:eastAsia="zh-CN"/>
              </w:rPr>
              <w:t>在上级审核中，</w:t>
            </w:r>
            <w:r>
              <w:rPr>
                <w:rFonts w:hint="default" w:ascii="Times New Roman" w:hAnsi="Times New Roman" w:eastAsia="仿宋_GB2312" w:cs="Times New Roman"/>
                <w:color w:val="auto"/>
                <w:sz w:val="21"/>
                <w:szCs w:val="21"/>
                <w:lang w:val="en-US" w:eastAsia="zh-CN"/>
              </w:rPr>
              <w:t>发现并查实后将严肃追究</w:t>
            </w:r>
            <w:r>
              <w:rPr>
                <w:rFonts w:hint="eastAsia" w:ascii="Times New Roman" w:hAnsi="Times New Roman" w:eastAsia="仿宋_GB2312" w:cs="Times New Roman"/>
                <w:color w:val="auto"/>
                <w:sz w:val="21"/>
                <w:szCs w:val="21"/>
                <w:lang w:val="en-US" w:eastAsia="zh-CN"/>
              </w:rPr>
              <w:t>考核人员</w:t>
            </w:r>
            <w:r>
              <w:rPr>
                <w:rFonts w:hint="default" w:ascii="Times New Roman" w:hAnsi="Times New Roman" w:eastAsia="仿宋_GB2312" w:cs="Times New Roman"/>
                <w:color w:val="auto"/>
                <w:sz w:val="21"/>
                <w:szCs w:val="21"/>
                <w:lang w:val="en-US" w:eastAsia="zh-CN"/>
              </w:rPr>
              <w:t>的责任</w:t>
            </w:r>
            <w:r>
              <w:rPr>
                <w:rFonts w:hint="eastAsia" w:ascii="Times New Roman" w:hAnsi="Times New Roman" w:eastAsia="仿宋_GB2312" w:cs="Times New Roman"/>
                <w:color w:val="auto"/>
                <w:sz w:val="21"/>
                <w:szCs w:val="21"/>
                <w:lang w:val="en-US" w:eastAsia="zh-CN"/>
              </w:rPr>
              <w:t>。</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lang w:val="en-US" w:eastAsia="zh-CN"/>
              </w:rPr>
              <w:t>7.</w:t>
            </w:r>
            <w:r>
              <w:rPr>
                <w:rFonts w:hint="default" w:ascii="Times New Roman" w:hAnsi="Times New Roman" w:eastAsia="仿宋_GB2312" w:cs="Times New Roman"/>
                <w:color w:val="auto"/>
                <w:sz w:val="21"/>
                <w:szCs w:val="21"/>
                <w:lang w:val="en-US" w:eastAsia="zh-CN"/>
              </w:rPr>
              <w:t>青少年学生校外活动中心、特校教师</w:t>
            </w:r>
            <w:r>
              <w:rPr>
                <w:rFonts w:hint="eastAsia" w:ascii="Times New Roman" w:hAnsi="Times New Roman" w:eastAsia="仿宋_GB2312" w:cs="Times New Roman"/>
                <w:color w:val="auto"/>
                <w:sz w:val="21"/>
                <w:szCs w:val="21"/>
                <w:lang w:val="en-US" w:eastAsia="zh-CN"/>
              </w:rPr>
              <w:t>校级</w:t>
            </w:r>
            <w:r>
              <w:rPr>
                <w:rFonts w:hint="default" w:ascii="Times New Roman" w:hAnsi="Times New Roman" w:eastAsia="仿宋_GB2312" w:cs="Times New Roman"/>
                <w:color w:val="auto"/>
                <w:sz w:val="21"/>
                <w:szCs w:val="21"/>
                <w:lang w:val="en-US" w:eastAsia="zh-CN"/>
              </w:rPr>
              <w:t>教绩考核方案由本校自行制定（报县教育局备案执行）</w:t>
            </w:r>
            <w:r>
              <w:rPr>
                <w:rFonts w:hint="eastAsia" w:ascii="Times New Roman" w:hAnsi="Times New Roman" w:eastAsia="仿宋_GB2312" w:cs="Times New Roman"/>
                <w:color w:val="auto"/>
                <w:sz w:val="21"/>
                <w:szCs w:val="21"/>
                <w:lang w:val="en-US" w:eastAsia="zh-CN"/>
              </w:rPr>
              <w:t>，县级教绩考评按县级进行实施。</w:t>
            </w:r>
          </w:p>
        </w:tc>
      </w:tr>
      <w:tr>
        <w:trPr>
          <w:trHeight w:val="1984" w:hRule="atLeast"/>
          <w:jc w:val="center"/>
        </w:trPr>
        <w:tc>
          <w:tcPr>
            <w:tcW w:w="724" w:type="dxa"/>
            <w:vMerge w:val="continue"/>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eastAsia="zh-CN"/>
              </w:rPr>
            </w:pPr>
          </w:p>
        </w:tc>
        <w:tc>
          <w:tcPr>
            <w:tcW w:w="1052" w:type="dxa"/>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eastAsia="zh-CN"/>
              </w:rPr>
              <w:t>主担语</w:t>
            </w:r>
            <w:r>
              <w:rPr>
                <w:rFonts w:hint="eastAsia" w:ascii="Times New Roman" w:hAnsi="Times New Roman" w:eastAsia="仿宋_GB2312" w:cs="Times New Roman"/>
                <w:color w:val="auto"/>
                <w:sz w:val="21"/>
                <w:szCs w:val="21"/>
                <w:lang w:val="en-US" w:eastAsia="zh-CN"/>
              </w:rPr>
              <w:t>文</w:t>
            </w:r>
            <w:r>
              <w:rPr>
                <w:rFonts w:hint="eastAsia" w:ascii="Times New Roman" w:hAnsi="Times New Roman" w:eastAsia="仿宋_GB2312" w:cs="Times New Roman"/>
                <w:color w:val="auto"/>
                <w:sz w:val="21"/>
                <w:szCs w:val="21"/>
                <w:lang w:eastAsia="zh-CN"/>
              </w:rPr>
              <w:t>、数</w:t>
            </w:r>
            <w:r>
              <w:rPr>
                <w:rFonts w:hint="eastAsia" w:ascii="Times New Roman" w:hAnsi="Times New Roman" w:eastAsia="仿宋_GB2312" w:cs="Times New Roman"/>
                <w:color w:val="auto"/>
                <w:sz w:val="21"/>
                <w:szCs w:val="21"/>
                <w:lang w:val="en-US" w:eastAsia="zh-CN"/>
              </w:rPr>
              <w:t>学</w:t>
            </w:r>
            <w:r>
              <w:rPr>
                <w:rFonts w:hint="eastAsia" w:ascii="Times New Roman" w:hAnsi="Times New Roman" w:eastAsia="仿宋_GB2312" w:cs="Times New Roman"/>
                <w:color w:val="auto"/>
                <w:sz w:val="21"/>
                <w:szCs w:val="21"/>
                <w:lang w:eastAsia="zh-CN"/>
              </w:rPr>
              <w:t>、英</w:t>
            </w:r>
            <w:r>
              <w:rPr>
                <w:rFonts w:hint="eastAsia" w:ascii="Times New Roman" w:hAnsi="Times New Roman" w:eastAsia="仿宋_GB2312" w:cs="Times New Roman"/>
                <w:color w:val="auto"/>
                <w:sz w:val="21"/>
                <w:szCs w:val="21"/>
                <w:lang w:val="en-US" w:eastAsia="zh-CN"/>
              </w:rPr>
              <w:t>语</w:t>
            </w:r>
            <w:r>
              <w:rPr>
                <w:rFonts w:hint="eastAsia" w:ascii="Times New Roman" w:hAnsi="Times New Roman" w:eastAsia="仿宋_GB2312" w:cs="Times New Roman"/>
                <w:color w:val="auto"/>
                <w:sz w:val="21"/>
                <w:szCs w:val="21"/>
                <w:lang w:eastAsia="zh-CN"/>
              </w:rPr>
              <w:t>双班教学</w:t>
            </w:r>
          </w:p>
        </w:tc>
        <w:tc>
          <w:tcPr>
            <w:tcW w:w="2613"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highlight w:val="none"/>
              </w:rPr>
            </w:pPr>
            <w:r>
              <w:rPr>
                <w:rFonts w:hint="eastAsia" w:ascii="Times New Roman" w:hAnsi="Times New Roman" w:eastAsia="仿宋_GB2312" w:cs="Times New Roman"/>
                <w:color w:val="auto"/>
                <w:sz w:val="21"/>
                <w:szCs w:val="21"/>
                <w:highlight w:val="none"/>
                <w:lang w:val="en-US" w:eastAsia="zh-CN"/>
              </w:rPr>
              <w:t>以班为单位，班级最终</w:t>
            </w:r>
            <w:r>
              <w:rPr>
                <w:rFonts w:hint="default" w:ascii="Times New Roman" w:hAnsi="Times New Roman" w:eastAsia="仿宋_GB2312" w:cs="Times New Roman"/>
                <w:color w:val="auto"/>
                <w:sz w:val="21"/>
                <w:szCs w:val="21"/>
                <w:highlight w:val="none"/>
                <w:lang w:val="en-US" w:eastAsia="zh-CN"/>
              </w:rPr>
              <w:t>考评分值居于同组别同学科质量考评平均分值－</w:t>
            </w:r>
            <w:r>
              <w:rPr>
                <w:rFonts w:hint="eastAsia" w:ascii="Times New Roman" w:hAnsi="Times New Roman" w:eastAsia="仿宋_GB2312" w:cs="Times New Roman"/>
                <w:color w:val="auto"/>
                <w:sz w:val="21"/>
                <w:szCs w:val="21"/>
                <w:highlight w:val="none"/>
                <w:lang w:val="en-US" w:eastAsia="zh-CN"/>
              </w:rPr>
              <w:t>2</w:t>
            </w:r>
            <w:r>
              <w:rPr>
                <w:rFonts w:hint="default" w:ascii="Times New Roman" w:hAnsi="Times New Roman" w:eastAsia="仿宋_GB2312" w:cs="Times New Roman"/>
                <w:color w:val="auto"/>
                <w:sz w:val="21"/>
                <w:szCs w:val="21"/>
                <w:highlight w:val="none"/>
                <w:lang w:val="en-US" w:eastAsia="zh-CN"/>
              </w:rPr>
              <w:t>分及以上的，视为教绩达标，按</w:t>
            </w:r>
            <w:r>
              <w:rPr>
                <w:rFonts w:hint="eastAsia" w:ascii="Times New Roman" w:hAnsi="Times New Roman" w:eastAsia="仿宋_GB2312" w:cs="Times New Roman"/>
                <w:color w:val="auto"/>
                <w:sz w:val="21"/>
                <w:szCs w:val="21"/>
                <w:highlight w:val="none"/>
                <w:lang w:val="en-US" w:eastAsia="zh-CN"/>
              </w:rPr>
              <w:t>3</w:t>
            </w:r>
            <w:r>
              <w:rPr>
                <w:rFonts w:hint="default" w:ascii="Times New Roman" w:hAnsi="Times New Roman" w:eastAsia="仿宋_GB2312" w:cs="Times New Roman"/>
                <w:color w:val="auto"/>
                <w:sz w:val="21"/>
                <w:szCs w:val="21"/>
                <w:highlight w:val="none"/>
                <w:lang w:val="en-US" w:eastAsia="zh-CN"/>
              </w:rPr>
              <w:t>分/学期赋分。班级平均分在同组别同学科质量考评平均分值－</w:t>
            </w:r>
            <w:r>
              <w:rPr>
                <w:rFonts w:hint="eastAsia" w:ascii="Times New Roman" w:hAnsi="Times New Roman" w:eastAsia="仿宋_GB2312" w:cs="Times New Roman"/>
                <w:color w:val="auto"/>
                <w:sz w:val="21"/>
                <w:szCs w:val="21"/>
                <w:highlight w:val="none"/>
                <w:lang w:val="en-US" w:eastAsia="zh-CN"/>
              </w:rPr>
              <w:t>2</w:t>
            </w:r>
            <w:r>
              <w:rPr>
                <w:rFonts w:hint="default" w:ascii="Times New Roman" w:hAnsi="Times New Roman" w:eastAsia="仿宋_GB2312" w:cs="Times New Roman"/>
                <w:color w:val="auto"/>
                <w:sz w:val="21"/>
                <w:szCs w:val="21"/>
                <w:highlight w:val="none"/>
                <w:lang w:val="en-US" w:eastAsia="zh-CN"/>
              </w:rPr>
              <w:t>分值之下，按平均分每降达2分，教绩从</w:t>
            </w:r>
            <w:r>
              <w:rPr>
                <w:rFonts w:hint="eastAsia" w:ascii="Times New Roman" w:hAnsi="Times New Roman" w:eastAsia="仿宋_GB2312" w:cs="Times New Roman"/>
                <w:color w:val="auto"/>
                <w:sz w:val="21"/>
                <w:szCs w:val="21"/>
                <w:highlight w:val="none"/>
                <w:lang w:val="en-US" w:eastAsia="zh-CN"/>
              </w:rPr>
              <w:t>3</w:t>
            </w:r>
            <w:r>
              <w:rPr>
                <w:rFonts w:hint="default" w:ascii="Times New Roman" w:hAnsi="Times New Roman" w:eastAsia="仿宋_GB2312" w:cs="Times New Roman"/>
                <w:color w:val="auto"/>
                <w:sz w:val="21"/>
                <w:szCs w:val="21"/>
                <w:highlight w:val="none"/>
                <w:lang w:val="en-US" w:eastAsia="zh-CN"/>
              </w:rPr>
              <w:t>分始递减0.5分计。</w:t>
            </w:r>
            <w:r>
              <w:rPr>
                <w:rFonts w:hint="eastAsia" w:ascii="Times New Roman" w:hAnsi="Times New Roman" w:eastAsia="仿宋_GB2312" w:cs="Times New Roman"/>
                <w:color w:val="auto"/>
                <w:sz w:val="21"/>
                <w:szCs w:val="21"/>
                <w:highlight w:val="none"/>
                <w:lang w:val="en-US" w:eastAsia="zh-CN"/>
              </w:rPr>
              <w:t>取双班考评平均分为学期考评分。</w:t>
            </w:r>
          </w:p>
        </w:tc>
        <w:tc>
          <w:tcPr>
            <w:tcW w:w="1843"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eastAsia"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每学期3分，按距平均分2分为临界点</w:t>
            </w:r>
          </w:p>
        </w:tc>
        <w:tc>
          <w:tcPr>
            <w:tcW w:w="3219"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highlight w:val="none"/>
              </w:rPr>
            </w:pPr>
            <w:r>
              <w:rPr>
                <w:rFonts w:hint="eastAsia" w:ascii="Times New Roman" w:hAnsi="Times New Roman" w:eastAsia="仿宋_GB2312" w:cs="Times New Roman"/>
                <w:color w:val="auto"/>
                <w:sz w:val="21"/>
                <w:szCs w:val="21"/>
                <w:highlight w:val="none"/>
                <w:lang w:val="en-US" w:eastAsia="zh-CN"/>
              </w:rPr>
              <w:t>以班级为单位，</w:t>
            </w:r>
            <w:r>
              <w:rPr>
                <w:rFonts w:hint="default" w:ascii="Times New Roman" w:hAnsi="Times New Roman" w:eastAsia="仿宋_GB2312" w:cs="Times New Roman"/>
                <w:color w:val="auto"/>
                <w:sz w:val="21"/>
                <w:szCs w:val="21"/>
                <w:highlight w:val="none"/>
                <w:lang w:val="en-US" w:eastAsia="zh-CN"/>
              </w:rPr>
              <w:t>班级平均成绩居于同组别同学科质量考评平均分值－</w:t>
            </w:r>
            <w:r>
              <w:rPr>
                <w:rFonts w:hint="eastAsia" w:ascii="Times New Roman" w:hAnsi="Times New Roman" w:eastAsia="仿宋_GB2312" w:cs="Times New Roman"/>
                <w:color w:val="auto"/>
                <w:sz w:val="21"/>
                <w:szCs w:val="21"/>
                <w:highlight w:val="none"/>
                <w:lang w:val="en-US" w:eastAsia="zh-CN"/>
              </w:rPr>
              <w:t>2</w:t>
            </w:r>
            <w:r>
              <w:rPr>
                <w:rFonts w:hint="default" w:ascii="Times New Roman" w:hAnsi="Times New Roman" w:eastAsia="仿宋_GB2312" w:cs="Times New Roman"/>
                <w:color w:val="auto"/>
                <w:sz w:val="21"/>
                <w:szCs w:val="21"/>
                <w:highlight w:val="none"/>
                <w:lang w:val="en-US" w:eastAsia="zh-CN"/>
              </w:rPr>
              <w:t>分及以上的，视为教绩达标</w:t>
            </w:r>
            <w:r>
              <w:rPr>
                <w:rFonts w:hint="eastAsia" w:ascii="Times New Roman" w:hAnsi="Times New Roman" w:eastAsia="仿宋_GB2312" w:cs="Times New Roman"/>
                <w:color w:val="auto"/>
                <w:sz w:val="21"/>
                <w:szCs w:val="21"/>
                <w:highlight w:val="none"/>
                <w:lang w:val="en-US" w:eastAsia="zh-CN"/>
              </w:rPr>
              <w:t>，</w:t>
            </w:r>
            <w:r>
              <w:rPr>
                <w:rFonts w:hint="default" w:ascii="Times New Roman" w:hAnsi="Times New Roman" w:eastAsia="仿宋_GB2312" w:cs="Times New Roman"/>
                <w:color w:val="auto"/>
                <w:sz w:val="21"/>
                <w:szCs w:val="21"/>
                <w:highlight w:val="none"/>
                <w:lang w:val="en-US" w:eastAsia="zh-CN"/>
              </w:rPr>
              <w:t>按</w:t>
            </w:r>
            <w:r>
              <w:rPr>
                <w:rFonts w:hint="eastAsia" w:ascii="Times New Roman" w:hAnsi="Times New Roman" w:eastAsia="仿宋_GB2312" w:cs="Times New Roman"/>
                <w:color w:val="auto"/>
                <w:sz w:val="21"/>
                <w:szCs w:val="21"/>
                <w:highlight w:val="none"/>
                <w:lang w:val="en-US" w:eastAsia="zh-CN"/>
              </w:rPr>
              <w:t>3</w:t>
            </w:r>
            <w:r>
              <w:rPr>
                <w:rFonts w:hint="default" w:ascii="Times New Roman" w:hAnsi="Times New Roman" w:eastAsia="仿宋_GB2312" w:cs="Times New Roman"/>
                <w:color w:val="auto"/>
                <w:sz w:val="21"/>
                <w:szCs w:val="21"/>
                <w:highlight w:val="none"/>
                <w:lang w:val="en-US" w:eastAsia="zh-CN"/>
              </w:rPr>
              <w:t>分/学期赋分</w:t>
            </w:r>
            <w:r>
              <w:rPr>
                <w:rFonts w:hint="eastAsia" w:ascii="Times New Roman" w:hAnsi="Times New Roman" w:eastAsia="仿宋_GB2312" w:cs="Times New Roman"/>
                <w:color w:val="auto"/>
                <w:sz w:val="21"/>
                <w:szCs w:val="21"/>
                <w:highlight w:val="none"/>
                <w:lang w:val="en-US" w:eastAsia="zh-CN"/>
              </w:rPr>
              <w:t>。班级</w:t>
            </w:r>
            <w:r>
              <w:rPr>
                <w:rFonts w:hint="default" w:ascii="Times New Roman" w:hAnsi="Times New Roman" w:eastAsia="仿宋_GB2312" w:cs="Times New Roman"/>
                <w:color w:val="auto"/>
                <w:sz w:val="21"/>
                <w:szCs w:val="21"/>
                <w:highlight w:val="none"/>
                <w:lang w:val="en-US" w:eastAsia="zh-CN"/>
              </w:rPr>
              <w:t>平均分在达标值之下，按平均分每减达2分，教绩分递减0.5分计。</w:t>
            </w:r>
            <w:r>
              <w:rPr>
                <w:rFonts w:hint="eastAsia" w:ascii="Times New Roman" w:hAnsi="Times New Roman" w:eastAsia="仿宋_GB2312" w:cs="Times New Roman"/>
                <w:color w:val="auto"/>
                <w:sz w:val="21"/>
                <w:szCs w:val="21"/>
                <w:highlight w:val="none"/>
                <w:lang w:val="en-US" w:eastAsia="zh-CN"/>
              </w:rPr>
              <w:t>取双班考评平均分为学期考评分。</w:t>
            </w:r>
          </w:p>
        </w:tc>
        <w:tc>
          <w:tcPr>
            <w:tcW w:w="2018"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校级每期3分，低于同组别平均分2分为达标临界点。</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lang w:val="en-US" w:eastAsia="zh-CN"/>
              </w:rPr>
              <w:t>。</w:t>
            </w:r>
          </w:p>
        </w:tc>
        <w:tc>
          <w:tcPr>
            <w:tcW w:w="3267" w:type="dxa"/>
            <w:vMerge w:val="continue"/>
            <w:vAlign w:val="top"/>
          </w:tcPr>
          <w:p>
            <w:pPr>
              <w:widowControl w:val="0"/>
              <w:wordWrap/>
              <w:adjustRightInd/>
              <w:snapToGrid/>
              <w:spacing w:line="240" w:lineRule="auto"/>
              <w:ind w:right="0"/>
              <w:jc w:val="both"/>
              <w:textAlignment w:val="auto"/>
              <w:outlineLvl w:val="9"/>
              <w:rPr>
                <w:rFonts w:hint="default" w:ascii="Times New Roman" w:hAnsi="Times New Roman" w:eastAsia="仿宋_GB2312" w:cs="Times New Roman"/>
                <w:color w:val="auto"/>
                <w:sz w:val="21"/>
                <w:szCs w:val="21"/>
              </w:rPr>
            </w:pPr>
          </w:p>
        </w:tc>
      </w:tr>
      <w:tr>
        <w:trPr>
          <w:trHeight w:val="3593" w:hRule="atLeast"/>
          <w:jc w:val="center"/>
        </w:trPr>
        <w:tc>
          <w:tcPr>
            <w:tcW w:w="724" w:type="dxa"/>
            <w:vMerge w:val="restart"/>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eastAsia="zh-CN"/>
              </w:rPr>
              <w:t>综合学科教学</w:t>
            </w:r>
          </w:p>
        </w:tc>
        <w:tc>
          <w:tcPr>
            <w:tcW w:w="1052" w:type="dxa"/>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highlight w:val="none"/>
                <w:lang w:eastAsia="zh-CN"/>
              </w:rPr>
            </w:pPr>
            <w:r>
              <w:rPr>
                <w:rFonts w:hint="eastAsia" w:ascii="Times New Roman" w:hAnsi="Times New Roman" w:eastAsia="仿宋_GB2312" w:cs="Times New Roman"/>
                <w:color w:val="auto"/>
                <w:sz w:val="21"/>
                <w:szCs w:val="21"/>
                <w:highlight w:val="none"/>
                <w:lang w:eastAsia="zh-CN"/>
              </w:rPr>
              <w:t>原任综合学科专职教学</w:t>
            </w:r>
          </w:p>
        </w:tc>
        <w:tc>
          <w:tcPr>
            <w:tcW w:w="2613"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lang w:val="en-US" w:eastAsia="zh-CN"/>
              </w:rPr>
              <w:t>最终</w:t>
            </w:r>
            <w:r>
              <w:rPr>
                <w:rFonts w:hint="eastAsia" w:ascii="Times New Roman" w:hAnsi="Times New Roman" w:eastAsia="仿宋_GB2312" w:cs="Times New Roman"/>
                <w:color w:val="auto"/>
                <w:sz w:val="21"/>
                <w:szCs w:val="21"/>
                <w:highlight w:val="none"/>
                <w:lang w:val="en-US" w:eastAsia="zh-CN"/>
              </w:rPr>
              <w:t>班级</w:t>
            </w:r>
            <w:r>
              <w:rPr>
                <w:rFonts w:hint="default" w:ascii="Times New Roman" w:hAnsi="Times New Roman" w:eastAsia="仿宋_GB2312" w:cs="Times New Roman"/>
                <w:color w:val="auto"/>
                <w:sz w:val="21"/>
                <w:szCs w:val="21"/>
                <w:highlight w:val="none"/>
                <w:lang w:val="en-US" w:eastAsia="zh-CN"/>
              </w:rPr>
              <w:t>合格率居于同组别同学科合格率－5%及以</w:t>
            </w:r>
            <w:r>
              <w:rPr>
                <w:rFonts w:hint="eastAsia" w:ascii="Times New Roman" w:hAnsi="Times New Roman" w:eastAsia="仿宋_GB2312" w:cs="Times New Roman"/>
                <w:color w:val="auto"/>
                <w:sz w:val="21"/>
                <w:szCs w:val="21"/>
                <w:highlight w:val="none"/>
                <w:lang w:val="en-US" w:eastAsia="zh-CN"/>
              </w:rPr>
              <w:t>上</w:t>
            </w:r>
            <w:r>
              <w:rPr>
                <w:rFonts w:hint="default" w:ascii="Times New Roman" w:hAnsi="Times New Roman" w:eastAsia="仿宋_GB2312" w:cs="Times New Roman"/>
                <w:color w:val="auto"/>
                <w:sz w:val="21"/>
                <w:szCs w:val="21"/>
                <w:highlight w:val="none"/>
                <w:lang w:val="en-US" w:eastAsia="zh-CN"/>
              </w:rPr>
              <w:t>的，视为教绩达标，按</w:t>
            </w:r>
            <w:r>
              <w:rPr>
                <w:rFonts w:hint="eastAsia" w:ascii="Times New Roman" w:hAnsi="Times New Roman" w:eastAsia="仿宋_GB2312" w:cs="Times New Roman"/>
                <w:color w:val="auto"/>
                <w:sz w:val="21"/>
                <w:szCs w:val="21"/>
                <w:highlight w:val="none"/>
                <w:lang w:val="en-US" w:eastAsia="zh-CN"/>
              </w:rPr>
              <w:t>3</w:t>
            </w:r>
            <w:r>
              <w:rPr>
                <w:rFonts w:hint="default" w:ascii="Times New Roman" w:hAnsi="Times New Roman" w:eastAsia="仿宋_GB2312" w:cs="Times New Roman"/>
                <w:color w:val="auto"/>
                <w:sz w:val="21"/>
                <w:szCs w:val="21"/>
                <w:highlight w:val="none"/>
                <w:lang w:val="en-US" w:eastAsia="zh-CN"/>
              </w:rPr>
              <w:t>分/学期赋分，班级合格率在同组别同学科合格率－5%以下，按合格率每降达5%内，教绩分从</w:t>
            </w:r>
            <w:r>
              <w:rPr>
                <w:rFonts w:hint="eastAsia" w:ascii="Times New Roman" w:hAnsi="Times New Roman" w:eastAsia="仿宋_GB2312" w:cs="Times New Roman"/>
                <w:color w:val="auto"/>
                <w:sz w:val="21"/>
                <w:szCs w:val="21"/>
                <w:highlight w:val="none"/>
                <w:lang w:val="en-US" w:eastAsia="zh-CN"/>
              </w:rPr>
              <w:t>3</w:t>
            </w:r>
            <w:r>
              <w:rPr>
                <w:rFonts w:hint="default" w:ascii="Times New Roman" w:hAnsi="Times New Roman" w:eastAsia="仿宋_GB2312" w:cs="Times New Roman"/>
                <w:color w:val="auto"/>
                <w:sz w:val="21"/>
                <w:szCs w:val="21"/>
                <w:highlight w:val="none"/>
                <w:lang w:val="en-US" w:eastAsia="zh-CN"/>
              </w:rPr>
              <w:t>分始递减0.5分计，直至0分。</w:t>
            </w:r>
            <w:r>
              <w:rPr>
                <w:rFonts w:hint="eastAsia" w:ascii="Times New Roman" w:hAnsi="Times New Roman" w:eastAsia="仿宋_GB2312" w:cs="Times New Roman"/>
                <w:color w:val="auto"/>
                <w:sz w:val="21"/>
                <w:szCs w:val="21"/>
                <w:highlight w:val="none"/>
                <w:lang w:val="en-US" w:eastAsia="zh-CN"/>
              </w:rPr>
              <w:t>取双班考评平均分为学期考评分。</w:t>
            </w:r>
          </w:p>
        </w:tc>
        <w:tc>
          <w:tcPr>
            <w:tcW w:w="1843"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val="en-US" w:eastAsia="zh-CN"/>
              </w:rPr>
              <w:t>每学期3分，按距同组合格率5%为临界点</w:t>
            </w:r>
          </w:p>
        </w:tc>
        <w:tc>
          <w:tcPr>
            <w:tcW w:w="3219"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highlight w:val="none"/>
              </w:rPr>
            </w:pPr>
            <w:r>
              <w:rPr>
                <w:rFonts w:hint="eastAsia" w:ascii="Times New Roman" w:hAnsi="Times New Roman" w:eastAsia="仿宋_GB2312" w:cs="Times New Roman"/>
                <w:color w:val="auto"/>
                <w:sz w:val="21"/>
                <w:szCs w:val="21"/>
                <w:highlight w:val="none"/>
                <w:lang w:val="en-US" w:eastAsia="zh-CN"/>
              </w:rPr>
              <w:t>以班级为单位，</w:t>
            </w:r>
            <w:r>
              <w:rPr>
                <w:rFonts w:hint="default" w:ascii="Times New Roman" w:hAnsi="Times New Roman" w:eastAsia="仿宋_GB2312" w:cs="Times New Roman"/>
                <w:color w:val="auto"/>
                <w:sz w:val="21"/>
                <w:szCs w:val="21"/>
                <w:highlight w:val="none"/>
                <w:lang w:val="en-US" w:eastAsia="zh-CN"/>
              </w:rPr>
              <w:t>班级最终合格率居于同组别同学科平均合格率－5%以上的，视为教绩达标，按</w:t>
            </w:r>
            <w:r>
              <w:rPr>
                <w:rFonts w:hint="eastAsia" w:ascii="Times New Roman" w:hAnsi="Times New Roman" w:eastAsia="仿宋_GB2312" w:cs="Times New Roman"/>
                <w:color w:val="auto"/>
                <w:sz w:val="21"/>
                <w:szCs w:val="21"/>
                <w:highlight w:val="none"/>
                <w:lang w:val="en-US" w:eastAsia="zh-CN"/>
              </w:rPr>
              <w:t>2.5</w:t>
            </w:r>
            <w:r>
              <w:rPr>
                <w:rFonts w:hint="default" w:ascii="Times New Roman" w:hAnsi="Times New Roman" w:eastAsia="仿宋_GB2312" w:cs="Times New Roman"/>
                <w:color w:val="auto"/>
                <w:sz w:val="21"/>
                <w:szCs w:val="21"/>
                <w:highlight w:val="none"/>
                <w:lang w:val="en-US" w:eastAsia="zh-CN"/>
              </w:rPr>
              <w:t>分/学期赋分。一、二年级班级合格率在达标值之下，按合格率每减达3%，教绩分递减0.5分计；三~六年级班级合格率在达标值之下，按合格率每减达5%，教绩分递减0.5分计，直至0分。</w:t>
            </w:r>
            <w:r>
              <w:rPr>
                <w:rFonts w:hint="eastAsia" w:ascii="Times New Roman" w:hAnsi="Times New Roman" w:eastAsia="仿宋_GB2312" w:cs="Times New Roman"/>
                <w:color w:val="auto"/>
                <w:sz w:val="21"/>
                <w:szCs w:val="21"/>
                <w:highlight w:val="none"/>
                <w:lang w:val="en-US" w:eastAsia="zh-CN"/>
              </w:rPr>
              <w:t>取多班考评平均分为学期考评分。</w:t>
            </w:r>
          </w:p>
        </w:tc>
        <w:tc>
          <w:tcPr>
            <w:tcW w:w="2018"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每期2.5分，低于同组别合格率率5%为达标临界点。</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lang w:val="en-US" w:eastAsia="zh-CN"/>
              </w:rPr>
              <w:t>达标合格率之下的考评，一、二年级与三~六年级有别</w:t>
            </w:r>
          </w:p>
        </w:tc>
        <w:tc>
          <w:tcPr>
            <w:tcW w:w="3267" w:type="dxa"/>
            <w:vMerge w:val="continue"/>
            <w:vAlign w:val="top"/>
          </w:tcPr>
          <w:p>
            <w:pPr>
              <w:widowControl w:val="0"/>
              <w:wordWrap/>
              <w:adjustRightInd/>
              <w:snapToGrid/>
              <w:spacing w:line="240" w:lineRule="auto"/>
              <w:ind w:right="0"/>
              <w:jc w:val="both"/>
              <w:textAlignment w:val="auto"/>
              <w:outlineLvl w:val="9"/>
              <w:rPr>
                <w:rFonts w:hint="default" w:ascii="Times New Roman" w:hAnsi="Times New Roman" w:eastAsia="仿宋_GB2312" w:cs="Times New Roman"/>
                <w:color w:val="auto"/>
                <w:sz w:val="21"/>
                <w:szCs w:val="21"/>
              </w:rPr>
            </w:pPr>
          </w:p>
        </w:tc>
      </w:tr>
      <w:tr>
        <w:trPr>
          <w:trHeight w:val="1505" w:hRule="atLeast"/>
          <w:jc w:val="center"/>
        </w:trPr>
        <w:tc>
          <w:tcPr>
            <w:tcW w:w="724" w:type="dxa"/>
            <w:vMerge w:val="continue"/>
            <w:vAlign w:val="center"/>
          </w:tcPr>
          <w:p>
            <w:pPr>
              <w:widowControl w:val="0"/>
              <w:wordWrap/>
              <w:adjustRightInd/>
              <w:snapToGrid/>
              <w:spacing w:line="590" w:lineRule="exact"/>
              <w:ind w:right="0"/>
              <w:jc w:val="both"/>
              <w:textAlignment w:val="auto"/>
              <w:outlineLvl w:val="9"/>
              <w:rPr>
                <w:rFonts w:hint="eastAsia" w:ascii="Times New Roman" w:hAnsi="Times New Roman" w:eastAsia="仿宋_GB2312" w:cs="Times New Roman"/>
                <w:color w:val="auto"/>
                <w:sz w:val="21"/>
                <w:szCs w:val="21"/>
                <w:lang w:eastAsia="zh-CN"/>
              </w:rPr>
            </w:pPr>
          </w:p>
        </w:tc>
        <w:tc>
          <w:tcPr>
            <w:tcW w:w="1052" w:type="dxa"/>
            <w:vAlign w:val="center"/>
          </w:tcPr>
          <w:p>
            <w:pPr>
              <w:widowControl w:val="0"/>
              <w:wordWrap/>
              <w:adjustRightInd/>
              <w:snapToGrid/>
              <w:spacing w:line="590" w:lineRule="exact"/>
              <w:ind w:right="0"/>
              <w:jc w:val="both"/>
              <w:textAlignment w:val="auto"/>
              <w:outlineLvl w:val="9"/>
              <w:rPr>
                <w:rFonts w:hint="eastAsia" w:ascii="Times New Roman" w:hAnsi="Times New Roman" w:eastAsia="仿宋_GB2312" w:cs="Times New Roman"/>
                <w:color w:val="auto"/>
                <w:sz w:val="21"/>
                <w:szCs w:val="21"/>
                <w:lang w:eastAsia="zh-CN"/>
              </w:rPr>
            </w:pPr>
            <w:r>
              <w:rPr>
                <w:rFonts w:hint="eastAsia" w:ascii="Times New Roman" w:hAnsi="Times New Roman" w:eastAsia="仿宋_GB2312" w:cs="Times New Roman"/>
                <w:color w:val="auto"/>
                <w:sz w:val="21"/>
                <w:szCs w:val="21"/>
                <w:lang w:val="en-US" w:eastAsia="zh-CN"/>
              </w:rPr>
              <w:t>转任综合学科专职教学</w:t>
            </w:r>
          </w:p>
        </w:tc>
        <w:tc>
          <w:tcPr>
            <w:tcW w:w="2613"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最终合格率居于同组别同学科合格率－</w:t>
            </w:r>
            <w:r>
              <w:rPr>
                <w:rFonts w:hint="eastAsia" w:ascii="Times New Roman" w:hAnsi="Times New Roman" w:eastAsia="仿宋_GB2312" w:cs="Times New Roman"/>
                <w:color w:val="auto"/>
                <w:sz w:val="21"/>
                <w:szCs w:val="21"/>
                <w:lang w:val="en-US" w:eastAsia="zh-CN"/>
              </w:rPr>
              <w:t>8</w:t>
            </w:r>
            <w:r>
              <w:rPr>
                <w:rFonts w:hint="default" w:ascii="Times New Roman" w:hAnsi="Times New Roman" w:eastAsia="仿宋_GB2312" w:cs="Times New Roman"/>
                <w:color w:val="auto"/>
                <w:sz w:val="21"/>
                <w:szCs w:val="21"/>
                <w:lang w:val="en-US" w:eastAsia="zh-CN"/>
              </w:rPr>
              <w:t>%及以</w:t>
            </w:r>
            <w:r>
              <w:rPr>
                <w:rFonts w:hint="eastAsia" w:ascii="Times New Roman" w:hAnsi="Times New Roman" w:eastAsia="仿宋_GB2312" w:cs="Times New Roman"/>
                <w:color w:val="auto"/>
                <w:sz w:val="21"/>
                <w:szCs w:val="21"/>
                <w:lang w:val="en-US" w:eastAsia="zh-CN"/>
              </w:rPr>
              <w:t>上</w:t>
            </w:r>
            <w:r>
              <w:rPr>
                <w:rFonts w:hint="default" w:ascii="Times New Roman" w:hAnsi="Times New Roman" w:eastAsia="仿宋_GB2312" w:cs="Times New Roman"/>
                <w:color w:val="auto"/>
                <w:sz w:val="21"/>
                <w:szCs w:val="21"/>
                <w:lang w:val="en-US" w:eastAsia="zh-CN"/>
              </w:rPr>
              <w:t>的，视为教绩达标，按</w:t>
            </w:r>
            <w:r>
              <w:rPr>
                <w:rFonts w:hint="eastAsia" w:ascii="Times New Roman" w:hAnsi="Times New Roman" w:eastAsia="仿宋_GB2312" w:cs="Times New Roman"/>
                <w:color w:val="auto"/>
                <w:sz w:val="21"/>
                <w:szCs w:val="21"/>
                <w:lang w:val="en-US" w:eastAsia="zh-CN"/>
              </w:rPr>
              <w:t>3</w:t>
            </w:r>
            <w:r>
              <w:rPr>
                <w:rFonts w:hint="default" w:ascii="Times New Roman" w:hAnsi="Times New Roman" w:eastAsia="仿宋_GB2312" w:cs="Times New Roman"/>
                <w:color w:val="auto"/>
                <w:sz w:val="21"/>
                <w:szCs w:val="21"/>
                <w:lang w:val="en-US" w:eastAsia="zh-CN"/>
              </w:rPr>
              <w:t>分/学期赋分，班级合格率在同组别同学科合格率－</w:t>
            </w:r>
            <w:r>
              <w:rPr>
                <w:rFonts w:hint="eastAsia" w:ascii="Times New Roman" w:hAnsi="Times New Roman" w:eastAsia="仿宋_GB2312" w:cs="Times New Roman"/>
                <w:color w:val="auto"/>
                <w:sz w:val="21"/>
                <w:szCs w:val="21"/>
                <w:lang w:val="en-US" w:eastAsia="zh-CN"/>
              </w:rPr>
              <w:t>8</w:t>
            </w:r>
            <w:r>
              <w:rPr>
                <w:rFonts w:hint="default" w:ascii="Times New Roman" w:hAnsi="Times New Roman" w:eastAsia="仿宋_GB2312" w:cs="Times New Roman"/>
                <w:color w:val="auto"/>
                <w:sz w:val="21"/>
                <w:szCs w:val="21"/>
                <w:lang w:val="en-US" w:eastAsia="zh-CN"/>
              </w:rPr>
              <w:t>%以下，按合格率每降达</w:t>
            </w:r>
            <w:r>
              <w:rPr>
                <w:rFonts w:hint="eastAsia" w:ascii="Times New Roman" w:hAnsi="Times New Roman" w:eastAsia="仿宋_GB2312" w:cs="Times New Roman"/>
                <w:color w:val="auto"/>
                <w:sz w:val="21"/>
                <w:szCs w:val="21"/>
                <w:lang w:val="en-US" w:eastAsia="zh-CN"/>
              </w:rPr>
              <w:t>8</w:t>
            </w:r>
            <w:r>
              <w:rPr>
                <w:rFonts w:hint="default" w:ascii="Times New Roman" w:hAnsi="Times New Roman" w:eastAsia="仿宋_GB2312" w:cs="Times New Roman"/>
                <w:color w:val="auto"/>
                <w:sz w:val="21"/>
                <w:szCs w:val="21"/>
                <w:lang w:val="en-US" w:eastAsia="zh-CN"/>
              </w:rPr>
              <w:t>%内，教绩分从</w:t>
            </w:r>
            <w:r>
              <w:rPr>
                <w:rFonts w:hint="eastAsia" w:ascii="Times New Roman" w:hAnsi="Times New Roman" w:eastAsia="仿宋_GB2312" w:cs="Times New Roman"/>
                <w:color w:val="auto"/>
                <w:sz w:val="21"/>
                <w:szCs w:val="21"/>
                <w:lang w:val="en-US" w:eastAsia="zh-CN"/>
              </w:rPr>
              <w:t>3</w:t>
            </w:r>
            <w:r>
              <w:rPr>
                <w:rFonts w:hint="default" w:ascii="Times New Roman" w:hAnsi="Times New Roman" w:eastAsia="仿宋_GB2312" w:cs="Times New Roman"/>
                <w:color w:val="auto"/>
                <w:sz w:val="21"/>
                <w:szCs w:val="21"/>
                <w:lang w:val="en-US" w:eastAsia="zh-CN"/>
              </w:rPr>
              <w:t>分始递减0.5分计，直至0分。</w:t>
            </w:r>
            <w:r>
              <w:rPr>
                <w:rFonts w:hint="eastAsia" w:ascii="Times New Roman" w:hAnsi="Times New Roman" w:eastAsia="仿宋_GB2312" w:cs="Times New Roman"/>
                <w:color w:val="auto"/>
                <w:sz w:val="21"/>
                <w:szCs w:val="21"/>
                <w:lang w:val="en-US" w:eastAsia="zh-CN"/>
              </w:rPr>
              <w:t>取双班考评平均分为学期考评分。</w:t>
            </w:r>
          </w:p>
        </w:tc>
        <w:tc>
          <w:tcPr>
            <w:tcW w:w="1843"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每学期3分，按距同组合格率8%为临界点</w:t>
            </w:r>
          </w:p>
        </w:tc>
        <w:tc>
          <w:tcPr>
            <w:tcW w:w="3219"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rPr>
            </w:pPr>
            <w:r>
              <w:rPr>
                <w:rFonts w:hint="eastAsia" w:ascii="Times New Roman" w:hAnsi="Times New Roman" w:eastAsia="仿宋_GB2312" w:cs="Times New Roman"/>
                <w:color w:val="auto"/>
                <w:sz w:val="21"/>
                <w:szCs w:val="21"/>
                <w:lang w:val="en-US" w:eastAsia="zh-CN"/>
              </w:rPr>
              <w:t>以班级为单位，</w:t>
            </w:r>
            <w:r>
              <w:rPr>
                <w:rFonts w:hint="default" w:ascii="Times New Roman" w:hAnsi="Times New Roman" w:eastAsia="仿宋_GB2312" w:cs="Times New Roman"/>
                <w:color w:val="auto"/>
                <w:sz w:val="21"/>
                <w:szCs w:val="21"/>
                <w:lang w:val="en-US" w:eastAsia="zh-CN"/>
              </w:rPr>
              <w:t>班级最终合格率居于同组别同学科平均合格率－</w:t>
            </w:r>
            <w:r>
              <w:rPr>
                <w:rFonts w:hint="eastAsia" w:ascii="Times New Roman" w:hAnsi="Times New Roman" w:eastAsia="仿宋_GB2312" w:cs="Times New Roman"/>
                <w:color w:val="auto"/>
                <w:sz w:val="21"/>
                <w:szCs w:val="21"/>
                <w:lang w:val="en-US" w:eastAsia="zh-CN"/>
              </w:rPr>
              <w:t>8</w:t>
            </w:r>
            <w:r>
              <w:rPr>
                <w:rFonts w:hint="default" w:ascii="Times New Roman" w:hAnsi="Times New Roman" w:eastAsia="仿宋_GB2312" w:cs="Times New Roman"/>
                <w:color w:val="auto"/>
                <w:sz w:val="21"/>
                <w:szCs w:val="21"/>
                <w:lang w:val="en-US" w:eastAsia="zh-CN"/>
              </w:rPr>
              <w:t>%以上的，视为教绩达标，按</w:t>
            </w:r>
            <w:r>
              <w:rPr>
                <w:rFonts w:hint="eastAsia" w:ascii="Times New Roman" w:hAnsi="Times New Roman" w:eastAsia="仿宋_GB2312" w:cs="Times New Roman"/>
                <w:color w:val="auto"/>
                <w:sz w:val="21"/>
                <w:szCs w:val="21"/>
                <w:lang w:val="en-US" w:eastAsia="zh-CN"/>
              </w:rPr>
              <w:t>3</w:t>
            </w:r>
            <w:r>
              <w:rPr>
                <w:rFonts w:hint="default" w:ascii="Times New Roman" w:hAnsi="Times New Roman" w:eastAsia="仿宋_GB2312" w:cs="Times New Roman"/>
                <w:color w:val="auto"/>
                <w:sz w:val="21"/>
                <w:szCs w:val="21"/>
                <w:lang w:val="en-US" w:eastAsia="zh-CN"/>
              </w:rPr>
              <w:t>分/学期赋分。一、二年级班级合格率在达标值之下，按合格率每减达3%，教绩分</w:t>
            </w:r>
            <w:r>
              <w:rPr>
                <w:rFonts w:hint="eastAsia" w:ascii="Times New Roman" w:hAnsi="Times New Roman" w:eastAsia="仿宋_GB2312" w:cs="Times New Roman"/>
                <w:color w:val="auto"/>
                <w:sz w:val="21"/>
                <w:szCs w:val="21"/>
                <w:lang w:val="en-US" w:eastAsia="zh-CN"/>
              </w:rPr>
              <w:t>从3分</w:t>
            </w:r>
            <w:r>
              <w:rPr>
                <w:rFonts w:hint="default" w:ascii="Times New Roman" w:hAnsi="Times New Roman" w:eastAsia="仿宋_GB2312" w:cs="Times New Roman"/>
                <w:color w:val="auto"/>
                <w:sz w:val="21"/>
                <w:szCs w:val="21"/>
                <w:lang w:val="en-US" w:eastAsia="zh-CN"/>
              </w:rPr>
              <w:t>递减0.5分计；三~六年级班级合格率在达标值之下，按合格率每减达5%，教绩分递减0.5分计，直至0分。</w:t>
            </w:r>
            <w:r>
              <w:rPr>
                <w:rFonts w:hint="eastAsia" w:ascii="Times New Roman" w:hAnsi="Times New Roman" w:eastAsia="仿宋_GB2312" w:cs="Times New Roman"/>
                <w:color w:val="auto"/>
                <w:sz w:val="21"/>
                <w:szCs w:val="21"/>
                <w:lang w:val="en-US" w:eastAsia="zh-CN"/>
              </w:rPr>
              <w:t>取多班考评平均分为学期考评分。</w:t>
            </w:r>
          </w:p>
        </w:tc>
        <w:tc>
          <w:tcPr>
            <w:tcW w:w="2018" w:type="dxa"/>
            <w:vAlign w:val="top"/>
          </w:tcPr>
          <w:p>
            <w:pPr>
              <w:widowControl w:val="0"/>
              <w:wordWrap/>
              <w:adjustRightInd/>
              <w:snapToGrid/>
              <w:spacing w:before="0" w:after="0" w:line="340" w:lineRule="exact"/>
              <w:ind w:left="0" w:leftChars="0" w:right="0" w:firstLine="0" w:firstLineChars="0"/>
              <w:jc w:val="both"/>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校级每期3分，低于同组别合格率率8%为达标临界点。</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lang w:val="en-US"/>
              </w:rPr>
            </w:pPr>
            <w:r>
              <w:rPr>
                <w:rFonts w:hint="eastAsia" w:ascii="Times New Roman" w:hAnsi="Times New Roman" w:eastAsia="仿宋_GB2312" w:cs="Times New Roman"/>
                <w:color w:val="auto"/>
                <w:sz w:val="21"/>
                <w:szCs w:val="21"/>
                <w:lang w:val="en-US" w:eastAsia="zh-CN"/>
              </w:rPr>
              <w:t>达标合格率之下考评，一、二年级与三~六年级有别.</w:t>
            </w:r>
          </w:p>
        </w:tc>
        <w:tc>
          <w:tcPr>
            <w:tcW w:w="3267" w:type="dxa"/>
            <w:vMerge w:val="continue"/>
            <w:vAlign w:val="top"/>
          </w:tcPr>
          <w:p>
            <w:pPr>
              <w:widowControl w:val="0"/>
              <w:wordWrap/>
              <w:adjustRightInd/>
              <w:snapToGrid/>
              <w:spacing w:line="590" w:lineRule="exact"/>
              <w:ind w:right="0"/>
              <w:jc w:val="both"/>
              <w:textAlignment w:val="auto"/>
              <w:outlineLvl w:val="9"/>
              <w:rPr>
                <w:rFonts w:hint="default" w:ascii="Times New Roman" w:hAnsi="Times New Roman" w:eastAsia="仿宋_GB2312" w:cs="Times New Roman"/>
                <w:color w:val="auto"/>
                <w:sz w:val="21"/>
                <w:szCs w:val="21"/>
              </w:rPr>
            </w:pPr>
          </w:p>
        </w:tc>
      </w:tr>
      <w:tr>
        <w:trPr>
          <w:trHeight w:val="1766" w:hRule="atLeast"/>
          <w:jc w:val="center"/>
        </w:trPr>
        <w:tc>
          <w:tcPr>
            <w:tcW w:w="724" w:type="dxa"/>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非考查学科</w:t>
            </w:r>
          </w:p>
        </w:tc>
        <w:tc>
          <w:tcPr>
            <w:tcW w:w="1052" w:type="dxa"/>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小学书记、校长</w:t>
            </w:r>
          </w:p>
        </w:tc>
        <w:tc>
          <w:tcPr>
            <w:tcW w:w="9693" w:type="dxa"/>
            <w:gridSpan w:val="4"/>
            <w:vAlign w:val="top"/>
          </w:tcPr>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(1)校长在规定年限内学校教学质量管理得分或校长绩效考核结果得分就高计算教学成绩。</w:t>
            </w:r>
            <w:r>
              <w:rPr>
                <w:rFonts w:hint="eastAsia" w:ascii="Times New Roman" w:hAnsi="Times New Roman" w:eastAsia="仿宋_GB2312" w:cs="Times New Roman"/>
                <w:color w:val="auto"/>
                <w:sz w:val="21"/>
                <w:szCs w:val="21"/>
                <w:lang w:val="en-US" w:eastAsia="zh-CN"/>
              </w:rPr>
              <w:t>一是</w:t>
            </w:r>
            <w:r>
              <w:rPr>
                <w:rFonts w:hint="default" w:ascii="Times New Roman" w:hAnsi="Times New Roman" w:eastAsia="仿宋_GB2312" w:cs="Times New Roman"/>
                <w:color w:val="auto"/>
                <w:sz w:val="21"/>
                <w:szCs w:val="21"/>
                <w:lang w:val="en-US" w:eastAsia="zh-CN"/>
              </w:rPr>
              <w:t>学校教学质量业绩一等奖45分/学年，二等奖40分/学年，三等奖38分/学年，教学质量进步奖</w:t>
            </w:r>
            <w:r>
              <w:rPr>
                <w:rFonts w:hint="eastAsia" w:ascii="Times New Roman" w:hAnsi="Times New Roman" w:eastAsia="仿宋_GB2312" w:cs="Times New Roman"/>
                <w:color w:val="auto"/>
                <w:sz w:val="21"/>
                <w:szCs w:val="21"/>
                <w:lang w:val="en-US" w:eastAsia="zh-CN"/>
              </w:rPr>
              <w:t>或达标奖</w:t>
            </w:r>
            <w:r>
              <w:rPr>
                <w:rFonts w:hint="default" w:ascii="Times New Roman" w:hAnsi="Times New Roman" w:eastAsia="仿宋_GB2312" w:cs="Times New Roman"/>
                <w:color w:val="auto"/>
                <w:sz w:val="21"/>
                <w:szCs w:val="21"/>
                <w:lang w:val="en-US" w:eastAsia="zh-CN"/>
              </w:rPr>
              <w:t>40分/学年。</w:t>
            </w:r>
            <w:r>
              <w:rPr>
                <w:rFonts w:hint="eastAsia" w:ascii="Times New Roman" w:hAnsi="Times New Roman" w:eastAsia="仿宋_GB2312" w:cs="Times New Roman"/>
                <w:color w:val="auto"/>
                <w:sz w:val="21"/>
                <w:szCs w:val="21"/>
                <w:lang w:val="en-US" w:eastAsia="zh-CN"/>
              </w:rPr>
              <w:t>二是</w:t>
            </w:r>
            <w:r>
              <w:rPr>
                <w:rFonts w:hint="default" w:ascii="Times New Roman" w:hAnsi="Times New Roman" w:eastAsia="仿宋_GB2312" w:cs="Times New Roman"/>
                <w:color w:val="auto"/>
                <w:sz w:val="21"/>
                <w:szCs w:val="21"/>
                <w:lang w:val="en-US" w:eastAsia="zh-CN"/>
              </w:rPr>
              <w:t>校长绩效考核获一等奖给40分/学年，二等奖给38分/学年，三等奖给35分/学年</w:t>
            </w:r>
            <w:r>
              <w:rPr>
                <w:rFonts w:hint="eastAsia" w:ascii="Times New Roman" w:hAnsi="Times New Roman" w:eastAsia="仿宋_GB2312" w:cs="Times New Roman"/>
                <w:color w:val="auto"/>
                <w:sz w:val="21"/>
                <w:szCs w:val="21"/>
                <w:lang w:val="en-US" w:eastAsia="zh-CN"/>
              </w:rPr>
              <w:t>。以学年为单位，两者择一确定考评分，</w:t>
            </w:r>
            <w:r>
              <w:rPr>
                <w:rFonts w:hint="default" w:ascii="Times New Roman" w:hAnsi="Times New Roman" w:eastAsia="仿宋_GB2312" w:cs="Times New Roman"/>
                <w:color w:val="auto"/>
                <w:sz w:val="21"/>
                <w:szCs w:val="21"/>
                <w:lang w:val="en-US" w:eastAsia="zh-CN"/>
              </w:rPr>
              <w:t>所得平均分作为该校长的教学成绩分。</w:t>
            </w:r>
            <w:r>
              <w:rPr>
                <w:rFonts w:hint="eastAsia" w:ascii="Times New Roman" w:hAnsi="Times New Roman" w:eastAsia="仿宋_GB2312" w:cs="Times New Roman"/>
                <w:color w:val="auto"/>
                <w:sz w:val="21"/>
                <w:szCs w:val="21"/>
                <w:lang w:val="en-US" w:eastAsia="zh-CN"/>
              </w:rPr>
              <w:t>专职</w:t>
            </w:r>
            <w:r>
              <w:rPr>
                <w:rFonts w:hint="default" w:ascii="Times New Roman" w:hAnsi="Times New Roman" w:eastAsia="仿宋_GB2312" w:cs="Times New Roman"/>
                <w:color w:val="auto"/>
                <w:sz w:val="21"/>
                <w:szCs w:val="21"/>
                <w:lang w:val="en-US" w:eastAsia="zh-CN"/>
              </w:rPr>
              <w:t>书记教学成绩分可按校长教学成绩分的0.9系数计。</w:t>
            </w:r>
          </w:p>
        </w:tc>
        <w:tc>
          <w:tcPr>
            <w:tcW w:w="3267" w:type="dxa"/>
            <w:vMerge w:val="continue"/>
            <w:vAlign w:val="top"/>
          </w:tcPr>
          <w:p>
            <w:pPr>
              <w:widowControl w:val="0"/>
              <w:wordWrap/>
              <w:adjustRightInd/>
              <w:snapToGrid/>
              <w:spacing w:line="240" w:lineRule="auto"/>
              <w:ind w:right="0"/>
              <w:jc w:val="both"/>
              <w:textAlignment w:val="auto"/>
              <w:outlineLvl w:val="9"/>
              <w:rPr>
                <w:rFonts w:hint="default" w:ascii="Times New Roman" w:hAnsi="Times New Roman" w:eastAsia="仿宋_GB2312" w:cs="Times New Roman"/>
                <w:color w:val="auto"/>
                <w:sz w:val="21"/>
                <w:szCs w:val="21"/>
                <w:lang w:val="en-US" w:eastAsia="zh-CN"/>
              </w:rPr>
            </w:pPr>
          </w:p>
        </w:tc>
      </w:tr>
      <w:tr>
        <w:trPr>
          <w:trHeight w:val="2362" w:hRule="atLeast"/>
          <w:jc w:val="center"/>
        </w:trPr>
        <w:tc>
          <w:tcPr>
            <w:tcW w:w="724" w:type="dxa"/>
            <w:vMerge w:val="restart"/>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val="en-US" w:eastAsia="zh-CN"/>
              </w:rPr>
            </w:pPr>
          </w:p>
        </w:tc>
        <w:tc>
          <w:tcPr>
            <w:tcW w:w="1052" w:type="dxa"/>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小学非考试（书法、综实等考查学科教学成绩）</w:t>
            </w:r>
          </w:p>
        </w:tc>
        <w:tc>
          <w:tcPr>
            <w:tcW w:w="9693" w:type="dxa"/>
            <w:gridSpan w:val="4"/>
            <w:vAlign w:val="top"/>
          </w:tcPr>
          <w:p>
            <w:pPr>
              <w:widowControl w:val="0"/>
              <w:wordWrap/>
              <w:adjustRightInd/>
              <w:snapToGrid/>
              <w:spacing w:before="0" w:after="0" w:line="340" w:lineRule="exact"/>
              <w:ind w:left="0" w:leftChars="0" w:right="0" w:firstLine="0" w:firstLineChars="0"/>
              <w:jc w:val="both"/>
              <w:textAlignment w:val="auto"/>
              <w:outlineLvl w:val="9"/>
              <w:rPr>
                <w:rFonts w:hint="eastAsia"/>
                <w:lang w:val="en-US" w:eastAsia="zh-CN"/>
              </w:rPr>
            </w:pPr>
            <w:r>
              <w:rPr>
                <w:rFonts w:hint="eastAsia"/>
                <w:lang w:val="en-US" w:eastAsia="zh-CN"/>
              </w:rPr>
              <w:t>教绩考评分为过程性考评和结果性考评</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kern w:val="2"/>
                <w:sz w:val="21"/>
                <w:szCs w:val="21"/>
                <w:lang w:val="en-US" w:eastAsia="zh-CN" w:bidi="ar-SA"/>
              </w:rPr>
              <w:t>1.过程性考评（5分）：校级组织教学综合考评（含工作量、执行教学常规、教学工作等），（5分，由学校制定考评细则，满分100分），得分85分以上的，为优秀，5分；得分75-84分的，为良，得4分，得分74-60分的，为合格，3分；得分59分以上的，为不合格，得2分。</w:t>
            </w:r>
          </w:p>
          <w:p>
            <w:pPr>
              <w:widowControl w:val="0"/>
              <w:wordWrap/>
              <w:adjustRightInd/>
              <w:snapToGrid/>
              <w:spacing w:before="0" w:after="0" w:line="340" w:lineRule="exact"/>
              <w:ind w:left="0" w:leftChars="0" w:right="0" w:firstLine="0" w:firstLineChars="0"/>
              <w:jc w:val="both"/>
              <w:textAlignment w:val="auto"/>
              <w:outlineLvl w:val="9"/>
              <w:rPr>
                <w:rFonts w:hint="eastAsia" w:eastAsia="宋体"/>
                <w:lang w:val="en-US" w:eastAsia="zh-CN"/>
              </w:rPr>
            </w:pPr>
            <w:r>
              <w:rPr>
                <w:rFonts w:hint="eastAsia" w:ascii="Times New Roman" w:hAnsi="Times New Roman" w:eastAsia="仿宋_GB2312" w:cs="Times New Roman"/>
                <w:color w:val="auto"/>
                <w:kern w:val="2"/>
                <w:sz w:val="21"/>
                <w:szCs w:val="21"/>
                <w:lang w:val="en-US" w:eastAsia="zh-CN" w:bidi="ar-SA"/>
              </w:rPr>
              <w:t>2.结果性考评（25分）:</w:t>
            </w:r>
            <w:r>
              <w:rPr>
                <w:rFonts w:hint="default" w:ascii="Times New Roman" w:hAnsi="Times New Roman" w:eastAsia="仿宋_GB2312" w:cs="Times New Roman"/>
                <w:color w:val="auto"/>
                <w:kern w:val="2"/>
                <w:sz w:val="21"/>
                <w:szCs w:val="21"/>
                <w:lang w:val="en-US" w:eastAsia="zh-CN" w:bidi="ar-SA"/>
              </w:rPr>
              <w:t>按“指导学生获奖</w:t>
            </w:r>
            <w:r>
              <w:rPr>
                <w:rFonts w:hint="eastAsia" w:ascii="Times New Roman" w:hAnsi="Times New Roman" w:eastAsia="仿宋_GB2312" w:cs="Times New Roman"/>
                <w:color w:val="auto"/>
                <w:kern w:val="2"/>
                <w:sz w:val="21"/>
                <w:szCs w:val="21"/>
                <w:lang w:val="en-US" w:eastAsia="zh-CN" w:bidi="ar-SA"/>
              </w:rPr>
              <w:t>（4分）</w:t>
            </w:r>
            <w:r>
              <w:rPr>
                <w:rFonts w:hint="default" w:ascii="Times New Roman" w:hAnsi="Times New Roman" w:eastAsia="仿宋_GB2312" w:cs="Times New Roman"/>
                <w:color w:val="auto"/>
                <w:kern w:val="2"/>
                <w:sz w:val="21"/>
                <w:szCs w:val="21"/>
                <w:lang w:val="en-US" w:eastAsia="zh-CN" w:bidi="ar-SA"/>
              </w:rPr>
              <w:t>”、“</w:t>
            </w:r>
            <w:r>
              <w:rPr>
                <w:rFonts w:hint="eastAsia" w:ascii="Times New Roman" w:hAnsi="Times New Roman" w:eastAsia="仿宋_GB2312" w:cs="Times New Roman"/>
                <w:color w:val="auto"/>
                <w:kern w:val="2"/>
                <w:sz w:val="21"/>
                <w:szCs w:val="21"/>
                <w:lang w:val="en-US" w:eastAsia="zh-CN" w:bidi="ar-SA"/>
              </w:rPr>
              <w:t>综合</w:t>
            </w:r>
            <w:r>
              <w:rPr>
                <w:rFonts w:hint="default" w:ascii="Times New Roman" w:hAnsi="Times New Roman" w:eastAsia="仿宋_GB2312" w:cs="Times New Roman"/>
                <w:color w:val="auto"/>
                <w:kern w:val="2"/>
                <w:sz w:val="21"/>
                <w:szCs w:val="21"/>
                <w:lang w:val="en-US" w:eastAsia="zh-CN" w:bidi="ar-SA"/>
              </w:rPr>
              <w:t>表彰</w:t>
            </w:r>
            <w:r>
              <w:rPr>
                <w:rFonts w:hint="eastAsia" w:ascii="Times New Roman" w:hAnsi="Times New Roman" w:eastAsia="仿宋_GB2312" w:cs="Times New Roman"/>
                <w:color w:val="auto"/>
                <w:kern w:val="2"/>
                <w:sz w:val="21"/>
                <w:szCs w:val="21"/>
                <w:lang w:val="en-US" w:eastAsia="zh-CN" w:bidi="ar-SA"/>
              </w:rPr>
              <w:t>（3分）</w:t>
            </w:r>
            <w:r>
              <w:rPr>
                <w:rFonts w:hint="default" w:ascii="Times New Roman" w:hAnsi="Times New Roman" w:eastAsia="仿宋_GB2312" w:cs="Times New Roman"/>
                <w:color w:val="auto"/>
                <w:kern w:val="2"/>
                <w:sz w:val="21"/>
                <w:szCs w:val="21"/>
                <w:lang w:val="en-US" w:eastAsia="zh-CN" w:bidi="ar-SA"/>
              </w:rPr>
              <w:t>”、“教学评优课（含技能大赛</w:t>
            </w:r>
            <w:r>
              <w:rPr>
                <w:rFonts w:hint="eastAsia" w:ascii="Times New Roman" w:hAnsi="Times New Roman" w:eastAsia="仿宋_GB2312" w:cs="Times New Roman"/>
                <w:color w:val="auto"/>
                <w:kern w:val="2"/>
                <w:sz w:val="21"/>
                <w:szCs w:val="21"/>
                <w:lang w:val="en-US" w:eastAsia="zh-CN" w:bidi="ar-SA"/>
              </w:rPr>
              <w:t>，6分</w:t>
            </w:r>
            <w:r>
              <w:rPr>
                <w:rFonts w:hint="default" w:ascii="Times New Roman" w:hAnsi="Times New Roman" w:eastAsia="仿宋_GB2312" w:cs="Times New Roman"/>
                <w:color w:val="auto"/>
                <w:kern w:val="2"/>
                <w:sz w:val="21"/>
                <w:szCs w:val="21"/>
                <w:lang w:val="en-US" w:eastAsia="zh-CN" w:bidi="ar-SA"/>
              </w:rPr>
              <w:t>）”三项得分之和的2</w:t>
            </w:r>
            <w:r>
              <w:rPr>
                <w:rFonts w:hint="eastAsia" w:ascii="Times New Roman" w:hAnsi="Times New Roman" w:eastAsia="仿宋_GB2312" w:cs="Times New Roman"/>
                <w:color w:val="auto"/>
                <w:kern w:val="2"/>
                <w:sz w:val="21"/>
                <w:szCs w:val="21"/>
                <w:lang w:val="en-US" w:eastAsia="zh-CN" w:bidi="ar-SA"/>
              </w:rPr>
              <w:t>.2</w:t>
            </w:r>
            <w:r>
              <w:rPr>
                <w:rFonts w:hint="default" w:ascii="Times New Roman" w:hAnsi="Times New Roman" w:eastAsia="仿宋_GB2312" w:cs="Times New Roman"/>
                <w:color w:val="auto"/>
                <w:kern w:val="2"/>
                <w:sz w:val="21"/>
                <w:szCs w:val="21"/>
                <w:lang w:val="en-US" w:eastAsia="zh-CN" w:bidi="ar-SA"/>
              </w:rPr>
              <w:t>倍计分</w:t>
            </w:r>
            <w:r>
              <w:rPr>
                <w:rFonts w:hint="eastAsia" w:ascii="Times New Roman" w:hAnsi="Times New Roman" w:eastAsia="仿宋_GB2312" w:cs="Times New Roman"/>
                <w:color w:val="auto"/>
                <w:kern w:val="2"/>
                <w:sz w:val="21"/>
                <w:szCs w:val="21"/>
                <w:lang w:val="en-US" w:eastAsia="zh-CN" w:bidi="ar-SA"/>
              </w:rPr>
              <w:t>（封顶）</w:t>
            </w:r>
            <w:r>
              <w:rPr>
                <w:rFonts w:hint="default" w:ascii="Times New Roman" w:hAnsi="Times New Roman" w:eastAsia="仿宋_GB2312" w:cs="Times New Roman"/>
                <w:color w:val="auto"/>
                <w:kern w:val="2"/>
                <w:sz w:val="21"/>
                <w:szCs w:val="21"/>
                <w:lang w:val="en-US" w:eastAsia="zh-CN" w:bidi="ar-SA"/>
              </w:rPr>
              <w:t>。</w:t>
            </w:r>
          </w:p>
        </w:tc>
        <w:tc>
          <w:tcPr>
            <w:tcW w:w="3267" w:type="dxa"/>
            <w:vMerge w:val="continue"/>
            <w:vAlign w:val="top"/>
          </w:tcPr>
          <w:p>
            <w:pPr>
              <w:widowControl w:val="0"/>
              <w:wordWrap/>
              <w:adjustRightInd/>
              <w:snapToGrid/>
              <w:spacing w:line="240" w:lineRule="auto"/>
              <w:ind w:right="0"/>
              <w:jc w:val="both"/>
              <w:textAlignment w:val="auto"/>
              <w:outlineLvl w:val="9"/>
              <w:rPr>
                <w:rFonts w:hint="default" w:ascii="Times New Roman" w:hAnsi="Times New Roman" w:eastAsia="仿宋_GB2312" w:cs="Times New Roman"/>
                <w:color w:val="auto"/>
                <w:sz w:val="21"/>
                <w:szCs w:val="21"/>
                <w:lang w:val="en-US" w:eastAsia="zh-CN"/>
              </w:rPr>
            </w:pPr>
          </w:p>
        </w:tc>
      </w:tr>
      <w:tr>
        <w:trPr>
          <w:trHeight w:val="1151" w:hRule="atLeast"/>
          <w:jc w:val="center"/>
        </w:trPr>
        <w:tc>
          <w:tcPr>
            <w:tcW w:w="724" w:type="dxa"/>
            <w:vMerge w:val="continue"/>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val="en-US" w:eastAsia="zh-CN"/>
              </w:rPr>
            </w:pPr>
          </w:p>
        </w:tc>
        <w:tc>
          <w:tcPr>
            <w:tcW w:w="1052" w:type="dxa"/>
            <w:vAlign w:val="center"/>
          </w:tcPr>
          <w:p>
            <w:pPr>
              <w:widowControl w:val="0"/>
              <w:wordWrap/>
              <w:adjustRightInd/>
              <w:snapToGrid/>
              <w:spacing w:line="240" w:lineRule="auto"/>
              <w:ind w:right="0"/>
              <w:jc w:val="both"/>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sz w:val="21"/>
                <w:szCs w:val="21"/>
                <w:lang w:val="en-US" w:eastAsia="zh-CN"/>
              </w:rPr>
              <w:t>幼儿园</w:t>
            </w:r>
          </w:p>
        </w:tc>
        <w:tc>
          <w:tcPr>
            <w:tcW w:w="9693" w:type="dxa"/>
            <w:gridSpan w:val="4"/>
            <w:vAlign w:val="top"/>
          </w:tcPr>
          <w:p>
            <w:pPr>
              <w:widowControl w:val="0"/>
              <w:wordWrap/>
              <w:adjustRightInd/>
              <w:snapToGrid/>
              <w:spacing w:before="0" w:after="0" w:line="340" w:lineRule="exact"/>
              <w:ind w:left="0" w:leftChars="0" w:right="0" w:firstLine="0" w:firstLineChars="0"/>
              <w:jc w:val="both"/>
              <w:textAlignment w:val="auto"/>
              <w:outlineLvl w:val="9"/>
              <w:rPr>
                <w:rFonts w:hint="eastAsia"/>
                <w:lang w:val="en-US" w:eastAsia="zh-CN"/>
              </w:rPr>
            </w:pPr>
            <w:r>
              <w:rPr>
                <w:rFonts w:hint="eastAsia"/>
                <w:lang w:val="en-US" w:eastAsia="zh-CN"/>
              </w:rPr>
              <w:t>（一）幼儿园教师：</w:t>
            </w:r>
          </w:p>
          <w:p>
            <w:pPr>
              <w:widowControl w:val="0"/>
              <w:wordWrap/>
              <w:adjustRightInd/>
              <w:snapToGrid/>
              <w:spacing w:before="0" w:after="0" w:line="340" w:lineRule="exact"/>
              <w:ind w:left="0" w:leftChars="0" w:right="0" w:firstLine="0" w:firstLineChars="0"/>
              <w:jc w:val="both"/>
              <w:textAlignment w:val="auto"/>
              <w:outlineLvl w:val="9"/>
              <w:rPr>
                <w:rFonts w:hint="eastAsia"/>
                <w:lang w:val="en-US" w:eastAsia="zh-CN"/>
              </w:rPr>
            </w:pPr>
            <w:r>
              <w:rPr>
                <w:rFonts w:hint="eastAsia"/>
                <w:lang w:val="en-US" w:eastAsia="zh-CN"/>
              </w:rPr>
              <w:t>教绩考评分为过程性考评和结果性考评</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kern w:val="2"/>
                <w:sz w:val="21"/>
                <w:szCs w:val="21"/>
                <w:lang w:val="en-US" w:eastAsia="zh-CN" w:bidi="ar-SA"/>
              </w:rPr>
              <w:t>1.过程性考评（封顶5分）：幼儿园组织教学综合考评（含工作量、执行教学常规、教学工作等），（5分，由学校制定考评细则，满分100分），得分85分以上的，为优秀，5分；得分75-84分的，为良，得4分，得分74-60分的，为合格，3分；得分59分以上的，为不合格，得2分。</w:t>
            </w:r>
          </w:p>
          <w:p>
            <w:pPr>
              <w:pStyle w:val="2"/>
              <w:widowControl w:val="0"/>
              <w:wordWrap/>
              <w:adjustRightInd/>
              <w:snapToGrid/>
              <w:spacing w:before="0" w:after="0" w:line="340" w:lineRule="exact"/>
              <w:ind w:left="0" w:leftChars="0" w:right="0" w:firstLine="0" w:firstLineChars="0"/>
              <w:jc w:val="both"/>
              <w:textAlignment w:val="auto"/>
              <w:outlineLvl w:val="9"/>
              <w:rPr>
                <w:rFonts w:hint="eastAsia" w:ascii="Times New Roman" w:hAnsi="Times New Roman" w:eastAsia="仿宋_GB2312" w:cs="Times New Roman"/>
                <w:color w:val="auto"/>
                <w:sz w:val="21"/>
                <w:szCs w:val="21"/>
                <w:lang w:val="en-US" w:eastAsia="zh-CN"/>
              </w:rPr>
            </w:pPr>
            <w:r>
              <w:rPr>
                <w:rFonts w:hint="eastAsia" w:ascii="Times New Roman" w:hAnsi="Times New Roman" w:eastAsia="仿宋_GB2312" w:cs="Times New Roman"/>
                <w:color w:val="auto"/>
                <w:kern w:val="2"/>
                <w:sz w:val="21"/>
                <w:szCs w:val="21"/>
                <w:lang w:val="en-US" w:eastAsia="zh-CN" w:bidi="ar-SA"/>
              </w:rPr>
              <w:t>2.结果性考评（封顶25分）：城区</w:t>
            </w:r>
            <w:r>
              <w:rPr>
                <w:rFonts w:hint="default" w:ascii="Times New Roman" w:hAnsi="Times New Roman" w:eastAsia="仿宋_GB2312" w:cs="Times New Roman"/>
                <w:color w:val="auto"/>
                <w:sz w:val="21"/>
                <w:szCs w:val="21"/>
                <w:lang w:val="en-US" w:eastAsia="zh-CN"/>
              </w:rPr>
              <w:t>幼儿园普通教师按“指导学生获奖</w:t>
            </w:r>
            <w:r>
              <w:rPr>
                <w:rFonts w:hint="eastAsia" w:ascii="Times New Roman" w:hAnsi="Times New Roman" w:eastAsia="仿宋_GB2312" w:cs="Times New Roman"/>
                <w:color w:val="auto"/>
                <w:sz w:val="21"/>
                <w:szCs w:val="21"/>
                <w:lang w:val="en-US" w:eastAsia="zh-CN"/>
              </w:rPr>
              <w:t>（4分）</w:t>
            </w:r>
            <w:r>
              <w:rPr>
                <w:rFonts w:hint="default" w:ascii="Times New Roman" w:hAnsi="Times New Roman" w:eastAsia="仿宋_GB2312" w:cs="Times New Roman"/>
                <w:color w:val="auto"/>
                <w:sz w:val="21"/>
                <w:szCs w:val="21"/>
                <w:lang w:val="en-US" w:eastAsia="zh-CN"/>
              </w:rPr>
              <w:t>”、“综合表彰</w:t>
            </w:r>
            <w:r>
              <w:rPr>
                <w:rFonts w:hint="eastAsia" w:ascii="Times New Roman" w:hAnsi="Times New Roman" w:eastAsia="仿宋_GB2312" w:cs="Times New Roman"/>
                <w:color w:val="auto"/>
                <w:sz w:val="21"/>
                <w:szCs w:val="21"/>
                <w:lang w:val="en-US" w:eastAsia="zh-CN"/>
              </w:rPr>
              <w:t>（3分）</w:t>
            </w:r>
            <w:r>
              <w:rPr>
                <w:rFonts w:hint="default" w:ascii="Times New Roman" w:hAnsi="Times New Roman" w:eastAsia="仿宋_GB2312" w:cs="Times New Roman"/>
                <w:color w:val="auto"/>
                <w:sz w:val="21"/>
                <w:szCs w:val="21"/>
                <w:lang w:val="en-US" w:eastAsia="zh-CN"/>
              </w:rPr>
              <w:t>”、“教学评优课（含技能大赛</w:t>
            </w:r>
            <w:r>
              <w:rPr>
                <w:rFonts w:hint="eastAsia" w:ascii="Times New Roman" w:hAnsi="Times New Roman" w:eastAsia="仿宋_GB2312" w:cs="Times New Roman"/>
                <w:color w:val="auto"/>
                <w:sz w:val="21"/>
                <w:szCs w:val="21"/>
                <w:lang w:val="en-US" w:eastAsia="zh-CN"/>
              </w:rPr>
              <w:t>，6分</w:t>
            </w:r>
            <w:r>
              <w:rPr>
                <w:rFonts w:hint="default" w:ascii="Times New Roman" w:hAnsi="Times New Roman" w:eastAsia="仿宋_GB2312" w:cs="Times New Roman"/>
                <w:color w:val="auto"/>
                <w:sz w:val="21"/>
                <w:szCs w:val="21"/>
                <w:lang w:val="en-US" w:eastAsia="zh-CN"/>
              </w:rPr>
              <w:t>）”三项得分之和的2.</w:t>
            </w:r>
            <w:r>
              <w:rPr>
                <w:rFonts w:hint="eastAsia" w:ascii="Times New Roman" w:hAnsi="Times New Roman" w:eastAsia="仿宋_GB2312" w:cs="Times New Roman"/>
                <w:color w:val="auto"/>
                <w:sz w:val="21"/>
                <w:szCs w:val="21"/>
                <w:lang w:val="en-US" w:eastAsia="zh-CN"/>
              </w:rPr>
              <w:t>2</w:t>
            </w:r>
            <w:r>
              <w:rPr>
                <w:rFonts w:hint="default" w:ascii="Times New Roman" w:hAnsi="Times New Roman" w:eastAsia="仿宋_GB2312" w:cs="Times New Roman"/>
                <w:color w:val="auto"/>
                <w:sz w:val="21"/>
                <w:szCs w:val="21"/>
                <w:lang w:val="en-US" w:eastAsia="zh-CN"/>
              </w:rPr>
              <w:t>倍计分。</w:t>
            </w:r>
            <w:r>
              <w:rPr>
                <w:rFonts w:hint="eastAsia" w:ascii="Times New Roman" w:hAnsi="Times New Roman" w:eastAsia="仿宋_GB2312" w:cs="Times New Roman"/>
                <w:color w:val="auto"/>
                <w:sz w:val="21"/>
                <w:szCs w:val="21"/>
                <w:lang w:val="en-US" w:eastAsia="zh-CN"/>
              </w:rPr>
              <w:t>乡镇幼儿园教师按上述标准的2.4倍计分，乡镇</w:t>
            </w:r>
            <w:r>
              <w:rPr>
                <w:rFonts w:hint="default" w:ascii="Times New Roman" w:hAnsi="Times New Roman" w:eastAsia="仿宋_GB2312" w:cs="Times New Roman"/>
                <w:color w:val="auto"/>
                <w:sz w:val="21"/>
                <w:szCs w:val="21"/>
                <w:lang w:val="en-US" w:eastAsia="zh-CN"/>
              </w:rPr>
              <w:t>中心幼儿园园长</w:t>
            </w:r>
            <w:r>
              <w:rPr>
                <w:rFonts w:hint="eastAsia" w:ascii="Times New Roman" w:hAnsi="Times New Roman" w:eastAsia="仿宋_GB2312" w:cs="Times New Roman"/>
                <w:color w:val="auto"/>
                <w:sz w:val="21"/>
                <w:szCs w:val="21"/>
                <w:lang w:val="en-US" w:eastAsia="zh-CN"/>
              </w:rPr>
              <w:t>及村级幼儿园教师按上述标准的2.6倍计分。</w:t>
            </w:r>
          </w:p>
          <w:p>
            <w:pPr>
              <w:pStyle w:val="2"/>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kern w:val="2"/>
                <w:sz w:val="21"/>
                <w:szCs w:val="21"/>
                <w:lang w:val="en-US" w:eastAsia="zh-CN" w:bidi="ar-SA"/>
              </w:rPr>
            </w:pPr>
            <w:r>
              <w:rPr>
                <w:rFonts w:hint="eastAsia" w:ascii="Times New Roman" w:hAnsi="Times New Roman" w:eastAsia="仿宋_GB2312" w:cs="Times New Roman"/>
                <w:color w:val="auto"/>
                <w:sz w:val="21"/>
                <w:szCs w:val="21"/>
                <w:lang w:val="en-US" w:eastAsia="zh-CN"/>
              </w:rPr>
              <w:t>（二）县直园园长：</w:t>
            </w:r>
            <w:r>
              <w:rPr>
                <w:rFonts w:hint="default" w:ascii="Times New Roman" w:hAnsi="Times New Roman" w:eastAsia="仿宋_GB2312" w:cs="Times New Roman"/>
                <w:color w:val="auto"/>
                <w:kern w:val="2"/>
                <w:sz w:val="21"/>
                <w:szCs w:val="21"/>
                <w:lang w:val="en-US" w:eastAsia="zh-CN" w:bidi="ar-SA"/>
              </w:rPr>
              <w:t>县直幼儿园</w:t>
            </w:r>
            <w:r>
              <w:rPr>
                <w:rFonts w:hint="eastAsia" w:ascii="Times New Roman" w:hAnsi="Times New Roman" w:eastAsia="仿宋_GB2312" w:cs="Times New Roman"/>
                <w:color w:val="auto"/>
                <w:kern w:val="2"/>
                <w:sz w:val="21"/>
                <w:szCs w:val="21"/>
                <w:lang w:val="en-US" w:eastAsia="zh-CN" w:bidi="ar-SA"/>
              </w:rPr>
              <w:t>书记、</w:t>
            </w:r>
            <w:r>
              <w:rPr>
                <w:rFonts w:hint="default" w:ascii="Times New Roman" w:hAnsi="Times New Roman" w:eastAsia="仿宋_GB2312" w:cs="Times New Roman"/>
                <w:color w:val="auto"/>
                <w:kern w:val="2"/>
                <w:sz w:val="21"/>
                <w:szCs w:val="21"/>
                <w:lang w:val="en-US" w:eastAsia="zh-CN" w:bidi="ar-SA"/>
              </w:rPr>
              <w:t>园长按幼儿园目标管理督导评估结果</w:t>
            </w:r>
            <w:r>
              <w:rPr>
                <w:rFonts w:hint="eastAsia" w:ascii="Times New Roman" w:hAnsi="Times New Roman" w:eastAsia="仿宋_GB2312" w:cs="Times New Roman"/>
                <w:color w:val="auto"/>
                <w:kern w:val="2"/>
                <w:sz w:val="21"/>
                <w:szCs w:val="21"/>
                <w:lang w:val="en-US" w:eastAsia="zh-CN" w:bidi="ar-SA"/>
              </w:rPr>
              <w:t>或绩效考评</w:t>
            </w:r>
            <w:r>
              <w:rPr>
                <w:rFonts w:hint="default" w:ascii="Times New Roman" w:hAnsi="Times New Roman" w:eastAsia="仿宋_GB2312" w:cs="Times New Roman"/>
                <w:color w:val="auto"/>
                <w:kern w:val="2"/>
                <w:sz w:val="21"/>
                <w:szCs w:val="21"/>
                <w:lang w:val="en-US" w:eastAsia="zh-CN" w:bidi="ar-SA"/>
              </w:rPr>
              <w:t>计分。目标管理督导评估一等奖园长每次计45分/学年；二等奖园长每次计40分/学年；三等奖园长每次计38分</w:t>
            </w:r>
            <w:r>
              <w:rPr>
                <w:rFonts w:hint="default" w:ascii="Times New Roman" w:hAnsi="Times New Roman" w:eastAsia="仿宋_GB2312" w:cs="Times New Roman"/>
                <w:strike/>
                <w:dstrike w:val="0"/>
                <w:color w:val="auto"/>
                <w:kern w:val="2"/>
                <w:sz w:val="21"/>
                <w:szCs w:val="21"/>
                <w:lang w:val="en-US" w:eastAsia="zh-CN" w:bidi="ar-SA"/>
              </w:rPr>
              <w:t>,</w:t>
            </w:r>
            <w:r>
              <w:rPr>
                <w:rFonts w:hint="default" w:ascii="Times New Roman" w:hAnsi="Times New Roman" w:eastAsia="仿宋_GB2312" w:cs="Times New Roman"/>
                <w:color w:val="auto"/>
                <w:kern w:val="2"/>
                <w:sz w:val="21"/>
                <w:szCs w:val="21"/>
                <w:lang w:val="en-US" w:eastAsia="zh-CN" w:bidi="ar-SA"/>
              </w:rPr>
              <w:t>评估达合格线以上的，园长每次计35分，取规定年限实际参加目标管理督导评估得分的平均分为教绩分；园长也可按绩效考核计分，绩效考核获一等奖给40分，二等奖给38分，三等奖给35分，所得平均分作为该园长的教学成绩分。</w:t>
            </w:r>
          </w:p>
          <w:p>
            <w:pPr>
              <w:widowControl w:val="0"/>
              <w:wordWrap/>
              <w:adjustRightInd/>
              <w:snapToGrid/>
              <w:spacing w:before="0" w:after="0" w:line="340" w:lineRule="exact"/>
              <w:ind w:left="0" w:leftChars="0" w:right="0" w:firstLine="0" w:firstLineChars="0"/>
              <w:jc w:val="both"/>
              <w:textAlignment w:val="auto"/>
              <w:outlineLvl w:val="9"/>
              <w:rPr>
                <w:rFonts w:hint="default" w:ascii="Times New Roman" w:hAnsi="Times New Roman" w:eastAsia="仿宋_GB2312" w:cs="Times New Roman"/>
                <w:color w:val="auto"/>
                <w:sz w:val="21"/>
                <w:szCs w:val="21"/>
                <w:lang w:val="en-US" w:eastAsia="zh-CN"/>
              </w:rPr>
            </w:pPr>
          </w:p>
        </w:tc>
        <w:tc>
          <w:tcPr>
            <w:tcW w:w="3267" w:type="dxa"/>
            <w:vMerge w:val="continue"/>
            <w:vAlign w:val="top"/>
          </w:tcPr>
          <w:p>
            <w:pPr>
              <w:widowControl w:val="0"/>
              <w:wordWrap/>
              <w:adjustRightInd/>
              <w:snapToGrid/>
              <w:spacing w:line="240" w:lineRule="auto"/>
              <w:ind w:right="0"/>
              <w:jc w:val="both"/>
              <w:textAlignment w:val="auto"/>
              <w:outlineLvl w:val="9"/>
              <w:rPr>
                <w:rFonts w:hint="default" w:ascii="Times New Roman" w:hAnsi="Times New Roman" w:eastAsia="仿宋_GB2312" w:cs="Times New Roman"/>
                <w:color w:val="auto"/>
                <w:sz w:val="21"/>
                <w:szCs w:val="21"/>
                <w:lang w:val="en-US" w:eastAsia="zh-CN"/>
              </w:rPr>
            </w:pPr>
          </w:p>
        </w:tc>
      </w:tr>
    </w:tbl>
    <w:p>
      <w:pPr>
        <w:widowControl w:val="0"/>
        <w:wordWrap/>
        <w:adjustRightInd/>
        <w:snapToGrid/>
        <w:spacing w:line="240" w:lineRule="auto"/>
        <w:ind w:right="0"/>
        <w:jc w:val="both"/>
        <w:textAlignment w:val="auto"/>
        <w:outlineLvl w:val="9"/>
        <w:rPr>
          <w:rFonts w:hint="default" w:ascii="Times New Roman" w:hAnsi="Times New Roman" w:eastAsia="仿宋_GB2312" w:cs="Times New Roman"/>
          <w:color w:val="auto"/>
          <w:sz w:val="21"/>
          <w:szCs w:val="21"/>
          <w:lang w:val="en-US" w:eastAsia="zh-CN"/>
        </w:rPr>
      </w:pPr>
      <w:bookmarkStart w:id="0" w:name="_GoBack"/>
      <w:bookmarkEnd w:id="0"/>
    </w:p>
    <w:sectPr>
      <w:footerReference r:id="rId4" w:type="default"/>
      <w:pgSz w:w="16838" w:h="11906" w:orient="landscape"/>
      <w:pgMar w:top="1417" w:right="1474" w:bottom="1417" w:left="1587" w:header="1417" w:footer="1304" w:gutter="0"/>
      <w:paperSrc w:first="0" w:other="0"/>
      <w:cols w:space="720" w:num="1"/>
      <w:rtlGutter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Calibri" w:hAnsi="Calibri" w:eastAsia="宋体" w:cs="Times New Roman"/>
        <w:kern w:val="2"/>
        <w:sz w:val="18"/>
        <w:szCs w:val="21"/>
        <w:lang w:val="en-US" w:eastAsia="zh-CN" w:bidi="ar-SA"/>
      </w:rPr>
      <w:pict>
        <v:rect id="文本框 1" o:spid="_x0000_s1025" style="position:absolute;left:0;margin-top:0pt;height:144pt;width:144pt;mso-position-horizontal:outside;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qFormat/>
    <w:uiPriority w:val="0"/>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3135</Words>
  <Characters>3270</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2025-04-21T08:47:00Z</dcterms:created>
  <dc:creator>Administrator</dc:creator>
  <cp:lastModifiedBy>1</cp:lastModifiedBy>
  <cp:lastPrinted>2025-04-22T03:40:00Z</cp:lastPrinted>
  <dcterms:modified xsi:type="dcterms:W3CDTF">2026-03-13T06:45:16Z</dcterms:modified>
  <dc:title>附件1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y fmtid="{D5CDD505-2E9C-101B-9397-08002B2CF9AE}" pid="3" name="ICV">
    <vt:lpwstr>B82795710398409381BBF48A518E31D7_12</vt:lpwstr>
  </property>
  <property fmtid="{D5CDD505-2E9C-101B-9397-08002B2CF9AE}" pid="4" name="KSOTemplateDocerSaveRecord">
    <vt:lpwstr>eyJoZGlkIjoiNWM2YjkwMzUzODgwM2M0NTcxNTgyZTEyZDNkYzUwZGUiLCJ1c2VySWQiOiI3MDk2NzU1MTgifQ==</vt:lpwstr>
  </property>
</Properties>
</file>