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641"/>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附件1</w:t>
      </w:r>
    </w:p>
    <w:p>
      <w:pPr>
        <w:spacing w:line="600" w:lineRule="exact"/>
        <w:ind w:right="641"/>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上杭县集体土地上</w:t>
      </w:r>
    </w:p>
    <w:p>
      <w:pPr>
        <w:spacing w:line="600" w:lineRule="exact"/>
        <w:ind w:right="641"/>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kern w:val="0"/>
          <w:sz w:val="44"/>
          <w:szCs w:val="44"/>
        </w:rPr>
        <w:t>征收房屋</w:t>
      </w:r>
      <w:r>
        <w:rPr>
          <w:rFonts w:hint="default" w:ascii="Times New Roman" w:hAnsi="Times New Roman" w:eastAsia="方正小标宋简体" w:cs="Times New Roman"/>
          <w:color w:val="000000"/>
          <w:sz w:val="44"/>
          <w:szCs w:val="44"/>
        </w:rPr>
        <w:t>二次装修补偿单价评估明细表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4876"/>
        <w:gridCol w:w="1911"/>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exact"/>
          <w:tblHeader/>
          <w:jc w:val="center"/>
        </w:trPr>
        <w:tc>
          <w:tcPr>
            <w:tcW w:w="818" w:type="dxa"/>
            <w:vMerge w:val="restart"/>
            <w:noWrap w:val="0"/>
            <w:vAlign w:val="center"/>
          </w:tcPr>
          <w:p>
            <w:pPr>
              <w:widowControl/>
              <w:spacing w:line="4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序号</w:t>
            </w:r>
          </w:p>
        </w:tc>
        <w:tc>
          <w:tcPr>
            <w:tcW w:w="4876" w:type="dxa"/>
            <w:vMerge w:val="restart"/>
            <w:noWrap w:val="0"/>
            <w:vAlign w:val="center"/>
          </w:tcPr>
          <w:p>
            <w:pPr>
              <w:widowControl/>
              <w:spacing w:line="4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装修材料</w:t>
            </w:r>
          </w:p>
        </w:tc>
        <w:tc>
          <w:tcPr>
            <w:tcW w:w="1911" w:type="dxa"/>
            <w:vMerge w:val="restart"/>
            <w:noWrap w:val="0"/>
            <w:vAlign w:val="center"/>
          </w:tcPr>
          <w:p>
            <w:pPr>
              <w:widowControl/>
              <w:spacing w:line="4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 xml:space="preserve"> 单位</w:t>
            </w:r>
          </w:p>
        </w:tc>
        <w:tc>
          <w:tcPr>
            <w:tcW w:w="1279" w:type="dxa"/>
            <w:vMerge w:val="restart"/>
            <w:noWrap w:val="0"/>
            <w:vAlign w:val="center"/>
          </w:tcPr>
          <w:p>
            <w:pPr>
              <w:widowControl/>
              <w:spacing w:line="460" w:lineRule="exact"/>
              <w:jc w:val="center"/>
              <w:rPr>
                <w:rFonts w:hint="default" w:ascii="Times New Roman" w:hAnsi="Times New Roman" w:eastAsia="仿宋_GB2312" w:cs="Times New Roman"/>
                <w:b/>
                <w:kern w:val="0"/>
                <w:sz w:val="22"/>
              </w:rPr>
            </w:pPr>
            <w:r>
              <w:rPr>
                <w:rFonts w:hint="default" w:ascii="Times New Roman" w:hAnsi="Times New Roman" w:eastAsia="仿宋_GB2312" w:cs="Times New Roman"/>
                <w:b/>
                <w:kern w:val="0"/>
                <w:sz w:val="22"/>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818" w:type="dxa"/>
            <w:vMerge w:val="continue"/>
            <w:noWrap w:val="0"/>
            <w:vAlign w:val="center"/>
          </w:tcPr>
          <w:p>
            <w:pPr>
              <w:widowControl/>
              <w:spacing w:line="460" w:lineRule="exact"/>
              <w:jc w:val="left"/>
              <w:rPr>
                <w:rFonts w:hint="default" w:ascii="Times New Roman" w:hAnsi="Times New Roman" w:eastAsia="仿宋_GB2312" w:cs="Times New Roman"/>
                <w:kern w:val="0"/>
                <w:sz w:val="24"/>
              </w:rPr>
            </w:pPr>
          </w:p>
        </w:tc>
        <w:tc>
          <w:tcPr>
            <w:tcW w:w="4876" w:type="dxa"/>
            <w:vMerge w:val="continue"/>
            <w:noWrap w:val="0"/>
            <w:vAlign w:val="center"/>
          </w:tcPr>
          <w:p>
            <w:pPr>
              <w:widowControl/>
              <w:spacing w:line="460" w:lineRule="exact"/>
              <w:jc w:val="left"/>
              <w:rPr>
                <w:rFonts w:hint="default" w:ascii="Times New Roman" w:hAnsi="Times New Roman" w:eastAsia="仿宋_GB2312" w:cs="Times New Roman"/>
                <w:kern w:val="0"/>
                <w:sz w:val="24"/>
              </w:rPr>
            </w:pPr>
          </w:p>
        </w:tc>
        <w:tc>
          <w:tcPr>
            <w:tcW w:w="1911" w:type="dxa"/>
            <w:vMerge w:val="continue"/>
            <w:noWrap w:val="0"/>
            <w:vAlign w:val="center"/>
          </w:tcPr>
          <w:p>
            <w:pPr>
              <w:widowControl/>
              <w:spacing w:line="460" w:lineRule="exact"/>
              <w:jc w:val="left"/>
              <w:rPr>
                <w:rFonts w:hint="default" w:ascii="Times New Roman" w:hAnsi="Times New Roman" w:eastAsia="仿宋_GB2312" w:cs="Times New Roman"/>
                <w:kern w:val="0"/>
                <w:sz w:val="24"/>
              </w:rPr>
            </w:pPr>
          </w:p>
        </w:tc>
        <w:tc>
          <w:tcPr>
            <w:tcW w:w="1279" w:type="dxa"/>
            <w:vMerge w:val="continue"/>
            <w:noWrap w:val="0"/>
            <w:vAlign w:val="center"/>
          </w:tcPr>
          <w:p>
            <w:pPr>
              <w:widowControl/>
              <w:spacing w:line="460" w:lineRule="exact"/>
              <w:jc w:val="left"/>
              <w:rPr>
                <w:rFonts w:hint="default"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彩色水磨石地面</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tabs>
                <w:tab w:val="left" w:pos="1077"/>
              </w:tabs>
              <w:spacing w:line="460" w:lineRule="exact"/>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防滑地砖</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普通瓷砖地面</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玻化砖地面</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碎大理石地面</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6</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外墙瓷砖贴面</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7</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外墙洗砂（或干粘石）</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8</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花岗岩地面</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9</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普通实木地板(或金刚板)</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高级实木地板</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11</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木天棚</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12</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宝丽板吊顶</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13</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纤维板吊顶</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14</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塑扣板吊顶</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15</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硅钙板有造型吊顶</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16</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铝扣板吊顶</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17</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铝合金窗与木窗补差</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18</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附加普通防盗铁门补差</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19</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卷闸门补差</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20</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铁拉网门补差</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21</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不锈钢拉网门补差</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22</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不锈钢防盗门（制作）补差</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46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23</w:t>
            </w:r>
          </w:p>
        </w:tc>
        <w:tc>
          <w:tcPr>
            <w:tcW w:w="4876" w:type="dxa"/>
            <w:noWrap w:val="0"/>
            <w:vAlign w:val="center"/>
          </w:tcPr>
          <w:p>
            <w:pPr>
              <w:widowControl/>
              <w:spacing w:line="4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成品防盗门</w:t>
            </w:r>
          </w:p>
        </w:tc>
        <w:tc>
          <w:tcPr>
            <w:tcW w:w="1911" w:type="dxa"/>
            <w:noWrap w:val="0"/>
            <w:vAlign w:val="bottom"/>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w:t>
            </w:r>
          </w:p>
        </w:tc>
        <w:tc>
          <w:tcPr>
            <w:tcW w:w="1279" w:type="dxa"/>
            <w:noWrap w:val="0"/>
            <w:vAlign w:val="center"/>
          </w:tcPr>
          <w:p>
            <w:pPr>
              <w:widowControl/>
              <w:spacing w:line="4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18"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①</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单层防盗门</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元/副</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18"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②</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双层烤漆钢板门</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元/副</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18"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③</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双层不锈钢防盗门</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元/副</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24</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普通铁防盗网</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25</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不锈钢防盗网</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26</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不锈钢扶手、实木栏杆扶手</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元/延米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27</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木墙裙</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28</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不锈钢水箱</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元/立方米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29</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固定橱柜（下柜）</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元/延米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30</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固定橱柜（上柜）</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元/延米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31</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固定鞋柜</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元/个</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32</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固定衣柜（高1.8米以上）</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元/延米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33</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客厅装饰隔断</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34</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屋面砖砌女儿墙（钢筋混凝土压顶）</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35</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硫璃瓦贴面</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36</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钢筋混凝土天沟</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37</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屋面预制板架空隔热层</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38</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屋面钢筋混凝土斜板栏杆</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39</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木包门与普通木门补差</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元/扇</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40</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实木豪华门与普通木门补差</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元/扇</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41</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塑钢门与木门补差</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元/扇</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42</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太阳能热水器迁移费</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元/台</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43</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成品淋浴房</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元/个</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44</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现场制作淋浴房</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元/个</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45</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水泥漆(或油漆墙裙)补差</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46</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石膏线条(或木花边线条)补差</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47</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木窗帘盒补差</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48</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彩钢瓦钢棚</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49</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围护彩钢棚房</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元/平方米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50</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水泥预制管直径30c米以下的（户外）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水泥预制管直径30c米～80c米的（户外）</w:t>
            </w:r>
          </w:p>
        </w:tc>
        <w:tc>
          <w:tcPr>
            <w:tcW w:w="1911" w:type="dxa"/>
            <w:noWrap w:val="0"/>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水泥预制管直径80c米以上（户外）</w:t>
            </w:r>
          </w:p>
        </w:tc>
        <w:tc>
          <w:tcPr>
            <w:tcW w:w="1911" w:type="dxa"/>
            <w:noWrap w:val="0"/>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51</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铸铁管直径4寸以下（户外）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铸铁管直径4寸以上（户外）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52</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镀锌管直径6分以下（户外）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镀锌管直径1寸（户外）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镀锌管直径2寸（户外）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镀锌管直径2.5寸（户外）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镀锌管直径3寸（户外）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53</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PVC管直径6分（户外）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PVC管直径1寸（户外）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PVC管直径1.5寸～2寸（户外）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PVC管直径3寸（户外）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PVC管直径4寸（户外）</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元/米</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54</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水泥电杆长8米以下</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元/根</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noWrap w:val="0"/>
            <w:vAlign w:val="center"/>
          </w:tcPr>
          <w:p>
            <w:pPr>
              <w:widowControl/>
              <w:spacing w:line="380" w:lineRule="exact"/>
              <w:jc w:val="center"/>
              <w:rPr>
                <w:rFonts w:hint="default" w:ascii="Times New Roman" w:hAnsi="Times New Roman" w:eastAsia="仿宋_GB2312" w:cs="Times New Roman"/>
                <w:bCs/>
                <w:kern w:val="0"/>
                <w:sz w:val="24"/>
              </w:rPr>
            </w:pP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水泥电杆长8米以上</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元/根</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noWrap w:val="0"/>
            <w:vAlign w:val="center"/>
          </w:tcPr>
          <w:p>
            <w:pPr>
              <w:widowControl/>
              <w:spacing w:line="380" w:lineRule="exact"/>
              <w:jc w:val="center"/>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55</w:t>
            </w:r>
          </w:p>
        </w:tc>
        <w:tc>
          <w:tcPr>
            <w:tcW w:w="4876" w:type="dxa"/>
            <w:noWrap w:val="0"/>
            <w:vAlign w:val="center"/>
          </w:tcPr>
          <w:p>
            <w:pPr>
              <w:widowControl/>
              <w:spacing w:line="38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木头电杆</w:t>
            </w:r>
          </w:p>
        </w:tc>
        <w:tc>
          <w:tcPr>
            <w:tcW w:w="1911"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元/根</w:t>
            </w:r>
          </w:p>
        </w:tc>
        <w:tc>
          <w:tcPr>
            <w:tcW w:w="1279" w:type="dxa"/>
            <w:noWrap w:val="0"/>
            <w:vAlign w:val="center"/>
          </w:tcPr>
          <w:p>
            <w:pPr>
              <w:widowControl/>
              <w:spacing w:line="38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100</w:t>
            </w:r>
          </w:p>
        </w:tc>
      </w:tr>
    </w:tbl>
    <w:p>
      <w:pPr>
        <w:spacing w:line="400" w:lineRule="exact"/>
        <w:ind w:right="879"/>
        <w:rPr>
          <w:rFonts w:hint="default" w:ascii="Times New Roman" w:hAnsi="Times New Roman" w:eastAsia="黑体" w:cs="Times New Roman"/>
          <w:color w:val="000000"/>
          <w:sz w:val="32"/>
          <w:szCs w:val="32"/>
        </w:rPr>
      </w:pPr>
      <w:r>
        <w:rPr>
          <w:rFonts w:hint="default" w:ascii="Times New Roman" w:hAnsi="Times New Roman" w:eastAsia="仿宋_GB2312" w:cs="Times New Roman"/>
        </w:rPr>
        <w:br w:type="page"/>
      </w:r>
      <w:r>
        <w:rPr>
          <w:rFonts w:hint="default" w:ascii="Times New Roman" w:hAnsi="Times New Roman" w:eastAsia="黑体" w:cs="Times New Roman"/>
          <w:color w:val="000000"/>
          <w:sz w:val="32"/>
          <w:szCs w:val="32"/>
        </w:rPr>
        <w:t>附件2</w:t>
      </w:r>
    </w:p>
    <w:p>
      <w:pPr>
        <w:spacing w:line="200" w:lineRule="exact"/>
        <w:ind w:right="879"/>
        <w:rPr>
          <w:rFonts w:hint="default" w:ascii="Times New Roman" w:hAnsi="Times New Roman" w:eastAsia="黑体"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17" w:rightChars="0" w:firstLine="0" w:firstLineChars="0"/>
        <w:jc w:val="center"/>
        <w:textAlignment w:val="auto"/>
        <w:outlineLvl w:val="9"/>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rPr>
        <w:t>上杭县集体土地上征收房屋</w:t>
      </w:r>
    </w:p>
    <w:p>
      <w:pPr>
        <w:keepNext w:val="0"/>
        <w:keepLines w:val="0"/>
        <w:pageBreakBefore w:val="0"/>
        <w:widowControl w:val="0"/>
        <w:kinsoku/>
        <w:wordWrap/>
        <w:overflowPunct/>
        <w:topLinePunct w:val="0"/>
        <w:autoSpaceDE/>
        <w:autoSpaceDN/>
        <w:bidi w:val="0"/>
        <w:adjustRightInd/>
        <w:snapToGrid/>
        <w:spacing w:line="480" w:lineRule="exact"/>
        <w:ind w:left="0" w:leftChars="0" w:right="-17" w:rightChars="0" w:firstLine="0" w:firstLineChars="0"/>
        <w:jc w:val="center"/>
        <w:textAlignment w:val="auto"/>
        <w:outlineLvl w:val="9"/>
        <w:rPr>
          <w:rFonts w:hint="default" w:ascii="Times New Roman" w:hAnsi="Times New Roman" w:eastAsia="方正小标宋简体" w:cs="Times New Roman"/>
          <w:color w:val="000000"/>
          <w:sz w:val="36"/>
          <w:szCs w:val="36"/>
        </w:rPr>
      </w:pPr>
      <w:r>
        <w:rPr>
          <w:rFonts w:hint="default" w:ascii="Times New Roman" w:hAnsi="Times New Roman" w:eastAsia="方正小标宋简体" w:cs="Times New Roman"/>
          <w:color w:val="000000"/>
          <w:sz w:val="36"/>
          <w:szCs w:val="36"/>
        </w:rPr>
        <w:t>附属设施、构筑物补偿单价评估明细表</w:t>
      </w:r>
    </w:p>
    <w:tbl>
      <w:tblPr>
        <w:tblStyle w:val="2"/>
        <w:tblW w:w="0" w:type="auto"/>
        <w:tblInd w:w="91" w:type="dxa"/>
        <w:tblLayout w:type="fixed"/>
        <w:tblCellMar>
          <w:top w:w="0" w:type="dxa"/>
          <w:left w:w="108" w:type="dxa"/>
          <w:bottom w:w="0" w:type="dxa"/>
          <w:right w:w="108" w:type="dxa"/>
        </w:tblCellMar>
      </w:tblPr>
      <w:tblGrid>
        <w:gridCol w:w="695"/>
        <w:gridCol w:w="1417"/>
        <w:gridCol w:w="615"/>
        <w:gridCol w:w="213"/>
        <w:gridCol w:w="55"/>
        <w:gridCol w:w="1898"/>
        <w:gridCol w:w="2106"/>
        <w:gridCol w:w="1859"/>
      </w:tblGrid>
      <w:tr>
        <w:tblPrEx>
          <w:tblCellMar>
            <w:top w:w="0" w:type="dxa"/>
            <w:left w:w="108" w:type="dxa"/>
            <w:bottom w:w="0" w:type="dxa"/>
            <w:right w:w="108" w:type="dxa"/>
          </w:tblCellMar>
        </w:tblPrEx>
        <w:trPr>
          <w:trHeight w:val="280" w:hRule="atLeast"/>
        </w:trPr>
        <w:tc>
          <w:tcPr>
            <w:tcW w:w="6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left="-105" w:leftChars="-50" w:right="-105" w:rightChars="-50"/>
              <w:jc w:val="center"/>
              <w:rPr>
                <w:rFonts w:hint="default" w:ascii="Times New Roman" w:hAnsi="Times New Roman" w:eastAsia="楷体_GB2312" w:cs="Times New Roman"/>
                <w:b/>
                <w:color w:val="000000"/>
                <w:kern w:val="0"/>
                <w:sz w:val="24"/>
              </w:rPr>
            </w:pPr>
            <w:r>
              <w:rPr>
                <w:rFonts w:hint="default" w:ascii="Times New Roman" w:hAnsi="Times New Roman" w:eastAsia="楷体_GB2312" w:cs="Times New Roman"/>
                <w:b/>
                <w:color w:val="000000"/>
                <w:kern w:val="0"/>
                <w:sz w:val="24"/>
              </w:rPr>
              <w:t>序号</w:t>
            </w:r>
          </w:p>
        </w:tc>
        <w:tc>
          <w:tcPr>
            <w:tcW w:w="4198" w:type="dxa"/>
            <w:gridSpan w:val="5"/>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b/>
                <w:color w:val="000000"/>
                <w:kern w:val="0"/>
                <w:sz w:val="24"/>
              </w:rPr>
            </w:pPr>
            <w:r>
              <w:rPr>
                <w:rFonts w:hint="default" w:ascii="Times New Roman" w:hAnsi="Times New Roman" w:eastAsia="楷体_GB2312" w:cs="Times New Roman"/>
                <w:b/>
                <w:color w:val="000000"/>
                <w:kern w:val="0"/>
                <w:sz w:val="24"/>
              </w:rPr>
              <w:t>项  目</w:t>
            </w:r>
          </w:p>
        </w:tc>
        <w:tc>
          <w:tcPr>
            <w:tcW w:w="210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b/>
                <w:color w:val="000000"/>
                <w:kern w:val="0"/>
                <w:sz w:val="24"/>
              </w:rPr>
            </w:pPr>
            <w:r>
              <w:rPr>
                <w:rFonts w:hint="default" w:ascii="Times New Roman" w:hAnsi="Times New Roman" w:eastAsia="楷体_GB2312" w:cs="Times New Roman"/>
                <w:b/>
                <w:color w:val="000000"/>
                <w:kern w:val="0"/>
                <w:sz w:val="24"/>
              </w:rPr>
              <w:t>单  位</w:t>
            </w:r>
          </w:p>
        </w:tc>
        <w:tc>
          <w:tcPr>
            <w:tcW w:w="185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b/>
                <w:kern w:val="0"/>
                <w:sz w:val="24"/>
              </w:rPr>
            </w:pPr>
            <w:r>
              <w:rPr>
                <w:rFonts w:hint="default" w:ascii="Times New Roman" w:hAnsi="Times New Roman" w:eastAsia="楷体_GB2312" w:cs="Times New Roman"/>
                <w:b/>
                <w:kern w:val="0"/>
                <w:sz w:val="24"/>
              </w:rPr>
              <w:t>单  价</w:t>
            </w:r>
          </w:p>
        </w:tc>
      </w:tr>
      <w:tr>
        <w:tblPrEx>
          <w:tblCellMar>
            <w:top w:w="0" w:type="dxa"/>
            <w:left w:w="108" w:type="dxa"/>
            <w:bottom w:w="0" w:type="dxa"/>
            <w:right w:w="108" w:type="dxa"/>
          </w:tblCellMar>
        </w:tblPrEx>
        <w:trPr>
          <w:trHeight w:val="312" w:hRule="atLeast"/>
        </w:trPr>
        <w:tc>
          <w:tcPr>
            <w:tcW w:w="6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4198" w:type="dxa"/>
            <w:gridSpan w:val="5"/>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210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85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kern w:val="0"/>
                <w:sz w:val="24"/>
              </w:rPr>
            </w:pPr>
          </w:p>
        </w:tc>
      </w:tr>
      <w:tr>
        <w:tblPrEx>
          <w:tblCellMar>
            <w:top w:w="0" w:type="dxa"/>
            <w:left w:w="108" w:type="dxa"/>
            <w:bottom w:w="0" w:type="dxa"/>
            <w:right w:w="108" w:type="dxa"/>
          </w:tblCellMar>
        </w:tblPrEx>
        <w:trPr>
          <w:trHeight w:val="113" w:hRule="atLeas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独立门楼       （顶有雨盖）</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土木、木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315</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砖木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360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混凝土</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405</w:t>
            </w:r>
          </w:p>
        </w:tc>
      </w:tr>
      <w:tr>
        <w:tblPrEx>
          <w:tblCellMar>
            <w:top w:w="0" w:type="dxa"/>
            <w:left w:w="108" w:type="dxa"/>
            <w:bottom w:w="0" w:type="dxa"/>
            <w:right w:w="108" w:type="dxa"/>
          </w:tblCellMar>
        </w:tblPrEx>
        <w:trPr>
          <w:trHeight w:val="113" w:hRule="atLeas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2</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围墙           （照墙）</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夯土</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140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883"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砖砌</w:t>
            </w:r>
          </w:p>
        </w:tc>
        <w:tc>
          <w:tcPr>
            <w:tcW w:w="18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12墙</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140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883"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18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18墙</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190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883"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189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24墙</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250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3</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混凝土雨坪、天井</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35</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4</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尚未建造房屋的乱毛石基础</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元/立方米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235</w:t>
            </w:r>
          </w:p>
        </w:tc>
      </w:tr>
      <w:tr>
        <w:tblPrEx>
          <w:tblCellMar>
            <w:top w:w="0" w:type="dxa"/>
            <w:left w:w="108" w:type="dxa"/>
            <w:bottom w:w="0" w:type="dxa"/>
            <w:right w:w="108" w:type="dxa"/>
          </w:tblCellMar>
        </w:tblPrEx>
        <w:trPr>
          <w:trHeight w:val="113" w:hRule="atLeas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5</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家用柴、煤灶（固定砌筑）</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单口水泥面层</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元/口</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200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单口瓷砖面层</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元/口</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300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每增加一口</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加补元/口</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100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带热水池</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加补元/个</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150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6</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普通水池、洗涤池</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元/个</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100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7</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化粪池</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元/座</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3000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8</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浴缸</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元/只</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450</w:t>
            </w:r>
          </w:p>
        </w:tc>
      </w:tr>
      <w:tr>
        <w:tblPrEx>
          <w:tblCellMar>
            <w:top w:w="0" w:type="dxa"/>
            <w:left w:w="108" w:type="dxa"/>
            <w:bottom w:w="0" w:type="dxa"/>
            <w:right w:w="108" w:type="dxa"/>
          </w:tblCellMar>
        </w:tblPrEx>
        <w:trPr>
          <w:trHeight w:val="113" w:hRule="atLeas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9</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便器</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抽水马桶</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元/个</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300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蹲式便器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元/个</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125</w:t>
            </w:r>
          </w:p>
        </w:tc>
      </w:tr>
      <w:tr>
        <w:tblPrEx>
          <w:tblCellMar>
            <w:top w:w="0" w:type="dxa"/>
            <w:left w:w="108" w:type="dxa"/>
            <w:bottom w:w="0" w:type="dxa"/>
            <w:right w:w="108" w:type="dxa"/>
          </w:tblCellMar>
        </w:tblPrEx>
        <w:trPr>
          <w:trHeight w:val="113" w:hRule="atLeas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10</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猪（牛）栏、厕所</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土木、木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315</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砖木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360</w:t>
            </w:r>
          </w:p>
        </w:tc>
      </w:tr>
      <w:tr>
        <w:tblPrEx>
          <w:tblCellMar>
            <w:top w:w="0" w:type="dxa"/>
            <w:left w:w="108" w:type="dxa"/>
            <w:bottom w:w="0" w:type="dxa"/>
            <w:right w:w="108" w:type="dxa"/>
          </w:tblCellMar>
        </w:tblPrEx>
        <w:trPr>
          <w:trHeight w:val="113" w:hRule="atLeas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砖混</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405</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11</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浆砌毛石挡墙</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元/立方米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200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12</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固定电话</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元/部</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58</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13</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有线电视</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元/户</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150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14</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电表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元/户</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300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15</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水表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元/户</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200</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16</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宽带</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元/户</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58</w:t>
            </w:r>
          </w:p>
        </w:tc>
      </w:tr>
      <w:tr>
        <w:tblPrEx>
          <w:tblCellMar>
            <w:top w:w="0" w:type="dxa"/>
            <w:left w:w="108" w:type="dxa"/>
            <w:bottom w:w="0" w:type="dxa"/>
            <w:right w:w="108" w:type="dxa"/>
          </w:tblCellMar>
        </w:tblPrEx>
        <w:trPr>
          <w:trHeight w:val="249" w:hRule="exac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17</w:t>
            </w:r>
          </w:p>
        </w:tc>
        <w:tc>
          <w:tcPr>
            <w:tcW w:w="203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空调移机费</w:t>
            </w:r>
          </w:p>
        </w:tc>
        <w:tc>
          <w:tcPr>
            <w:tcW w:w="2166"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柜机</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元/台</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200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203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166"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挂机</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元/台</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150</w:t>
            </w:r>
          </w:p>
        </w:tc>
      </w:tr>
      <w:tr>
        <w:tblPrEx>
          <w:tblCellMar>
            <w:top w:w="0" w:type="dxa"/>
            <w:left w:w="108" w:type="dxa"/>
            <w:bottom w:w="0" w:type="dxa"/>
            <w:right w:w="108" w:type="dxa"/>
          </w:tblCellMar>
        </w:tblPrEx>
        <w:trPr>
          <w:trHeight w:val="249" w:hRule="exac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18</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灯具拆除补助费</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元/盏</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10</w:t>
            </w:r>
          </w:p>
        </w:tc>
      </w:tr>
      <w:tr>
        <w:tblPrEx>
          <w:tblCellMar>
            <w:top w:w="0" w:type="dxa"/>
            <w:left w:w="108" w:type="dxa"/>
            <w:bottom w:w="0" w:type="dxa"/>
            <w:right w:w="108" w:type="dxa"/>
          </w:tblCellMar>
        </w:tblPrEx>
        <w:trPr>
          <w:trHeight w:val="249" w:hRule="exac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19</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水井</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有井圈</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180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无井圈</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120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柱噻泵井</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元/眼</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500</w:t>
            </w:r>
          </w:p>
        </w:tc>
      </w:tr>
      <w:tr>
        <w:tblPrEx>
          <w:tblCellMar>
            <w:top w:w="0" w:type="dxa"/>
            <w:left w:w="108" w:type="dxa"/>
            <w:bottom w:w="0" w:type="dxa"/>
            <w:right w:w="108" w:type="dxa"/>
          </w:tblCellMar>
        </w:tblPrEx>
        <w:trPr>
          <w:trHeight w:val="249" w:hRule="exac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20</w:t>
            </w:r>
          </w:p>
        </w:tc>
        <w:tc>
          <w:tcPr>
            <w:tcW w:w="141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液化气灶砖砌台架</w:t>
            </w: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水泥面层</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150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瓷砖面层</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200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141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278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石材面层</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400</w:t>
            </w:r>
          </w:p>
        </w:tc>
      </w:tr>
      <w:tr>
        <w:tblPrEx>
          <w:tblCellMar>
            <w:top w:w="0" w:type="dxa"/>
            <w:left w:w="108" w:type="dxa"/>
            <w:bottom w:w="0" w:type="dxa"/>
            <w:right w:w="108" w:type="dxa"/>
          </w:tblCellMar>
        </w:tblPrEx>
        <w:trPr>
          <w:trHeight w:val="249" w:hRule="exac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21</w:t>
            </w:r>
          </w:p>
        </w:tc>
        <w:tc>
          <w:tcPr>
            <w:tcW w:w="4198"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蓄水池</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元/立方米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100</w:t>
            </w:r>
          </w:p>
        </w:tc>
      </w:tr>
      <w:tr>
        <w:tblPrEx>
          <w:tblCellMar>
            <w:top w:w="0" w:type="dxa"/>
            <w:left w:w="108" w:type="dxa"/>
            <w:bottom w:w="0" w:type="dxa"/>
            <w:right w:w="108" w:type="dxa"/>
          </w:tblCellMar>
        </w:tblPrEx>
        <w:trPr>
          <w:trHeight w:val="249" w:hRule="exact"/>
        </w:trPr>
        <w:tc>
          <w:tcPr>
            <w:tcW w:w="695" w:type="dxa"/>
            <w:vMerge w:val="restart"/>
            <w:tcBorders>
              <w:top w:val="nil"/>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22</w:t>
            </w:r>
          </w:p>
        </w:tc>
        <w:tc>
          <w:tcPr>
            <w:tcW w:w="2245"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拆除经批准未到期限的临时建筑</w:t>
            </w:r>
          </w:p>
        </w:tc>
        <w:tc>
          <w:tcPr>
            <w:tcW w:w="1953"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钢架简易</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220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single" w:color="auto" w:sz="4" w:space="0"/>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22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1953"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砖木</w:t>
            </w:r>
          </w:p>
        </w:tc>
        <w:tc>
          <w:tcPr>
            <w:tcW w:w="210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130</w:t>
            </w:r>
          </w:p>
        </w:tc>
      </w:tr>
      <w:tr>
        <w:tblPrEx>
          <w:tblCellMar>
            <w:top w:w="0" w:type="dxa"/>
            <w:left w:w="108" w:type="dxa"/>
            <w:bottom w:w="0" w:type="dxa"/>
            <w:right w:w="108" w:type="dxa"/>
          </w:tblCellMar>
        </w:tblPrEx>
        <w:trPr>
          <w:trHeight w:val="249" w:hRule="exact"/>
        </w:trPr>
        <w:tc>
          <w:tcPr>
            <w:tcW w:w="695" w:type="dxa"/>
            <w:vMerge w:val="continue"/>
            <w:tcBorders>
              <w:top w:val="nil"/>
              <w:left w:val="single" w:color="auto" w:sz="4" w:space="0"/>
              <w:bottom w:val="nil"/>
              <w:right w:val="single" w:color="auto" w:sz="4" w:space="0"/>
            </w:tcBorders>
            <w:noWrap w:val="0"/>
            <w:vAlign w:val="center"/>
          </w:tcPr>
          <w:p>
            <w:pPr>
              <w:widowControl/>
              <w:spacing w:line="260" w:lineRule="exact"/>
              <w:jc w:val="left"/>
              <w:rPr>
                <w:rFonts w:hint="default" w:ascii="Times New Roman" w:hAnsi="Times New Roman" w:eastAsia="楷体_GB2312" w:cs="Times New Roman"/>
                <w:color w:val="000000"/>
                <w:kern w:val="0"/>
                <w:sz w:val="24"/>
              </w:rPr>
            </w:pPr>
          </w:p>
        </w:tc>
        <w:tc>
          <w:tcPr>
            <w:tcW w:w="22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default" w:ascii="Times New Roman" w:hAnsi="Times New Roman" w:eastAsia="楷体_GB2312" w:cs="Times New Roman"/>
                <w:color w:val="000000"/>
                <w:kern w:val="0"/>
                <w:sz w:val="24"/>
              </w:rPr>
            </w:pPr>
          </w:p>
        </w:tc>
        <w:tc>
          <w:tcPr>
            <w:tcW w:w="1953"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竹棚</w:t>
            </w:r>
          </w:p>
        </w:tc>
        <w:tc>
          <w:tcPr>
            <w:tcW w:w="2106"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元/平方米</w:t>
            </w:r>
          </w:p>
        </w:tc>
        <w:tc>
          <w:tcPr>
            <w:tcW w:w="1859"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35</w:t>
            </w:r>
          </w:p>
        </w:tc>
      </w:tr>
      <w:tr>
        <w:tblPrEx>
          <w:tblCellMar>
            <w:top w:w="0" w:type="dxa"/>
            <w:left w:w="108" w:type="dxa"/>
            <w:bottom w:w="0" w:type="dxa"/>
            <w:right w:w="108" w:type="dxa"/>
          </w:tblCellMar>
        </w:tblPrEx>
        <w:trPr>
          <w:trHeight w:val="113" w:hRule="atLeast"/>
        </w:trPr>
        <w:tc>
          <w:tcPr>
            <w:tcW w:w="695" w:type="dxa"/>
            <w:tcBorders>
              <w:top w:val="nil"/>
              <w:left w:val="single" w:color="auto" w:sz="4" w:space="0"/>
              <w:bottom w:val="single" w:color="auto" w:sz="4" w:space="0"/>
              <w:right w:val="single" w:color="auto" w:sz="4" w:space="0"/>
            </w:tcBorders>
            <w:noWrap w:val="0"/>
            <w:vAlign w:val="center"/>
          </w:tcPr>
          <w:p>
            <w:pPr>
              <w:widowControl/>
              <w:spacing w:line="260" w:lineRule="exact"/>
              <w:ind w:firstLine="120" w:firstLineChars="50"/>
              <w:jc w:val="left"/>
              <w:rPr>
                <w:rFonts w:hint="default" w:ascii="Times New Roman" w:hAnsi="Times New Roman" w:eastAsia="楷体_GB2312" w:cs="Times New Roman"/>
                <w:color w:val="000000"/>
                <w:kern w:val="0"/>
                <w:sz w:val="24"/>
              </w:rPr>
            </w:pPr>
            <w:r>
              <w:rPr>
                <w:rFonts w:hint="default" w:ascii="Times New Roman" w:hAnsi="Times New Roman" w:eastAsia="楷体_GB2312" w:cs="Times New Roman"/>
                <w:color w:val="000000"/>
                <w:kern w:val="0"/>
                <w:sz w:val="24"/>
              </w:rPr>
              <w:t>23</w:t>
            </w:r>
          </w:p>
        </w:tc>
        <w:tc>
          <w:tcPr>
            <w:tcW w:w="816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楷体_GB2312" w:cs="Times New Roman"/>
                <w:kern w:val="0"/>
                <w:sz w:val="24"/>
              </w:rPr>
            </w:pPr>
            <w:r>
              <w:rPr>
                <w:rFonts w:hint="default" w:ascii="Times New Roman" w:hAnsi="Times New Roman" w:eastAsia="楷体_GB2312" w:cs="Times New Roman"/>
                <w:color w:val="000000"/>
                <w:kern w:val="0"/>
                <w:sz w:val="24"/>
              </w:rPr>
              <w:t>未详的构筑物和其他高级特殊设施，另行作价补偿</w:t>
            </w:r>
          </w:p>
        </w:tc>
      </w:tr>
    </w:tbl>
    <w:p>
      <w:pPr>
        <w:spacing w:line="400" w:lineRule="exact"/>
        <w:ind w:right="24"/>
        <w:rPr>
          <w:rFonts w:hint="default" w:ascii="Times New Roman" w:hAnsi="Times New Roman" w:eastAsia="黑体" w:cs="Times New Roman"/>
          <w:color w:val="000000"/>
          <w:sz w:val="32"/>
          <w:szCs w:val="32"/>
        </w:rPr>
      </w:pPr>
    </w:p>
    <w:p>
      <w:pPr>
        <w:spacing w:line="400" w:lineRule="exact"/>
        <w:ind w:right="24"/>
        <w:rPr>
          <w:rFonts w:hint="default" w:ascii="Times New Roman" w:hAnsi="Times New Roman" w:eastAsia="黑体" w:cs="Times New Roman"/>
          <w:color w:val="000000"/>
          <w:sz w:val="32"/>
          <w:szCs w:val="32"/>
        </w:rPr>
      </w:pPr>
    </w:p>
    <w:p>
      <w:pPr>
        <w:spacing w:line="400" w:lineRule="exact"/>
        <w:ind w:right="24"/>
        <w:rPr>
          <w:rFonts w:hint="default" w:ascii="Times New Roman" w:hAnsi="Times New Roman" w:eastAsia="黑体" w:cs="Times New Roman"/>
          <w:color w:val="000000"/>
          <w:sz w:val="32"/>
          <w:szCs w:val="32"/>
        </w:rPr>
      </w:pPr>
      <w:bookmarkStart w:id="0" w:name="_GoBack"/>
      <w:bookmarkEnd w:id="0"/>
      <w:r>
        <w:rPr>
          <w:rFonts w:hint="default" w:ascii="Times New Roman" w:hAnsi="Times New Roman" w:eastAsia="黑体" w:cs="Times New Roman"/>
          <w:color w:val="000000"/>
          <w:sz w:val="32"/>
          <w:szCs w:val="32"/>
        </w:rPr>
        <w:t>附件3</w:t>
      </w:r>
    </w:p>
    <w:p>
      <w:pPr>
        <w:spacing w:line="400" w:lineRule="exact"/>
        <w:ind w:right="24"/>
        <w:rPr>
          <w:rFonts w:hint="default" w:ascii="Times New Roman" w:hAnsi="Times New Roman" w:eastAsia="黑体" w:cs="Times New Roman"/>
          <w:color w:val="000000"/>
          <w:sz w:val="32"/>
          <w:szCs w:val="32"/>
        </w:rPr>
      </w:pPr>
    </w:p>
    <w:p>
      <w:pPr>
        <w:spacing w:line="560" w:lineRule="exact"/>
        <w:jc w:val="center"/>
        <w:rPr>
          <w:rFonts w:hint="default" w:ascii="Times New Roman" w:hAnsi="Times New Roman" w:eastAsia="方正小标宋简体" w:cs="Times New Roman"/>
          <w:bCs/>
          <w:kern w:val="0"/>
          <w:sz w:val="36"/>
          <w:szCs w:val="36"/>
        </w:rPr>
      </w:pPr>
      <w:r>
        <w:rPr>
          <w:rFonts w:hint="default" w:ascii="Times New Roman" w:hAnsi="Times New Roman" w:eastAsia="方正小标宋简体" w:cs="Times New Roman"/>
          <w:bCs/>
          <w:kern w:val="0"/>
          <w:sz w:val="36"/>
          <w:szCs w:val="36"/>
        </w:rPr>
        <w:t>上杭县征收土地果树、苗木及地上附着物补偿标准</w:t>
      </w:r>
    </w:p>
    <w:p>
      <w:pPr>
        <w:jc w:val="center"/>
        <w:rPr>
          <w:rFonts w:hint="default" w:ascii="Times New Roman" w:hAnsi="Times New Roman" w:eastAsia="仿宋_GB2312" w:cs="Times New Roman"/>
          <w:szCs w:val="21"/>
        </w:rPr>
      </w:pPr>
    </w:p>
    <w:tbl>
      <w:tblPr>
        <w:tblStyle w:val="2"/>
        <w:tblW w:w="0" w:type="auto"/>
        <w:jc w:val="center"/>
        <w:tblLayout w:type="fixed"/>
        <w:tblCellMar>
          <w:top w:w="0" w:type="dxa"/>
          <w:left w:w="108" w:type="dxa"/>
          <w:bottom w:w="0" w:type="dxa"/>
          <w:right w:w="108" w:type="dxa"/>
        </w:tblCellMar>
      </w:tblPr>
      <w:tblGrid>
        <w:gridCol w:w="1724"/>
        <w:gridCol w:w="1437"/>
        <w:gridCol w:w="539"/>
        <w:gridCol w:w="1077"/>
        <w:gridCol w:w="4263"/>
      </w:tblGrid>
      <w:tr>
        <w:tblPrEx>
          <w:tblCellMar>
            <w:top w:w="0" w:type="dxa"/>
            <w:left w:w="108" w:type="dxa"/>
            <w:bottom w:w="0" w:type="dxa"/>
            <w:right w:w="108" w:type="dxa"/>
          </w:tblCellMar>
        </w:tblPrEx>
        <w:trPr>
          <w:trHeight w:val="963" w:hRule="exact"/>
          <w:jc w:val="center"/>
        </w:trPr>
        <w:tc>
          <w:tcPr>
            <w:tcW w:w="172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种类</w:t>
            </w: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规格</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 位</w:t>
            </w:r>
          </w:p>
        </w:tc>
        <w:tc>
          <w:tcPr>
            <w:tcW w:w="1077" w:type="dxa"/>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补偿价</w:t>
            </w:r>
          </w:p>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（元）</w:t>
            </w:r>
          </w:p>
        </w:tc>
        <w:tc>
          <w:tcPr>
            <w:tcW w:w="4263" w:type="dxa"/>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备   注</w:t>
            </w:r>
          </w:p>
        </w:tc>
      </w:tr>
      <w:tr>
        <w:tblPrEx>
          <w:tblCellMar>
            <w:top w:w="0" w:type="dxa"/>
            <w:left w:w="108" w:type="dxa"/>
            <w:bottom w:w="0" w:type="dxa"/>
            <w:right w:w="108" w:type="dxa"/>
          </w:tblCellMar>
        </w:tblPrEx>
        <w:trPr>
          <w:trHeight w:val="647" w:hRule="exact"/>
          <w:jc w:val="center"/>
        </w:trPr>
        <w:tc>
          <w:tcPr>
            <w:tcW w:w="1724" w:type="dxa"/>
            <w:tcBorders>
              <w:left w:val="single" w:color="auto" w:sz="4" w:space="0"/>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甘蔗</w:t>
            </w: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5000</w:t>
            </w:r>
          </w:p>
        </w:tc>
        <w:tc>
          <w:tcPr>
            <w:tcW w:w="4263" w:type="dxa"/>
            <w:tcBorders>
              <w:left w:val="nil"/>
              <w:bottom w:val="single" w:color="auto" w:sz="4" w:space="0"/>
              <w:right w:val="single" w:color="auto" w:sz="4" w:space="0"/>
            </w:tcBorders>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3000～4000株/亩</w:t>
            </w:r>
          </w:p>
          <w:p>
            <w:pPr>
              <w:widowControl/>
              <w:spacing w:line="300" w:lineRule="exac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655" w:hRule="exact"/>
          <w:jc w:val="center"/>
        </w:trPr>
        <w:tc>
          <w:tcPr>
            <w:tcW w:w="1724" w:type="dxa"/>
            <w:tcBorders>
              <w:left w:val="single" w:color="auto" w:sz="4" w:space="0"/>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草莓</w:t>
            </w: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4500</w:t>
            </w:r>
          </w:p>
        </w:tc>
        <w:tc>
          <w:tcPr>
            <w:tcW w:w="4263" w:type="dxa"/>
            <w:tcBorders>
              <w:left w:val="nil"/>
              <w:bottom w:val="single" w:color="auto" w:sz="4" w:space="0"/>
              <w:right w:val="single" w:color="auto" w:sz="4" w:space="0"/>
            </w:tcBorders>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5000～7000株/亩</w:t>
            </w:r>
          </w:p>
        </w:tc>
      </w:tr>
      <w:tr>
        <w:tblPrEx>
          <w:tblCellMar>
            <w:top w:w="0" w:type="dxa"/>
            <w:left w:w="108" w:type="dxa"/>
            <w:bottom w:w="0" w:type="dxa"/>
            <w:right w:w="108" w:type="dxa"/>
          </w:tblCellMar>
        </w:tblPrEx>
        <w:trPr>
          <w:trHeight w:val="758" w:hRule="exact"/>
          <w:jc w:val="center"/>
        </w:trPr>
        <w:tc>
          <w:tcPr>
            <w:tcW w:w="1724" w:type="dxa"/>
            <w:vMerge w:val="restart"/>
            <w:tcBorders>
              <w:left w:val="single" w:color="auto" w:sz="4" w:space="0"/>
              <w:right w:val="single" w:color="auto" w:sz="4" w:space="0"/>
            </w:tcBorders>
            <w:noWrap w:val="0"/>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板栗、柿子、龙眼、橄榄、梨、银杏</w:t>
            </w: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幼树</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3年）</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55                            </w:t>
            </w:r>
          </w:p>
        </w:tc>
        <w:tc>
          <w:tcPr>
            <w:tcW w:w="4263" w:type="dxa"/>
            <w:vMerge w:val="restart"/>
            <w:tcBorders>
              <w:top w:val="single" w:color="auto" w:sz="4" w:space="0"/>
              <w:left w:val="nil"/>
              <w:right w:val="single" w:color="auto" w:sz="4" w:space="0"/>
            </w:tcBorders>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亩植27～42株，株行距4×4米，亩植上限为42株。</w:t>
            </w:r>
            <w:r>
              <w:rPr>
                <w:rFonts w:hint="default" w:ascii="Times New Roman" w:hAnsi="Times New Roman" w:eastAsia="仿宋_GB2312" w:cs="Times New Roman"/>
                <w:spacing w:val="-4"/>
                <w:sz w:val="24"/>
                <w:szCs w:val="24"/>
              </w:rPr>
              <w:t>亩植超过43株（含43株）的，超过的果树株数按每株5元计补。对认定为抢种的一律不予补偿。</w:t>
            </w:r>
            <w:r>
              <w:rPr>
                <w:rFonts w:hint="default" w:ascii="Times New Roman" w:hAnsi="Times New Roman" w:eastAsia="仿宋_GB2312" w:cs="Times New Roman"/>
                <w:kern w:val="0"/>
                <w:sz w:val="24"/>
                <w:szCs w:val="24"/>
              </w:rPr>
              <w:t>若在同一地块套种两种以上品种的以一种品种多的为计算补偿。</w:t>
            </w:r>
          </w:p>
        </w:tc>
      </w:tr>
      <w:tr>
        <w:tblPrEx>
          <w:tblCellMar>
            <w:top w:w="0" w:type="dxa"/>
            <w:left w:w="108" w:type="dxa"/>
            <w:bottom w:w="0" w:type="dxa"/>
            <w:right w:w="108" w:type="dxa"/>
          </w:tblCellMar>
        </w:tblPrEx>
        <w:trPr>
          <w:trHeight w:val="802" w:hRule="exact"/>
          <w:jc w:val="center"/>
        </w:trPr>
        <w:tc>
          <w:tcPr>
            <w:tcW w:w="1724" w:type="dxa"/>
            <w:vMerge w:val="continue"/>
            <w:tcBorders>
              <w:left w:val="single" w:color="auto" w:sz="4" w:space="0"/>
              <w:right w:val="single" w:color="auto" w:sz="4" w:space="0"/>
            </w:tcBorders>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初产树 （4</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5年）</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220 </w:t>
            </w:r>
          </w:p>
        </w:tc>
        <w:tc>
          <w:tcPr>
            <w:tcW w:w="4263" w:type="dxa"/>
            <w:vMerge w:val="continue"/>
            <w:tcBorders>
              <w:left w:val="nil"/>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53" w:hRule="exact"/>
          <w:jc w:val="center"/>
        </w:trPr>
        <w:tc>
          <w:tcPr>
            <w:tcW w:w="1724" w:type="dxa"/>
            <w:vMerge w:val="continue"/>
            <w:tcBorders>
              <w:left w:val="single" w:color="auto" w:sz="4" w:space="0"/>
              <w:right w:val="single" w:color="auto" w:sz="4" w:space="0"/>
            </w:tcBorders>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盛产树</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330 </w:t>
            </w:r>
          </w:p>
        </w:tc>
        <w:tc>
          <w:tcPr>
            <w:tcW w:w="4263" w:type="dxa"/>
            <w:vMerge w:val="continue"/>
            <w:tcBorders>
              <w:left w:val="nil"/>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649" w:hRule="exact"/>
          <w:jc w:val="center"/>
        </w:trPr>
        <w:tc>
          <w:tcPr>
            <w:tcW w:w="1724"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衰老树</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220</w:t>
            </w:r>
          </w:p>
        </w:tc>
        <w:tc>
          <w:tcPr>
            <w:tcW w:w="4263" w:type="dxa"/>
            <w:vMerge w:val="continue"/>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7" w:hRule="exact"/>
          <w:jc w:val="center"/>
        </w:trPr>
        <w:tc>
          <w:tcPr>
            <w:tcW w:w="1724" w:type="dxa"/>
            <w:vMerge w:val="restart"/>
            <w:tcBorders>
              <w:top w:val="nil"/>
              <w:left w:val="single" w:color="auto" w:sz="4" w:space="0"/>
              <w:right w:val="single" w:color="auto" w:sz="4" w:space="0"/>
            </w:tcBorders>
            <w:noWrap w:val="0"/>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桃、李、梅、青枣、柰、枇杷、石榴、番石榴、杨梅、杨桃</w:t>
            </w:r>
          </w:p>
        </w:tc>
        <w:tc>
          <w:tcPr>
            <w:tcW w:w="1437"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幼                </w:t>
            </w:r>
          </w:p>
        </w:tc>
        <w:tc>
          <w:tcPr>
            <w:tcW w:w="539" w:type="dxa"/>
            <w:tcBorders>
              <w:top w:val="nil"/>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33                            </w:t>
            </w:r>
          </w:p>
        </w:tc>
        <w:tc>
          <w:tcPr>
            <w:tcW w:w="4263" w:type="dxa"/>
            <w:vMerge w:val="restart"/>
            <w:tcBorders>
              <w:top w:val="single" w:color="auto" w:sz="4" w:space="0"/>
              <w:left w:val="nil"/>
              <w:right w:val="single" w:color="auto" w:sz="4" w:space="0"/>
            </w:tcBorders>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亩植33～55株,株行距3×4米，亩植上限为55株。</w:t>
            </w:r>
            <w:r>
              <w:rPr>
                <w:rFonts w:hint="default" w:ascii="Times New Roman" w:hAnsi="Times New Roman" w:eastAsia="仿宋_GB2312" w:cs="Times New Roman"/>
                <w:sz w:val="24"/>
                <w:szCs w:val="24"/>
              </w:rPr>
              <w:t>亩植超过56株（含56株）的，超过的果树株数按每株5元计补。对认定为抢种的一律不予补偿。</w:t>
            </w:r>
          </w:p>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若在同一地块套种两种以上品种的以一种品种多的为计算补偿。</w:t>
            </w:r>
          </w:p>
        </w:tc>
      </w:tr>
      <w:tr>
        <w:tblPrEx>
          <w:tblCellMar>
            <w:top w:w="0" w:type="dxa"/>
            <w:left w:w="108" w:type="dxa"/>
            <w:bottom w:w="0" w:type="dxa"/>
            <w:right w:w="108" w:type="dxa"/>
          </w:tblCellMar>
        </w:tblPrEx>
        <w:trPr>
          <w:trHeight w:val="649" w:hRule="exact"/>
          <w:jc w:val="center"/>
        </w:trPr>
        <w:tc>
          <w:tcPr>
            <w:tcW w:w="1724" w:type="dxa"/>
            <w:vMerge w:val="continue"/>
            <w:tcBorders>
              <w:left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初产 </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140</w:t>
            </w:r>
          </w:p>
        </w:tc>
        <w:tc>
          <w:tcPr>
            <w:tcW w:w="4263" w:type="dxa"/>
            <w:vMerge w:val="continue"/>
            <w:tcBorders>
              <w:left w:val="nil"/>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643" w:hRule="exact"/>
          <w:jc w:val="center"/>
        </w:trPr>
        <w:tc>
          <w:tcPr>
            <w:tcW w:w="1724" w:type="dxa"/>
            <w:vMerge w:val="continue"/>
            <w:tcBorders>
              <w:left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盛产</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200</w:t>
            </w:r>
          </w:p>
        </w:tc>
        <w:tc>
          <w:tcPr>
            <w:tcW w:w="4263" w:type="dxa"/>
            <w:vMerge w:val="continue"/>
            <w:tcBorders>
              <w:left w:val="nil"/>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651" w:hRule="exact"/>
          <w:jc w:val="center"/>
        </w:trPr>
        <w:tc>
          <w:tcPr>
            <w:tcW w:w="1724"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衰产</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110</w:t>
            </w:r>
          </w:p>
        </w:tc>
        <w:tc>
          <w:tcPr>
            <w:tcW w:w="4263" w:type="dxa"/>
            <w:vMerge w:val="continue"/>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806" w:hRule="exact"/>
          <w:jc w:val="center"/>
        </w:trPr>
        <w:tc>
          <w:tcPr>
            <w:tcW w:w="1724" w:type="dxa"/>
            <w:tcBorders>
              <w:left w:val="single" w:color="auto" w:sz="4" w:space="0"/>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狼尾草、</w:t>
            </w:r>
          </w:p>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黑麦草、麦草</w:t>
            </w: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1500</w:t>
            </w:r>
          </w:p>
        </w:tc>
        <w:tc>
          <w:tcPr>
            <w:tcW w:w="4263" w:type="dxa"/>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716" w:hRule="exact"/>
          <w:jc w:val="center"/>
        </w:trPr>
        <w:tc>
          <w:tcPr>
            <w:tcW w:w="1724" w:type="dxa"/>
            <w:vMerge w:val="restart"/>
            <w:tcBorders>
              <w:left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野生樘梨、柿子树等</w:t>
            </w: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幼                </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w:t>
            </w:r>
          </w:p>
        </w:tc>
        <w:tc>
          <w:tcPr>
            <w:tcW w:w="4263" w:type="dxa"/>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651" w:hRule="exact"/>
          <w:jc w:val="center"/>
        </w:trPr>
        <w:tc>
          <w:tcPr>
            <w:tcW w:w="1724" w:type="dxa"/>
            <w:vMerge w:val="continue"/>
            <w:tcBorders>
              <w:left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初产 </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44</w:t>
            </w:r>
          </w:p>
        </w:tc>
        <w:tc>
          <w:tcPr>
            <w:tcW w:w="4263" w:type="dxa"/>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645" w:hRule="exact"/>
          <w:jc w:val="center"/>
        </w:trPr>
        <w:tc>
          <w:tcPr>
            <w:tcW w:w="1724" w:type="dxa"/>
            <w:vMerge w:val="continue"/>
            <w:tcBorders>
              <w:left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盛产</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88</w:t>
            </w:r>
          </w:p>
        </w:tc>
        <w:tc>
          <w:tcPr>
            <w:tcW w:w="4263" w:type="dxa"/>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CellMar>
            <w:top w:w="0" w:type="dxa"/>
            <w:left w:w="108" w:type="dxa"/>
            <w:bottom w:w="0" w:type="dxa"/>
            <w:right w:w="108" w:type="dxa"/>
          </w:tblCellMar>
        </w:tblPrEx>
        <w:trPr>
          <w:trHeight w:val="649" w:hRule="exact"/>
          <w:jc w:val="center"/>
        </w:trPr>
        <w:tc>
          <w:tcPr>
            <w:tcW w:w="1724"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43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衰产</w:t>
            </w:r>
          </w:p>
        </w:tc>
        <w:tc>
          <w:tcPr>
            <w:tcW w:w="53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07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44</w:t>
            </w:r>
          </w:p>
        </w:tc>
        <w:tc>
          <w:tcPr>
            <w:tcW w:w="4263" w:type="dxa"/>
            <w:tcBorders>
              <w:left w:val="nil"/>
              <w:bottom w:val="single" w:color="auto" w:sz="4" w:space="0"/>
              <w:right w:val="single" w:color="auto" w:sz="4" w:space="0"/>
            </w:tcBorders>
            <w:noWrap w:val="0"/>
            <w:vAlign w:val="center"/>
          </w:tcPr>
          <w:p>
            <w:pPr>
              <w:widowControl/>
              <w:spacing w:line="300" w:lineRule="exact"/>
              <w:jc w:val="center"/>
              <w:rPr>
                <w:rFonts w:hint="default" w:ascii="Times New Roman" w:hAnsi="Times New Roman" w:eastAsia="仿宋_GB2312" w:cs="Times New Roman"/>
                <w:sz w:val="24"/>
                <w:szCs w:val="24"/>
              </w:rPr>
            </w:pPr>
          </w:p>
        </w:tc>
      </w:tr>
    </w:tbl>
    <w:p>
      <w:pPr>
        <w:rPr>
          <w:rFonts w:hint="default" w:ascii="Times New Roman" w:hAnsi="Times New Roman" w:cs="Times New Roman"/>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93"/>
        <w:gridCol w:w="1354"/>
        <w:gridCol w:w="908"/>
        <w:gridCol w:w="1651"/>
        <w:gridCol w:w="2174"/>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种类</w:t>
            </w:r>
          </w:p>
        </w:tc>
        <w:tc>
          <w:tcPr>
            <w:tcW w:w="1354"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规格</w:t>
            </w:r>
          </w:p>
        </w:tc>
        <w:tc>
          <w:tcPr>
            <w:tcW w:w="908"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单位</w:t>
            </w:r>
          </w:p>
        </w:tc>
        <w:tc>
          <w:tcPr>
            <w:tcW w:w="1651"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补偿价</w:t>
            </w:r>
          </w:p>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（元）</w:t>
            </w:r>
          </w:p>
        </w:tc>
        <w:tc>
          <w:tcPr>
            <w:tcW w:w="4061" w:type="dxa"/>
            <w:gridSpan w:val="2"/>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柑桔类（柑、橙、桔、柚、金桔、</w:t>
            </w:r>
            <w:r>
              <w:rPr>
                <w:rFonts w:hint="default" w:ascii="Times New Roman" w:hAnsi="Times New Roman" w:eastAsia="仿宋_GB2312" w:cs="Times New Roman"/>
                <w:kern w:val="0"/>
                <w:sz w:val="24"/>
                <w:szCs w:val="24"/>
              </w:rPr>
              <w:t>桔实</w:t>
            </w:r>
            <w:r>
              <w:rPr>
                <w:rFonts w:hint="default" w:ascii="Times New Roman" w:hAnsi="Times New Roman" w:eastAsia="仿宋_GB2312" w:cs="Times New Roman"/>
                <w:sz w:val="24"/>
                <w:szCs w:val="24"/>
              </w:rPr>
              <w:t>）</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幼树</w:t>
            </w:r>
          </w:p>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3年）</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33                             </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亩植48～74株,上限为74株，株行距3×3米。</w:t>
            </w:r>
            <w:r>
              <w:rPr>
                <w:rFonts w:hint="default" w:ascii="Times New Roman" w:hAnsi="Times New Roman" w:eastAsia="仿宋_GB2312" w:cs="Times New Roman"/>
                <w:sz w:val="24"/>
                <w:szCs w:val="24"/>
              </w:rPr>
              <w:t>亩植超过75株（含75株）的，超过的果树株数按每株5元计补。对认定为抢种的一律不予补偿</w:t>
            </w:r>
            <w:r>
              <w:rPr>
                <w:rFonts w:hint="default" w:ascii="Times New Roman" w:hAnsi="Times New Roman" w:eastAsia="仿宋_GB2312" w:cs="Times New Roman"/>
                <w:kern w:val="0"/>
                <w:sz w:val="24"/>
                <w:szCs w:val="24"/>
              </w:rPr>
              <w:t>。若在同一地块套种两种以上品种的以一种品种多的为计算补偿。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初产树（4</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5年）</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140 </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盛产树</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200 </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衰老树</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110</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火龙果</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150元/墩</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亩植上限110墩、含水泥支撑墩，单苗6元/株</w:t>
            </w:r>
            <w:r>
              <w:rPr>
                <w:rFonts w:hint="eastAsia" w:ascii="Times New Roman" w:hAnsi="Times New Roman" w:eastAsia="仿宋_GB2312"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kern w:val="0"/>
                <w:sz w:val="24"/>
                <w:szCs w:val="24"/>
              </w:rPr>
              <w:t>绿竹</w:t>
            </w:r>
          </w:p>
        </w:tc>
        <w:tc>
          <w:tcPr>
            <w:tcW w:w="1354"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kern w:val="0"/>
                <w:sz w:val="24"/>
                <w:szCs w:val="24"/>
              </w:rPr>
              <w:t xml:space="preserve">小                    </w:t>
            </w:r>
          </w:p>
        </w:tc>
        <w:tc>
          <w:tcPr>
            <w:tcW w:w="908"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kern w:val="0"/>
                <w:sz w:val="24"/>
                <w:szCs w:val="24"/>
              </w:rPr>
              <w:t>丛</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20                                  </w:t>
            </w:r>
          </w:p>
        </w:tc>
        <w:tc>
          <w:tcPr>
            <w:tcW w:w="4061" w:type="dxa"/>
            <w:gridSpan w:val="2"/>
            <w:noWrap w:val="0"/>
            <w:vAlign w:val="center"/>
          </w:tcPr>
          <w:p>
            <w:pPr>
              <w:widowControl/>
              <w:spacing w:line="300" w:lineRule="exact"/>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kern w:val="0"/>
                <w:sz w:val="24"/>
                <w:szCs w:val="24"/>
              </w:rPr>
              <w:t>5根以下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中</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丛</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40  </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5～10根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大</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丛</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60  </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10根以上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单根</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5 </w:t>
            </w:r>
          </w:p>
        </w:tc>
        <w:tc>
          <w:tcPr>
            <w:tcW w:w="4061" w:type="dxa"/>
            <w:gridSpan w:val="2"/>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药豆</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3000</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独立棵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竹林</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3000</w:t>
            </w:r>
          </w:p>
        </w:tc>
        <w:tc>
          <w:tcPr>
            <w:tcW w:w="2174" w:type="dxa"/>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每亩130棵以上</w:t>
            </w:r>
          </w:p>
        </w:tc>
        <w:tc>
          <w:tcPr>
            <w:tcW w:w="1887" w:type="dxa"/>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零星19元/棵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2500</w:t>
            </w:r>
          </w:p>
        </w:tc>
        <w:tc>
          <w:tcPr>
            <w:tcW w:w="2174" w:type="dxa"/>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每亩130棵以下</w:t>
            </w:r>
          </w:p>
        </w:tc>
        <w:tc>
          <w:tcPr>
            <w:tcW w:w="1887" w:type="dxa"/>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绿化大苗</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10000</w:t>
            </w:r>
          </w:p>
        </w:tc>
        <w:tc>
          <w:tcPr>
            <w:tcW w:w="4061" w:type="dxa"/>
            <w:gridSpan w:val="2"/>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葛</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15</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独立棵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香蕉</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芭蕉  </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木瓜</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小           </w:t>
            </w:r>
          </w:p>
        </w:tc>
        <w:tc>
          <w:tcPr>
            <w:tcW w:w="908"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丛棵</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15                         </w:t>
            </w:r>
          </w:p>
        </w:tc>
        <w:tc>
          <w:tcPr>
            <w:tcW w:w="4061" w:type="dxa"/>
            <w:gridSpan w:val="2"/>
            <w:vMerge w:val="restart"/>
            <w:noWrap w:val="0"/>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亩植上限110丛/亩，若在同一地块套种两种以上品种的以一种品种多的为计算补偿。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中 </w:t>
            </w:r>
          </w:p>
        </w:tc>
        <w:tc>
          <w:tcPr>
            <w:tcW w:w="908" w:type="dxa"/>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30 </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大</w:t>
            </w:r>
          </w:p>
        </w:tc>
        <w:tc>
          <w:tcPr>
            <w:tcW w:w="908" w:type="dxa"/>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40</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中</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12</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大</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18</w:t>
            </w:r>
          </w:p>
        </w:tc>
        <w:tc>
          <w:tcPr>
            <w:tcW w:w="4061"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油茶</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小                                       </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8                        </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亩植上限100株/亩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中</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12 </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大</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18</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葡萄</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幼         </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10                       </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亩植上限220株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初产果</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33  </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盛产果</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55</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exact"/>
          <w:jc w:val="center"/>
        </w:trPr>
        <w:tc>
          <w:tcPr>
            <w:tcW w:w="1716" w:type="dxa"/>
            <w:gridSpan w:val="2"/>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354"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葡萄架</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1200    </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简易架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4000</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水泥架（包含塑料薄膜、铁丝等）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种类</w:t>
            </w:r>
          </w:p>
        </w:tc>
        <w:tc>
          <w:tcPr>
            <w:tcW w:w="1354"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规格</w:t>
            </w:r>
          </w:p>
        </w:tc>
        <w:tc>
          <w:tcPr>
            <w:tcW w:w="908"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单位</w:t>
            </w:r>
          </w:p>
        </w:tc>
        <w:tc>
          <w:tcPr>
            <w:tcW w:w="1651"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补偿价</w:t>
            </w:r>
          </w:p>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（元）</w:t>
            </w:r>
          </w:p>
        </w:tc>
        <w:tc>
          <w:tcPr>
            <w:tcW w:w="4061" w:type="dxa"/>
            <w:gridSpan w:val="2"/>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百香果</w:t>
            </w:r>
          </w:p>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罗汉果</w:t>
            </w: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2000</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亩植50～90株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棚架</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1000</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简易架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3000</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水泥架（包含塑料薄膜、铁丝等）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茶树</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 xml:space="preserve">2年                              </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3300      </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4年</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5500</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5年以上</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8800</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衰产期</w:t>
            </w:r>
          </w:p>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(低产园）</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3000</w:t>
            </w:r>
          </w:p>
        </w:tc>
        <w:tc>
          <w:tcPr>
            <w:tcW w:w="4061" w:type="dxa"/>
            <w:gridSpan w:val="2"/>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油桐</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小                                     </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35                       </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亩植上限45株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中 </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 xml:space="preserve">45 </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大</w:t>
            </w:r>
          </w:p>
        </w:tc>
        <w:tc>
          <w:tcPr>
            <w:tcW w:w="908"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65</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杜仲</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幼树</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亩植上限为160株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中年树</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60</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center"/>
              <w:rPr>
                <w:rFonts w:hint="default" w:ascii="Times New Roman" w:hAnsi="Times New Roman" w:eastAsia="仿宋_GB2312" w:cs="Times New Roman"/>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成年树</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120</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养殖            鱼塘</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土埂</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3000</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另外，水面每平方补2.5元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1716" w:type="dxa"/>
            <w:gridSpan w:val="2"/>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354" w:type="dxa"/>
            <w:noWrap w:val="0"/>
            <w:vAlign w:val="center"/>
          </w:tcPr>
          <w:p>
            <w:pPr>
              <w:widowControl/>
              <w:spacing w:line="300" w:lineRule="exact"/>
              <w:ind w:left="-155" w:leftChars="-74"/>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砖石砌筑</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（干砌）</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5000</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716" w:type="dxa"/>
            <w:gridSpan w:val="2"/>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354" w:type="dxa"/>
            <w:noWrap w:val="0"/>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砖石砌筑水泥砂浆抹面</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6500</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蔬菜大棚</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竹木结构层高4.5米以上      </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cs="Times New Roman"/>
                <w:kern w:val="0"/>
                <w:sz w:val="24"/>
                <w:szCs w:val="24"/>
              </w:rPr>
              <w:t>㎡</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结合成新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1716" w:type="dxa"/>
            <w:gridSpan w:val="2"/>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钢结构</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层高4.5米以下              </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cs="Times New Roman"/>
                <w:kern w:val="0"/>
                <w:sz w:val="24"/>
                <w:szCs w:val="24"/>
              </w:rPr>
              <w:t>㎡</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50</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结合成新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射干</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幼苗</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4061" w:type="dxa"/>
            <w:gridSpan w:val="2"/>
            <w:vMerge w:val="restart"/>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种植密度6000株/亩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716" w:type="dxa"/>
            <w:gridSpan w:val="2"/>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成年树</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4061" w:type="dxa"/>
            <w:gridSpan w:val="2"/>
            <w:vMerge w:val="continue"/>
            <w:noWrap w:val="0"/>
            <w:vAlign w:val="center"/>
          </w:tcPr>
          <w:p>
            <w:pPr>
              <w:widowControl/>
              <w:spacing w:line="300" w:lineRule="exact"/>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716"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花圃、果苗圃、用材林苗圃</w:t>
            </w:r>
          </w:p>
        </w:tc>
        <w:tc>
          <w:tcPr>
            <w:tcW w:w="1354"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亩</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4000～</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6000</w:t>
            </w:r>
          </w:p>
        </w:tc>
        <w:tc>
          <w:tcPr>
            <w:tcW w:w="4061" w:type="dxa"/>
            <w:gridSpan w:val="2"/>
            <w:noWrap w:val="0"/>
            <w:vAlign w:val="center"/>
          </w:tcPr>
          <w:p>
            <w:pPr>
              <w:widowControl/>
              <w:spacing w:line="300" w:lineRule="exac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一年生嫁接果苗，盆栽只酌情补偿搬迁费（除紫薇花、罗汉松、桂花、茶花、红豆杉外）。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1323"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种类</w:t>
            </w: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规格</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单位</w:t>
            </w:r>
          </w:p>
        </w:tc>
        <w:tc>
          <w:tcPr>
            <w:tcW w:w="1651" w:type="dxa"/>
            <w:noWrap w:val="0"/>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补偿价</w:t>
            </w:r>
          </w:p>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（元）</w:t>
            </w:r>
          </w:p>
        </w:tc>
        <w:tc>
          <w:tcPr>
            <w:tcW w:w="4061" w:type="dxa"/>
            <w:gridSpan w:val="2"/>
            <w:noWrap w:val="0"/>
            <w:vAlign w:val="center"/>
          </w:tcPr>
          <w:p>
            <w:pPr>
              <w:widowControl/>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kern w:val="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罗汉松</w:t>
            </w: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株高＜1米，地径＜1.2厘米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株高1～1.5米，地径1.2～1.5厘米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株高</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1.5米，地径</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1.5厘米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茶花</w:t>
            </w: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株高＜1米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株高1～1.5米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株高</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1.5米</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桂花</w:t>
            </w: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株高＜1米，地径＜1厘米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1米≤株高≤1.5米，1厘米≤地径≤1.5厘米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1.5米＜株高≤2米，1.5厘米＜地径≤2厘米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35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株高</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2米，2厘米＜地径≤5厘米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50</w:t>
            </w:r>
            <w:r>
              <w:rPr>
                <w:rFonts w:hint="default" w:ascii="Times New Roman" w:hAnsi="Times New Roman" w:eastAsia="仿宋_GB2312" w:cs="Times New Roman"/>
                <w:kern w:val="0"/>
                <w:sz w:val="24"/>
              </w:rPr>
              <w:t>～</w:t>
            </w:r>
            <w:r>
              <w:rPr>
                <w:rFonts w:hint="default" w:ascii="Times New Roman" w:hAnsi="Times New Roman" w:eastAsia="仿宋_GB2312" w:cs="Times New Roman"/>
                <w:kern w:val="0"/>
                <w:sz w:val="24"/>
                <w:szCs w:val="24"/>
              </w:rPr>
              <w:t>65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株高</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2米，地径</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紫薇花</w:t>
            </w: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株高≤2米，地径＜3厘米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株高</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2米，2厘米≤地径≤3厘米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株高</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2米，3厘米＜地径≤5厘米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center"/>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苗木</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地径</w:t>
            </w:r>
            <w:r>
              <w:rPr>
                <w:rFonts w:hint="default" w:ascii="Times New Roman" w:hAnsi="Times New Roman" w:cs="Times New Roman"/>
                <w:sz w:val="24"/>
                <w:szCs w:val="24"/>
              </w:rPr>
              <w:t>﹥</w:t>
            </w:r>
            <w:r>
              <w:rPr>
                <w:rFonts w:hint="default" w:ascii="Times New Roman" w:hAnsi="Times New Roman" w:eastAsia="仿宋_GB2312" w:cs="Times New Roman"/>
                <w:sz w:val="24"/>
                <w:szCs w:val="24"/>
              </w:rPr>
              <w:t>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restart"/>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红豆杉</w:t>
            </w: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1年生</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w:t>
            </w:r>
          </w:p>
        </w:tc>
        <w:tc>
          <w:tcPr>
            <w:tcW w:w="4061" w:type="dxa"/>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sz w:val="24"/>
                <w:szCs w:val="24"/>
              </w:rPr>
            </w:pPr>
            <w:r>
              <w:rPr>
                <w:rFonts w:hint="default" w:ascii="Times New Roman" w:hAnsi="Times New Roman" w:eastAsia="仿宋_GB2312" w:cs="Times New Roman"/>
                <w:sz w:val="24"/>
                <w:szCs w:val="24"/>
              </w:rPr>
              <w:t>地径≥0.45厘米，苗高≥30厘米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2年生</w:t>
            </w:r>
          </w:p>
        </w:tc>
        <w:tc>
          <w:tcPr>
            <w:tcW w:w="908"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地径≥0.50厘米，苗高≥50厘米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3年生</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地径≥2厘米，苗高≥100厘米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13.5</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地径≥3厘米，苗高≥150厘米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胸径≥3厘米，苗高≥200厘米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胸径≥4厘米，苗高≥200厘米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胸径≥5厘米，苗高≥200厘米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胸径≥6厘米，苗高≥200厘米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180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胸径7～8厘米，苗高≥200厘米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250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胸径≥9厘米，苗高≥200厘米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323" w:type="dxa"/>
            <w:vMerge w:val="continue"/>
            <w:noWrap w:val="0"/>
            <w:vAlign w:val="center"/>
          </w:tcPr>
          <w:p>
            <w:pPr>
              <w:widowControl/>
              <w:spacing w:line="300" w:lineRule="exact"/>
              <w:jc w:val="left"/>
              <w:rPr>
                <w:rFonts w:hint="default" w:ascii="Times New Roman" w:hAnsi="Times New Roman" w:eastAsia="仿宋_GB2312" w:cs="Times New Roman"/>
                <w:kern w:val="0"/>
                <w:sz w:val="24"/>
                <w:szCs w:val="24"/>
              </w:rPr>
            </w:pPr>
          </w:p>
        </w:tc>
        <w:tc>
          <w:tcPr>
            <w:tcW w:w="1747" w:type="dxa"/>
            <w:gridSpan w:val="2"/>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4年生以上</w:t>
            </w:r>
          </w:p>
        </w:tc>
        <w:tc>
          <w:tcPr>
            <w:tcW w:w="908" w:type="dxa"/>
            <w:noWrap w:val="0"/>
            <w:vAlign w:val="center"/>
          </w:tcPr>
          <w:p>
            <w:pPr>
              <w:jc w:val="center"/>
              <w:rPr>
                <w:rFonts w:hint="default" w:ascii="Times New Roman" w:hAnsi="Times New Roman" w:cs="Times New Roman"/>
              </w:rPr>
            </w:pPr>
            <w:r>
              <w:rPr>
                <w:rFonts w:hint="default" w:ascii="Times New Roman" w:hAnsi="Times New Roman" w:eastAsia="仿宋_GB2312" w:cs="Times New Roman"/>
                <w:kern w:val="0"/>
                <w:sz w:val="24"/>
                <w:szCs w:val="24"/>
              </w:rPr>
              <w:t>株</w:t>
            </w:r>
          </w:p>
        </w:tc>
        <w:tc>
          <w:tcPr>
            <w:tcW w:w="1651" w:type="dxa"/>
            <w:noWrap w:val="0"/>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w:t>
            </w:r>
          </w:p>
        </w:tc>
        <w:tc>
          <w:tcPr>
            <w:tcW w:w="4061" w:type="dxa"/>
            <w:gridSpan w:val="2"/>
            <w:noWrap w:val="0"/>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eastAsia="仿宋_GB2312" w:cs="Times New Roman"/>
                <w:sz w:val="24"/>
                <w:szCs w:val="24"/>
              </w:rPr>
              <w:t>胸径≥10厘米，苗高≥250厘米</w:t>
            </w:r>
          </w:p>
        </w:tc>
      </w:tr>
    </w:tbl>
    <w:p>
      <w:pPr>
        <w:spacing w:line="500" w:lineRule="exact"/>
        <w:ind w:firstLine="56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注：1.新增荸荠、莲藕、茭白等作物的补偿标准，按实际征收种植面积8元/</w:t>
      </w:r>
      <w:r>
        <w:rPr>
          <w:rFonts w:hint="default" w:ascii="Times New Roman" w:hAnsi="Times New Roman" w:cs="Times New Roman"/>
          <w:sz w:val="28"/>
          <w:szCs w:val="28"/>
        </w:rPr>
        <w:t>㎡</w:t>
      </w:r>
      <w:r>
        <w:rPr>
          <w:rFonts w:hint="default" w:ascii="Times New Roman" w:hAnsi="Times New Roman" w:eastAsia="仿宋_GB2312" w:cs="Times New Roman"/>
          <w:sz w:val="28"/>
          <w:szCs w:val="28"/>
        </w:rPr>
        <w:t>的标准予以补偿。</w:t>
      </w:r>
    </w:p>
    <w:p>
      <w:pPr>
        <w:spacing w:line="4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紫薇花、罗汉松、桂花、茶花苗四种苗木株高在0.5米以下、地径在0.5厘米以下的按花圃、果苗圃、用材林圃补偿标准补偿，即每亩补偿4000～6000元；苗木株高在0.5～1米、地径在0.5～1厘米的，按罗汉松5元/株、桂花2元/株、紫薇花5元/株的标准进行补偿；株高在1米以上、地径在1厘米以上的按以上表格中相应标准执行。</w:t>
      </w:r>
    </w:p>
    <w:p>
      <w:pPr>
        <w:spacing w:line="4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3.紫薇花、罗汉松、桂花、茶花株高在0.5米以上、地径在0.5厘米以上的，每亩种植密度上限为650株。</w:t>
      </w:r>
    </w:p>
    <w:p>
      <w:pPr>
        <w:spacing w:line="4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4.盆栽紫薇花、罗汉松、桂花、茶花的，视盆栽苗木数量等另外补偿移植搬迁费（含机械台班费）4000～6000元/亩。</w:t>
      </w:r>
    </w:p>
    <w:p>
      <w:pPr>
        <w:spacing w:line="4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5.银杏树的补充标准为：幼树（1～3年）50元/株，初产树（4～5年）200元/株，盛产树300元/株，衰产树200元/株；亩植上限为42株（若在同一地块套种两种以上品种的以品种多的为计算补偿）。</w:t>
      </w:r>
    </w:p>
    <w:p>
      <w:pPr>
        <w:spacing w:line="4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6.棕树的补偿标准为：株高</w:t>
      </w:r>
      <w:r>
        <w:rPr>
          <w:rFonts w:hint="eastAsia" w:ascii="Times New Roman" w:hAnsi="Times New Roman" w:eastAsia="仿宋_GB2312" w:cs="Times New Roman"/>
          <w:sz w:val="28"/>
          <w:szCs w:val="28"/>
          <w:lang w:val="en-US" w:eastAsia="zh-CN"/>
        </w:rPr>
        <w:t>0.5</w:t>
      </w:r>
      <w:r>
        <w:rPr>
          <w:rFonts w:hint="default" w:ascii="Times New Roman" w:hAnsi="Times New Roman" w:eastAsia="仿宋_GB2312" w:cs="Times New Roman"/>
          <w:sz w:val="28"/>
          <w:szCs w:val="28"/>
        </w:rPr>
        <w:t>米以下的10元/株、株高0.5～1米的15元/株、株高大于1米小于2米（含2米）的50元/株、2米以上的100元/株，亩植上限为45株。</w:t>
      </w:r>
    </w:p>
    <w:p>
      <w:pPr>
        <w:spacing w:line="50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7.对个别本文件中未明确的特殊果树、苗木补偿由土地收储机构或土地征收实施单位依程序采取聘请有资质社会中介组织评估单价方式确定补偿标准后予以补偿。</w:t>
      </w:r>
    </w:p>
    <w:p>
      <w:pPr>
        <w:rPr>
          <w:rFonts w:hint="default" w:ascii="Times New Roman" w:hAnsi="Times New Roman" w:eastAsia="仿宋_GB2312" w:cs="Times New Roman"/>
          <w:sz w:val="28"/>
          <w:szCs w:val="28"/>
        </w:rPr>
      </w:pPr>
    </w:p>
    <w:p>
      <w:pPr>
        <w:spacing w:line="200" w:lineRule="exact"/>
        <w:ind w:firstLine="640" w:firstLineChars="200"/>
        <w:rPr>
          <w:rFonts w:hint="default" w:ascii="Times New Roman" w:hAnsi="Times New Roman" w:eastAsia="仿宋_GB2312" w:cs="Times New Roman"/>
          <w:color w:val="000000"/>
          <w:sz w:val="32"/>
          <w:szCs w:val="32"/>
        </w:rPr>
      </w:pPr>
    </w:p>
    <w:p>
      <w:pPr>
        <w:spacing w:line="200" w:lineRule="exact"/>
        <w:ind w:firstLine="640" w:firstLineChars="200"/>
        <w:rPr>
          <w:rFonts w:hint="default" w:ascii="Times New Roman" w:hAnsi="Times New Roman" w:eastAsia="仿宋_GB2312" w:cs="Times New Roman"/>
          <w:color w:val="000000"/>
          <w:sz w:val="32"/>
          <w:szCs w:val="32"/>
        </w:rPr>
      </w:pPr>
    </w:p>
    <w:p>
      <w:pPr>
        <w:spacing w:line="200" w:lineRule="exact"/>
        <w:ind w:firstLine="640" w:firstLineChars="200"/>
        <w:rPr>
          <w:rFonts w:hint="default" w:ascii="Times New Roman" w:hAnsi="Times New Roman" w:eastAsia="仿宋_GB2312" w:cs="Times New Roman"/>
          <w:color w:val="000000"/>
          <w:sz w:val="32"/>
          <w:szCs w:val="32"/>
        </w:rPr>
      </w:pPr>
    </w:p>
    <w:p>
      <w:pPr>
        <w:spacing w:line="200" w:lineRule="exact"/>
        <w:rPr>
          <w:rFonts w:hint="default" w:ascii="Times New Roman" w:hAnsi="Times New Roman" w:eastAsia="仿宋_GB2312" w:cs="Times New Roman"/>
          <w:color w:val="000000"/>
          <w:sz w:val="32"/>
          <w:szCs w:val="32"/>
        </w:rPr>
      </w:pPr>
    </w:p>
    <w:p>
      <w:pPr>
        <w:spacing w:line="200" w:lineRule="exact"/>
        <w:rPr>
          <w:rFonts w:hint="default" w:ascii="Times New Roman" w:hAnsi="Times New Roman" w:eastAsia="仿宋_GB2312" w:cs="Times New Roman"/>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4MDFhMDU0NDFkMGIyNzY0ZjU1ZTFhOWU1M2JhMjgifQ=="/>
  </w:docVars>
  <w:rsids>
    <w:rsidRoot w:val="18FF3BBC"/>
    <w:rsid w:val="18FF3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2023-11-01T07:32:00Z</dcterms:created>
  <dc:creator>Administrator</dc:creator>
  <cp:lastModifiedBy>Administrator</cp:lastModifiedBy>
  <dcterms:modified xsi:type="dcterms:W3CDTF">2023-11-01T07:34:03Z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8C318E4230D54D53B727D175947F9F03_11</vt:lpwstr>
  </property>
</Properties>
</file>