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0A4D3">
      <w:pPr>
        <w:pStyle w:val="2"/>
        <w:widowControl/>
        <w:spacing w:before="0" w:beforeAutospacing="0" w:after="0" w:afterAutospacing="0" w:line="590" w:lineRule="exact"/>
        <w:jc w:val="center"/>
        <w:rPr>
          <w:rFonts w:ascii="方正小标宋简体" w:hAnsi="方正小标宋简体" w:eastAsia="方正小标宋简体" w:cs="方正小标宋简体"/>
          <w:b w:val="0"/>
          <w:bCs w:val="0"/>
          <w:color w:val="333333"/>
          <w:sz w:val="44"/>
          <w:szCs w:val="44"/>
          <w:shd w:val="clear" w:color="auto" w:fill="FFFFFF"/>
        </w:rPr>
      </w:pPr>
      <w:r>
        <w:rPr>
          <w:rFonts w:hint="eastAsia" w:ascii="方正小标宋简体" w:hAnsi="方正小标宋简体" w:eastAsia="方正小标宋简体" w:cs="方正小标宋简体"/>
          <w:b w:val="0"/>
          <w:bCs w:val="0"/>
          <w:color w:val="333333"/>
          <w:sz w:val="44"/>
          <w:szCs w:val="44"/>
          <w:shd w:val="clear" w:color="auto" w:fill="FFFFFF"/>
          <w:lang w:eastAsia="zh-CN"/>
        </w:rPr>
        <w:t>上杭</w:t>
      </w:r>
      <w:r>
        <w:rPr>
          <w:rFonts w:hint="eastAsia" w:ascii="方正小标宋简体" w:hAnsi="方正小标宋简体" w:eastAsia="方正小标宋简体" w:cs="方正小标宋简体"/>
          <w:b w:val="0"/>
          <w:bCs w:val="0"/>
          <w:color w:val="333333"/>
          <w:sz w:val="44"/>
          <w:szCs w:val="44"/>
          <w:shd w:val="clear" w:color="auto" w:fill="FFFFFF"/>
        </w:rPr>
        <w:t>县</w:t>
      </w:r>
      <w:r>
        <w:rPr>
          <w:rFonts w:hint="eastAsia" w:ascii="方正小标宋简体" w:hAnsi="方正小标宋简体" w:eastAsia="方正小标宋简体" w:cs="方正小标宋简体"/>
          <w:b w:val="0"/>
          <w:bCs w:val="0"/>
          <w:color w:val="333333"/>
          <w:sz w:val="44"/>
          <w:szCs w:val="44"/>
          <w:shd w:val="clear" w:color="auto" w:fill="FFFFFF"/>
          <w:lang w:val="en-US" w:eastAsia="zh-CN"/>
        </w:rPr>
        <w:t>太拔镇</w:t>
      </w:r>
      <w:r>
        <w:rPr>
          <w:rFonts w:hint="eastAsia" w:ascii="方正小标宋简体" w:hAnsi="方正小标宋简体" w:eastAsia="方正小标宋简体" w:cs="方正小标宋简体"/>
          <w:b w:val="0"/>
          <w:bCs w:val="0"/>
          <w:color w:val="333333"/>
          <w:sz w:val="44"/>
          <w:szCs w:val="44"/>
          <w:shd w:val="clear" w:color="auto" w:fill="FFFFFF"/>
        </w:rPr>
        <w:t>人民政府关于202</w:t>
      </w:r>
      <w:r>
        <w:rPr>
          <w:rFonts w:hint="eastAsia" w:ascii="方正小标宋简体" w:hAnsi="方正小标宋简体" w:eastAsia="方正小标宋简体" w:cs="方正小标宋简体"/>
          <w:b w:val="0"/>
          <w:bCs w:val="0"/>
          <w:color w:val="333333"/>
          <w:sz w:val="44"/>
          <w:szCs w:val="44"/>
          <w:shd w:val="clear" w:color="auto" w:fill="FFFFFF"/>
          <w:lang w:val="en-US" w:eastAsia="zh-CN"/>
        </w:rPr>
        <w:t>5</w:t>
      </w:r>
      <w:r>
        <w:rPr>
          <w:rFonts w:hint="eastAsia" w:ascii="方正小标宋简体" w:hAnsi="方正小标宋简体" w:eastAsia="方正小标宋简体" w:cs="方正小标宋简体"/>
          <w:b w:val="0"/>
          <w:bCs w:val="0"/>
          <w:color w:val="333333"/>
          <w:sz w:val="44"/>
          <w:szCs w:val="44"/>
          <w:shd w:val="clear" w:color="auto" w:fill="FFFFFF"/>
        </w:rPr>
        <w:t>年中央专项彩票公益金支持地方社会公益事业发展</w:t>
      </w:r>
    </w:p>
    <w:p w14:paraId="63E6620E">
      <w:pPr>
        <w:pStyle w:val="2"/>
        <w:widowControl/>
        <w:spacing w:before="0" w:beforeAutospacing="0" w:after="0" w:afterAutospacing="0" w:line="59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color w:val="333333"/>
          <w:sz w:val="44"/>
          <w:szCs w:val="44"/>
          <w:shd w:val="clear" w:color="auto" w:fill="FFFFFF"/>
        </w:rPr>
        <w:t>项目情况的公告</w:t>
      </w:r>
    </w:p>
    <w:p w14:paraId="58263D20">
      <w:pPr>
        <w:widowControl/>
        <w:ind w:firstLine="640" w:firstLineChars="200"/>
        <w:rPr>
          <w:rFonts w:ascii="Times New Roman" w:hAnsi="Times New Roman" w:eastAsia="仿宋_GB2312"/>
          <w:kern w:val="0"/>
          <w:sz w:val="32"/>
          <w:szCs w:val="32"/>
          <w:shd w:val="clear" w:color="auto" w:fill="FFFFFF"/>
        </w:rPr>
      </w:pPr>
    </w:p>
    <w:p w14:paraId="59C4307D">
      <w:pPr>
        <w:widowControl/>
        <w:ind w:firstLine="640" w:firstLineChars="200"/>
        <w:rPr>
          <w:rFonts w:ascii="Times New Roman" w:hAnsi="Times New Roman" w:eastAsia="仿宋_GB2312"/>
          <w:sz w:val="32"/>
          <w:szCs w:val="32"/>
        </w:rPr>
      </w:pPr>
      <w:r>
        <w:rPr>
          <w:rFonts w:ascii="Times New Roman" w:hAnsi="Times New Roman" w:eastAsia="仿宋_GB2312"/>
          <w:kern w:val="0"/>
          <w:sz w:val="32"/>
          <w:szCs w:val="32"/>
          <w:shd w:val="clear" w:color="auto" w:fill="FFFFFF"/>
        </w:rPr>
        <w:t>根据《福建省财政厅关于印发&lt;福建省中央专项彩票公益金支持地方社会公益事业发展资金管理办法（试行）&gt;的通知》</w:t>
      </w:r>
      <w:r>
        <w:rPr>
          <w:rFonts w:hint="eastAsia" w:ascii="Times New Roman" w:hAnsi="Times New Roman" w:eastAsia="仿宋_GB2312"/>
          <w:kern w:val="0"/>
          <w:sz w:val="32"/>
          <w:szCs w:val="32"/>
          <w:shd w:val="clear" w:color="auto" w:fill="FFFFFF"/>
        </w:rPr>
        <w:t>（</w:t>
      </w:r>
      <w:r>
        <w:rPr>
          <w:rFonts w:ascii="Times New Roman" w:hAnsi="Times New Roman" w:eastAsia="仿宋_GB2312"/>
          <w:kern w:val="0"/>
          <w:sz w:val="32"/>
          <w:szCs w:val="32"/>
          <w:shd w:val="clear" w:color="auto" w:fill="FFFFFF"/>
        </w:rPr>
        <w:t>闽财规〔2023〕24号</w:t>
      </w:r>
      <w:r>
        <w:rPr>
          <w:rFonts w:hint="eastAsia" w:ascii="Times New Roman" w:hAnsi="Times New Roman" w:eastAsia="仿宋_GB2312"/>
          <w:kern w:val="0"/>
          <w:sz w:val="32"/>
          <w:szCs w:val="32"/>
          <w:shd w:val="clear" w:color="auto" w:fill="FFFFFF"/>
        </w:rPr>
        <w:t>）</w:t>
      </w:r>
      <w:r>
        <w:rPr>
          <w:rFonts w:ascii="Times New Roman" w:hAnsi="Times New Roman" w:eastAsia="仿宋_GB2312"/>
          <w:kern w:val="0"/>
          <w:sz w:val="32"/>
          <w:szCs w:val="32"/>
          <w:shd w:val="clear" w:color="auto" w:fill="FFFFFF"/>
        </w:rPr>
        <w:t>文件要求，现将</w:t>
      </w:r>
      <w:r>
        <w:rPr>
          <w:rFonts w:hint="eastAsia" w:ascii="Times New Roman" w:hAnsi="Times New Roman" w:eastAsia="仿宋_GB2312"/>
          <w:kern w:val="0"/>
          <w:sz w:val="32"/>
          <w:szCs w:val="32"/>
          <w:shd w:val="clear" w:color="auto" w:fill="FFFFFF"/>
          <w:lang w:eastAsia="zh-CN"/>
        </w:rPr>
        <w:t>上杭</w:t>
      </w:r>
      <w:r>
        <w:rPr>
          <w:rFonts w:ascii="Times New Roman" w:hAnsi="Times New Roman" w:eastAsia="仿宋_GB2312"/>
          <w:kern w:val="0"/>
          <w:sz w:val="32"/>
          <w:szCs w:val="32"/>
          <w:shd w:val="clear" w:color="auto" w:fill="FFFFFF"/>
        </w:rPr>
        <w:t>县</w:t>
      </w:r>
      <w:r>
        <w:rPr>
          <w:rFonts w:hint="eastAsia" w:ascii="Times New Roman" w:hAnsi="Times New Roman" w:eastAsia="仿宋_GB2312"/>
          <w:kern w:val="0"/>
          <w:sz w:val="32"/>
          <w:szCs w:val="32"/>
          <w:shd w:val="clear" w:color="auto" w:fill="FFFFFF"/>
          <w:lang w:val="en-US" w:eastAsia="zh-CN"/>
        </w:rPr>
        <w:t>太拔镇</w:t>
      </w:r>
      <w:r>
        <w:rPr>
          <w:rFonts w:ascii="Times New Roman" w:hAnsi="Times New Roman" w:eastAsia="仿宋_GB2312"/>
          <w:kern w:val="0"/>
          <w:sz w:val="32"/>
          <w:szCs w:val="32"/>
          <w:shd w:val="clear" w:color="auto" w:fill="FFFFFF"/>
        </w:rPr>
        <w:t>202</w:t>
      </w:r>
      <w:r>
        <w:rPr>
          <w:rFonts w:hint="eastAsia" w:ascii="Times New Roman" w:hAnsi="Times New Roman" w:eastAsia="仿宋_GB2312"/>
          <w:kern w:val="0"/>
          <w:sz w:val="32"/>
          <w:szCs w:val="32"/>
          <w:shd w:val="clear" w:color="auto" w:fill="FFFFFF"/>
          <w:lang w:val="en-US" w:eastAsia="zh-CN"/>
        </w:rPr>
        <w:t>5</w:t>
      </w:r>
      <w:r>
        <w:rPr>
          <w:rFonts w:ascii="Times New Roman" w:hAnsi="Times New Roman" w:eastAsia="仿宋_GB2312"/>
          <w:kern w:val="0"/>
          <w:sz w:val="32"/>
          <w:szCs w:val="32"/>
          <w:shd w:val="clear" w:color="auto" w:fill="FFFFFF"/>
        </w:rPr>
        <w:t>年中央专项彩票公益金项目资金情况公告如下：</w:t>
      </w:r>
    </w:p>
    <w:p w14:paraId="0CEA5006">
      <w:pPr>
        <w:pStyle w:val="6"/>
        <w:widowControl/>
        <w:shd w:val="clear" w:color="auto" w:fill="FFFFFF"/>
        <w:spacing w:before="0" w:beforeAutospacing="0" w:after="0" w:afterAutospacing="0"/>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一、资金规模</w:t>
      </w:r>
    </w:p>
    <w:p w14:paraId="3AA2BBCC">
      <w:pPr>
        <w:pStyle w:val="6"/>
        <w:widowControl/>
        <w:shd w:val="clear" w:color="auto" w:fill="FFFFFF"/>
        <w:spacing w:before="0" w:beforeAutospacing="0" w:after="0" w:afterAutospacing="0"/>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上级下达我</w:t>
      </w:r>
      <w:r>
        <w:rPr>
          <w:rFonts w:hint="eastAsia" w:ascii="Times New Roman" w:hAnsi="Times New Roman" w:eastAsia="仿宋_GB2312"/>
          <w:sz w:val="32"/>
          <w:szCs w:val="32"/>
          <w:shd w:val="clear" w:color="auto" w:fill="FFFFFF"/>
          <w:lang w:eastAsia="zh-CN"/>
        </w:rPr>
        <w:t>镇</w:t>
      </w:r>
      <w:r>
        <w:rPr>
          <w:rFonts w:ascii="Times New Roman" w:hAnsi="Times New Roman" w:eastAsia="仿宋_GB2312"/>
          <w:sz w:val="32"/>
          <w:szCs w:val="32"/>
          <w:shd w:val="clear" w:color="auto" w:fill="FFFFFF"/>
        </w:rPr>
        <w:t>中央专项彩票公益金1</w:t>
      </w:r>
      <w:r>
        <w:rPr>
          <w:rFonts w:hint="eastAsia" w:ascii="Times New Roman" w:hAnsi="Times New Roman" w:eastAsia="仿宋_GB2312"/>
          <w:sz w:val="32"/>
          <w:szCs w:val="32"/>
          <w:shd w:val="clear" w:color="auto" w:fill="FFFFFF"/>
          <w:lang w:val="en-US" w:eastAsia="zh-CN"/>
        </w:rPr>
        <w:t>45</w:t>
      </w:r>
      <w:r>
        <w:rPr>
          <w:rFonts w:ascii="Times New Roman" w:hAnsi="Times New Roman" w:eastAsia="仿宋_GB2312"/>
          <w:sz w:val="32"/>
          <w:szCs w:val="32"/>
          <w:shd w:val="clear" w:color="auto" w:fill="FFFFFF"/>
        </w:rPr>
        <w:t>万元。用于支持</w:t>
      </w:r>
      <w:r>
        <w:rPr>
          <w:rFonts w:hint="eastAsia" w:ascii="Times New Roman" w:hAnsi="Times New Roman" w:eastAsia="仿宋_GB2312"/>
          <w:sz w:val="32"/>
          <w:szCs w:val="32"/>
          <w:shd w:val="clear" w:color="auto" w:fill="FFFFFF"/>
        </w:rPr>
        <w:t>上杭县太拔镇崇厦少数民族村一</w:t>
      </w:r>
      <w:bookmarkStart w:id="0" w:name="_GoBack"/>
      <w:bookmarkEnd w:id="0"/>
      <w:r>
        <w:rPr>
          <w:rFonts w:hint="eastAsia" w:ascii="Times New Roman" w:hAnsi="Times New Roman" w:eastAsia="仿宋_GB2312"/>
          <w:sz w:val="32"/>
          <w:szCs w:val="32"/>
          <w:shd w:val="clear" w:color="auto" w:fill="FFFFFF"/>
        </w:rPr>
        <w:t>溪两岸生态提升工程</w:t>
      </w:r>
      <w:r>
        <w:rPr>
          <w:rFonts w:ascii="Times New Roman" w:hAnsi="Times New Roman" w:eastAsia="仿宋_GB2312"/>
          <w:sz w:val="32"/>
          <w:szCs w:val="32"/>
          <w:shd w:val="clear" w:color="auto" w:fill="FFFFFF"/>
        </w:rPr>
        <w:t>。项目总体目标：</w:t>
      </w:r>
      <w:r>
        <w:rPr>
          <w:rFonts w:hint="eastAsia" w:ascii="Times New Roman" w:hAnsi="Times New Roman" w:eastAsia="仿宋_GB2312"/>
          <w:sz w:val="32"/>
          <w:szCs w:val="32"/>
          <w:shd w:val="clear" w:color="auto" w:fill="FFFFFF"/>
          <w:lang w:eastAsia="zh-CN"/>
        </w:rPr>
        <w:t>改建步道全长</w:t>
      </w:r>
      <w:r>
        <w:rPr>
          <w:rFonts w:hint="eastAsia" w:ascii="Times New Roman" w:hAnsi="Times New Roman" w:eastAsia="仿宋_GB2312"/>
          <w:sz w:val="32"/>
          <w:szCs w:val="32"/>
          <w:shd w:val="clear" w:color="auto" w:fill="FFFFFF"/>
          <w:lang w:val="en-US" w:eastAsia="zh-CN"/>
        </w:rPr>
        <w:t>800米，观景台和亲水平台700平方米，休息长廊一座，道路改造提升1600平方米，环境整治，配套建设给排水、路灯照明、安全监控系统、标识牌、绿化等附属设施</w:t>
      </w:r>
      <w:r>
        <w:rPr>
          <w:rFonts w:ascii="Times New Roman" w:hAnsi="Times New Roman" w:eastAsia="仿宋_GB2312"/>
          <w:sz w:val="32"/>
          <w:szCs w:val="32"/>
          <w:shd w:val="clear" w:color="auto" w:fill="FFFFFF"/>
        </w:rPr>
        <w:t>。</w:t>
      </w:r>
    </w:p>
    <w:p w14:paraId="6D04EFC8">
      <w:pPr>
        <w:pStyle w:val="6"/>
        <w:widowControl/>
        <w:shd w:val="clear" w:color="auto" w:fill="FFFFFF"/>
        <w:spacing w:before="0" w:beforeAutospacing="0" w:after="0" w:afterAutospacing="0"/>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二、支出内容</w:t>
      </w:r>
    </w:p>
    <w:p w14:paraId="7A8DAB7F">
      <w:pPr>
        <w:pStyle w:val="6"/>
        <w:widowControl/>
        <w:shd w:val="clear" w:color="auto" w:fill="FFFFFF"/>
        <w:spacing w:before="0" w:beforeAutospacing="0" w:after="0" w:afterAutospacing="0"/>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shd w:val="clear" w:color="auto" w:fill="FFFFFF"/>
          <w:lang w:val="en-US" w:eastAsia="zh-CN"/>
        </w:rPr>
        <w:t>太拔镇</w:t>
      </w:r>
      <w:r>
        <w:rPr>
          <w:rFonts w:ascii="Times New Roman" w:hAnsi="Times New Roman" w:eastAsia="仿宋_GB2312"/>
          <w:sz w:val="32"/>
          <w:szCs w:val="32"/>
          <w:shd w:val="clear" w:color="auto" w:fill="FFFFFF"/>
        </w:rPr>
        <w:t>人民政府已支付</w:t>
      </w:r>
      <w:r>
        <w:rPr>
          <w:rFonts w:hint="eastAsia" w:ascii="Times New Roman" w:hAnsi="Times New Roman" w:eastAsia="仿宋_GB2312"/>
          <w:sz w:val="32"/>
          <w:szCs w:val="32"/>
          <w:shd w:val="clear" w:color="auto" w:fill="FFFFFF"/>
        </w:rPr>
        <w:t>上杭县太拔镇崇厦少数民族一溪两岸生态提升工程</w:t>
      </w:r>
      <w:r>
        <w:rPr>
          <w:rFonts w:ascii="Times New Roman" w:hAnsi="Times New Roman" w:eastAsia="仿宋_GB2312"/>
          <w:sz w:val="32"/>
          <w:szCs w:val="32"/>
          <w:shd w:val="clear" w:color="auto" w:fill="FFFFFF"/>
        </w:rPr>
        <w:t>103.</w:t>
      </w:r>
      <w:r>
        <w:rPr>
          <w:rFonts w:hint="eastAsia" w:ascii="Times New Roman" w:hAnsi="Times New Roman" w:eastAsia="仿宋_GB2312"/>
          <w:sz w:val="32"/>
          <w:szCs w:val="32"/>
          <w:shd w:val="clear" w:color="auto" w:fill="FFFFFF"/>
          <w:lang w:val="en-US" w:eastAsia="zh-CN"/>
        </w:rPr>
        <w:t>0695</w:t>
      </w:r>
      <w:r>
        <w:rPr>
          <w:rFonts w:ascii="Times New Roman" w:hAnsi="Times New Roman" w:eastAsia="仿宋_GB2312"/>
          <w:sz w:val="32"/>
          <w:szCs w:val="32"/>
          <w:shd w:val="clear" w:color="auto" w:fill="FFFFFF"/>
        </w:rPr>
        <w:t>万元</w:t>
      </w:r>
      <w:r>
        <w:rPr>
          <w:rFonts w:hint="eastAsia" w:ascii="Times New Roman" w:hAnsi="Times New Roman" w:eastAsia="仿宋_GB2312"/>
          <w:sz w:val="32"/>
          <w:szCs w:val="32"/>
          <w:shd w:val="clear" w:color="auto" w:fill="FFFFFF"/>
          <w:lang w:eastAsia="zh-CN"/>
        </w:rPr>
        <w:t>、</w:t>
      </w:r>
      <w:r>
        <w:rPr>
          <w:rFonts w:hint="eastAsia" w:ascii="Times New Roman" w:hAnsi="Times New Roman" w:eastAsia="仿宋_GB2312"/>
          <w:sz w:val="32"/>
          <w:szCs w:val="32"/>
          <w:shd w:val="clear" w:color="auto" w:fill="FFFFFF"/>
        </w:rPr>
        <w:t>上杭县太拔镇崇厦少数民族一溪两岸生态提升工程（二期）</w:t>
      </w:r>
      <w:r>
        <w:rPr>
          <w:rFonts w:hint="eastAsia" w:ascii="Times New Roman" w:hAnsi="Times New Roman" w:eastAsia="仿宋_GB2312"/>
          <w:sz w:val="32"/>
          <w:szCs w:val="32"/>
          <w:shd w:val="clear" w:color="auto" w:fill="FFFFFF"/>
          <w:lang w:val="en-US" w:eastAsia="zh-CN"/>
        </w:rPr>
        <w:t>24.4581万元，</w:t>
      </w:r>
      <w:r>
        <w:rPr>
          <w:rFonts w:ascii="Times New Roman" w:hAnsi="Times New Roman" w:eastAsia="仿宋_GB2312"/>
          <w:sz w:val="32"/>
          <w:szCs w:val="32"/>
          <w:shd w:val="clear" w:color="auto" w:fill="FFFFFF"/>
        </w:rPr>
        <w:t>主要用于支付前期工程预算费和工程进度款等。</w:t>
      </w:r>
    </w:p>
    <w:p w14:paraId="2A648FF4">
      <w:pPr>
        <w:pStyle w:val="6"/>
        <w:widowControl/>
        <w:shd w:val="clear" w:color="auto" w:fill="FFFFFF"/>
        <w:spacing w:before="0" w:beforeAutospacing="0" w:after="0" w:afterAutospacing="0"/>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三、执行情况</w:t>
      </w:r>
    </w:p>
    <w:p w14:paraId="44FF75F1">
      <w:pPr>
        <w:pStyle w:val="6"/>
        <w:widowControl/>
        <w:shd w:val="clear" w:color="auto" w:fill="FFFFFF"/>
        <w:spacing w:before="0" w:beforeAutospacing="0" w:after="0" w:afterAutospacing="0"/>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截止202</w:t>
      </w:r>
      <w:r>
        <w:rPr>
          <w:rFonts w:hint="eastAsia" w:ascii="Times New Roman" w:hAnsi="Times New Roman" w:eastAsia="仿宋_GB2312"/>
          <w:sz w:val="32"/>
          <w:szCs w:val="32"/>
          <w:shd w:val="clear" w:color="auto" w:fill="FFFFFF"/>
          <w:lang w:val="en-US" w:eastAsia="zh-CN"/>
        </w:rPr>
        <w:t>6</w:t>
      </w:r>
      <w:r>
        <w:rPr>
          <w:rFonts w:ascii="Times New Roman" w:hAnsi="Times New Roman" w:eastAsia="仿宋_GB2312"/>
          <w:sz w:val="32"/>
          <w:szCs w:val="32"/>
          <w:shd w:val="clear" w:color="auto" w:fill="FFFFFF"/>
        </w:rPr>
        <w:t>年</w:t>
      </w:r>
      <w:r>
        <w:rPr>
          <w:rFonts w:hint="eastAsia" w:ascii="Times New Roman" w:hAnsi="Times New Roman" w:eastAsia="仿宋_GB2312"/>
          <w:sz w:val="32"/>
          <w:szCs w:val="32"/>
          <w:shd w:val="clear" w:color="auto" w:fill="FFFFFF"/>
          <w:lang w:val="en-US" w:eastAsia="zh-CN"/>
        </w:rPr>
        <w:t>6</w:t>
      </w:r>
      <w:r>
        <w:rPr>
          <w:rFonts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lang w:val="en-US" w:eastAsia="zh-CN"/>
        </w:rPr>
        <w:t>11日</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val="en-US" w:eastAsia="zh-CN"/>
        </w:rPr>
        <w:t>太拔镇</w:t>
      </w:r>
      <w:r>
        <w:rPr>
          <w:rFonts w:ascii="Times New Roman" w:hAnsi="Times New Roman" w:eastAsia="仿宋_GB2312"/>
          <w:sz w:val="32"/>
          <w:szCs w:val="32"/>
          <w:shd w:val="clear" w:color="auto" w:fill="FFFFFF"/>
        </w:rPr>
        <w:t>人民政府已支付</w:t>
      </w:r>
      <w:r>
        <w:rPr>
          <w:rFonts w:hint="eastAsia" w:ascii="Times New Roman" w:hAnsi="Times New Roman" w:eastAsia="仿宋_GB2312"/>
          <w:sz w:val="32"/>
          <w:szCs w:val="32"/>
          <w:shd w:val="clear" w:color="auto" w:fill="FFFFFF"/>
        </w:rPr>
        <w:t>上杭县太拔镇崇厦少数民族一溪两岸生态提升工程</w:t>
      </w:r>
      <w:r>
        <w:rPr>
          <w:rFonts w:ascii="Times New Roman" w:hAnsi="Times New Roman" w:eastAsia="仿宋_GB2312"/>
          <w:sz w:val="32"/>
          <w:szCs w:val="32"/>
          <w:shd w:val="clear" w:color="auto" w:fill="FFFFFF"/>
        </w:rPr>
        <w:t>103.</w:t>
      </w:r>
      <w:r>
        <w:rPr>
          <w:rFonts w:hint="eastAsia" w:ascii="Times New Roman" w:hAnsi="Times New Roman" w:eastAsia="仿宋_GB2312"/>
          <w:sz w:val="32"/>
          <w:szCs w:val="32"/>
          <w:shd w:val="clear" w:color="auto" w:fill="FFFFFF"/>
          <w:lang w:val="en-US" w:eastAsia="zh-CN"/>
        </w:rPr>
        <w:t>0695</w:t>
      </w:r>
      <w:r>
        <w:rPr>
          <w:rFonts w:ascii="Times New Roman" w:hAnsi="Times New Roman" w:eastAsia="仿宋_GB2312"/>
          <w:sz w:val="32"/>
          <w:szCs w:val="32"/>
          <w:shd w:val="clear" w:color="auto" w:fill="FFFFFF"/>
        </w:rPr>
        <w:t>万元</w:t>
      </w:r>
      <w:r>
        <w:rPr>
          <w:rFonts w:hint="eastAsia" w:ascii="Times New Roman" w:hAnsi="Times New Roman" w:eastAsia="仿宋_GB2312"/>
          <w:sz w:val="32"/>
          <w:szCs w:val="32"/>
          <w:shd w:val="clear" w:color="auto" w:fill="FFFFFF"/>
          <w:lang w:eastAsia="zh-CN"/>
        </w:rPr>
        <w:t>，</w:t>
      </w:r>
      <w:r>
        <w:rPr>
          <w:rFonts w:ascii="Times New Roman" w:hAnsi="Times New Roman" w:eastAsia="仿宋_GB2312"/>
          <w:sz w:val="32"/>
          <w:szCs w:val="32"/>
          <w:shd w:val="clear" w:color="auto" w:fill="FFFFFF"/>
        </w:rPr>
        <w:t>执行率8</w:t>
      </w:r>
      <w:r>
        <w:rPr>
          <w:rFonts w:hint="eastAsia" w:ascii="Times New Roman" w:hAnsi="Times New Roman" w:eastAsia="仿宋_GB2312"/>
          <w:sz w:val="32"/>
          <w:szCs w:val="32"/>
          <w:shd w:val="clear" w:color="auto" w:fill="FFFFFF"/>
          <w:lang w:val="en-US" w:eastAsia="zh-CN"/>
        </w:rPr>
        <w:t>5</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val="en-US" w:eastAsia="zh-CN"/>
        </w:rPr>
        <w:t>89</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eastAsia="zh-CN"/>
        </w:rPr>
        <w:t>；</w:t>
      </w:r>
      <w:r>
        <w:rPr>
          <w:rFonts w:ascii="Times New Roman" w:hAnsi="Times New Roman" w:eastAsia="仿宋_GB2312"/>
          <w:sz w:val="32"/>
          <w:szCs w:val="32"/>
          <w:shd w:val="clear" w:color="auto" w:fill="FFFFFF"/>
        </w:rPr>
        <w:t>已支付</w:t>
      </w:r>
      <w:r>
        <w:rPr>
          <w:rFonts w:hint="eastAsia" w:ascii="Times New Roman" w:hAnsi="Times New Roman" w:eastAsia="仿宋_GB2312"/>
          <w:sz w:val="32"/>
          <w:szCs w:val="32"/>
          <w:shd w:val="clear" w:color="auto" w:fill="FFFFFF"/>
        </w:rPr>
        <w:t>上杭县太拔镇崇厦少数民族一溪两岸生态提升工程（二期）</w:t>
      </w:r>
      <w:r>
        <w:rPr>
          <w:rFonts w:hint="eastAsia" w:ascii="Times New Roman" w:hAnsi="Times New Roman" w:eastAsia="仿宋_GB2312"/>
          <w:sz w:val="32"/>
          <w:szCs w:val="32"/>
          <w:shd w:val="clear" w:color="auto" w:fill="FFFFFF"/>
          <w:lang w:val="en-US" w:eastAsia="zh-CN"/>
        </w:rPr>
        <w:t>24.4581万元，</w:t>
      </w:r>
      <w:r>
        <w:rPr>
          <w:rFonts w:ascii="Times New Roman" w:hAnsi="Times New Roman" w:eastAsia="仿宋_GB2312"/>
          <w:sz w:val="32"/>
          <w:szCs w:val="32"/>
          <w:shd w:val="clear" w:color="auto" w:fill="FFFFFF"/>
        </w:rPr>
        <w:t>执行率</w:t>
      </w:r>
      <w:r>
        <w:rPr>
          <w:rFonts w:hint="eastAsia" w:ascii="Times New Roman" w:hAnsi="Times New Roman" w:eastAsia="仿宋_GB2312"/>
          <w:sz w:val="32"/>
          <w:szCs w:val="32"/>
          <w:shd w:val="clear" w:color="auto" w:fill="FFFFFF"/>
          <w:lang w:val="en-US" w:eastAsia="zh-CN"/>
        </w:rPr>
        <w:t>97.83</w:t>
      </w:r>
      <w:r>
        <w:rPr>
          <w:rFonts w:ascii="Times New Roman" w:hAnsi="Times New Roman" w:eastAsia="仿宋_GB2312"/>
          <w:sz w:val="32"/>
          <w:szCs w:val="32"/>
          <w:shd w:val="clear" w:color="auto" w:fill="FFFFFF"/>
        </w:rPr>
        <w:t>%。</w:t>
      </w:r>
    </w:p>
    <w:p w14:paraId="03C39813">
      <w:pPr>
        <w:pStyle w:val="6"/>
        <w:widowControl/>
        <w:shd w:val="clear" w:color="auto" w:fill="FFFFFF"/>
        <w:spacing w:before="0" w:beforeAutospacing="0" w:after="0" w:afterAutospacing="0"/>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四、实际效果</w:t>
      </w:r>
    </w:p>
    <w:p w14:paraId="0E767B6D">
      <w:pPr>
        <w:pStyle w:val="6"/>
        <w:widowControl/>
        <w:shd w:val="clear" w:color="auto" w:fill="FFFFFF"/>
        <w:spacing w:before="0" w:beforeAutospacing="0" w:after="0" w:afterAutospacing="0"/>
        <w:ind w:firstLine="640" w:firstLineChars="20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中央专项彩票公益金的注入</w:t>
      </w:r>
      <w:r>
        <w:rPr>
          <w:rFonts w:hint="eastAsia" w:ascii="Times New Roman" w:hAnsi="Times New Roman" w:eastAsia="仿宋_GB2312"/>
          <w:sz w:val="32"/>
          <w:szCs w:val="32"/>
          <w:shd w:val="clear" w:color="auto" w:fill="FFFFFF"/>
          <w:lang w:eastAsia="zh-CN"/>
        </w:rPr>
        <w:t>进一步改善了上杭县太拔镇</w:t>
      </w:r>
      <w:r>
        <w:rPr>
          <w:rFonts w:hint="eastAsia" w:ascii="Times New Roman" w:hAnsi="Times New Roman" w:eastAsia="仿宋_GB2312"/>
          <w:sz w:val="32"/>
          <w:szCs w:val="32"/>
          <w:shd w:val="clear" w:color="auto" w:fill="FFFFFF"/>
          <w:lang w:val="en-US" w:eastAsia="zh-CN"/>
        </w:rPr>
        <w:t>崇厦少数民族村生态环境和人居环境，提升崇厦村整体形象和面貌，也满足了群众日益增长的健身需要，同时项目实施将进一步丰富太拔镇崇厦少数民族村乡村旅游内容和品质，对于苏区老区振兴发展，“美丽崇厦、生态崇厦”建设和推进上杭县太拔镇旅游业高质量发展将起到重要的推进作用。</w:t>
      </w:r>
    </w:p>
    <w:p w14:paraId="7EB6A760">
      <w:pPr>
        <w:pStyle w:val="6"/>
        <w:widowControl/>
        <w:shd w:val="clear" w:color="auto" w:fill="FFFFFF"/>
        <w:spacing w:before="0" w:beforeAutospacing="0" w:after="0" w:afterAutospacing="0"/>
        <w:ind w:firstLine="640" w:firstLineChars="200"/>
        <w:jc w:val="both"/>
        <w:rPr>
          <w:rFonts w:ascii="Times New Roman" w:hAnsi="Times New Roman" w:eastAsia="仿宋_GB2312"/>
          <w:sz w:val="32"/>
          <w:szCs w:val="32"/>
        </w:rPr>
      </w:pPr>
    </w:p>
    <w:p w14:paraId="63E67370">
      <w:pPr>
        <w:pStyle w:val="6"/>
        <w:widowControl/>
        <w:shd w:val="clear" w:color="auto" w:fill="FFFFFF"/>
        <w:spacing w:before="0" w:beforeAutospacing="0" w:after="0" w:afterAutospacing="0"/>
        <w:ind w:firstLine="640" w:firstLineChars="200"/>
        <w:jc w:val="right"/>
        <w:rPr>
          <w:rFonts w:ascii="Times New Roman" w:hAnsi="Times New Roman" w:eastAsia="仿宋_GB2312"/>
          <w:sz w:val="32"/>
          <w:szCs w:val="32"/>
        </w:rPr>
      </w:pPr>
      <w:r>
        <w:rPr>
          <w:rFonts w:ascii="Times New Roman" w:hAnsi="Times New Roman" w:eastAsia="仿宋_GB2312"/>
          <w:sz w:val="32"/>
          <w:szCs w:val="32"/>
          <w:shd w:val="clear" w:color="auto" w:fill="FFFFFF"/>
        </w:rPr>
        <w:t xml:space="preserve">                          </w:t>
      </w:r>
      <w:r>
        <w:rPr>
          <w:rFonts w:hint="eastAsia" w:ascii="Times New Roman" w:hAnsi="Times New Roman" w:eastAsia="仿宋_GB2312"/>
          <w:sz w:val="32"/>
          <w:szCs w:val="32"/>
          <w:shd w:val="clear" w:color="auto" w:fill="FFFFFF"/>
          <w:lang w:val="en-US" w:eastAsia="zh-CN"/>
        </w:rPr>
        <w:t>太拔镇</w:t>
      </w:r>
      <w:r>
        <w:rPr>
          <w:rFonts w:ascii="Times New Roman" w:hAnsi="Times New Roman" w:eastAsia="仿宋_GB2312"/>
          <w:sz w:val="32"/>
          <w:szCs w:val="32"/>
          <w:shd w:val="clear" w:color="auto" w:fill="FFFFFF"/>
        </w:rPr>
        <w:t>人民政府</w:t>
      </w:r>
    </w:p>
    <w:p w14:paraId="769B272D">
      <w:pPr>
        <w:pStyle w:val="6"/>
        <w:widowControl/>
        <w:shd w:val="clear" w:color="auto" w:fill="FFFFFF"/>
        <w:spacing w:before="0" w:beforeAutospacing="0" w:after="0" w:afterAutospacing="0"/>
        <w:ind w:firstLine="640" w:firstLineChars="200"/>
        <w:jc w:val="right"/>
        <w:rPr>
          <w:rFonts w:ascii="Times New Roman" w:hAnsi="Times New Roman" w:eastAsia="仿宋_GB2312"/>
          <w:sz w:val="32"/>
          <w:szCs w:val="32"/>
        </w:rPr>
      </w:pPr>
      <w:r>
        <w:rPr>
          <w:rFonts w:ascii="Times New Roman" w:hAnsi="Times New Roman" w:eastAsia="仿宋_GB2312"/>
          <w:sz w:val="32"/>
          <w:szCs w:val="32"/>
          <w:shd w:val="clear" w:color="auto" w:fill="FFFFFF"/>
        </w:rPr>
        <w:t>202</w:t>
      </w:r>
      <w:r>
        <w:rPr>
          <w:rFonts w:hint="eastAsia" w:ascii="Times New Roman" w:hAnsi="Times New Roman" w:eastAsia="仿宋_GB2312"/>
          <w:sz w:val="32"/>
          <w:szCs w:val="32"/>
          <w:shd w:val="clear" w:color="auto" w:fill="FFFFFF"/>
          <w:lang w:val="en-US" w:eastAsia="zh-CN"/>
        </w:rPr>
        <w:t>6</w:t>
      </w:r>
      <w:r>
        <w:rPr>
          <w:rFonts w:ascii="Times New Roman" w:hAnsi="Times New Roman" w:eastAsia="仿宋_GB2312"/>
          <w:sz w:val="32"/>
          <w:szCs w:val="32"/>
          <w:shd w:val="clear" w:color="auto" w:fill="FFFFFF"/>
        </w:rPr>
        <w:t>年</w:t>
      </w:r>
      <w:r>
        <w:rPr>
          <w:rFonts w:hint="eastAsia" w:ascii="Times New Roman" w:hAnsi="Times New Roman" w:eastAsia="仿宋_GB2312"/>
          <w:sz w:val="32"/>
          <w:szCs w:val="32"/>
          <w:shd w:val="clear" w:color="auto" w:fill="FFFFFF"/>
          <w:lang w:val="en-US" w:eastAsia="zh-CN"/>
        </w:rPr>
        <w:t>6</w:t>
      </w:r>
      <w:r>
        <w:rPr>
          <w:rFonts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lang w:val="en-US" w:eastAsia="zh-CN"/>
        </w:rPr>
        <w:t>11</w:t>
      </w:r>
      <w:r>
        <w:rPr>
          <w:rFonts w:ascii="Times New Roman" w:hAnsi="Times New Roman" w:eastAsia="仿宋_GB2312"/>
          <w:sz w:val="32"/>
          <w:szCs w:val="32"/>
          <w:shd w:val="clear" w:color="auto" w:fill="FFFFFF"/>
        </w:rPr>
        <w:t>日</w:t>
      </w:r>
    </w:p>
    <w:p w14:paraId="24A0B176">
      <w:pPr>
        <w:ind w:firstLine="640" w:firstLineChars="200"/>
        <w:rPr>
          <w:rFonts w:ascii="Times New Roman" w:hAnsi="Times New Roman" w:eastAsia="仿宋_GB2312"/>
          <w:sz w:val="32"/>
          <w:szCs w:val="32"/>
        </w:rPr>
      </w:pPr>
    </w:p>
    <w:sectPr>
      <w:pgSz w:w="11906" w:h="16838"/>
      <w:pgMar w:top="1928" w:right="1587" w:bottom="1701" w:left="1587"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29AF95-2FD5-4C90-86FF-F2CF3B5AEB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286B6D90-2B7F-4DD0-B2BD-13A07EFE3811}"/>
  </w:font>
  <w:font w:name="仿宋_GB2312">
    <w:altName w:val="仿宋"/>
    <w:panose1 w:val="02010609030101010101"/>
    <w:charset w:val="86"/>
    <w:family w:val="modern"/>
    <w:pitch w:val="default"/>
    <w:sig w:usb0="00000000" w:usb1="00000000" w:usb2="00000000" w:usb3="00000000" w:csb0="00040000" w:csb1="00000000"/>
    <w:embedRegular r:id="rId3" w:fontKey="{69BAB92C-910B-470E-AAA5-A547946D08DB}"/>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23E"/>
    <w:rsid w:val="000C4066"/>
    <w:rsid w:val="001064F2"/>
    <w:rsid w:val="00217B0A"/>
    <w:rsid w:val="00562456"/>
    <w:rsid w:val="0058548B"/>
    <w:rsid w:val="005B756B"/>
    <w:rsid w:val="00846C76"/>
    <w:rsid w:val="00857E7A"/>
    <w:rsid w:val="00C9323E"/>
    <w:rsid w:val="00D14386"/>
    <w:rsid w:val="00E95217"/>
    <w:rsid w:val="0F7665D0"/>
    <w:rsid w:val="3FBF1B00"/>
    <w:rsid w:val="58206200"/>
    <w:rsid w:val="5FFF9D6D"/>
    <w:rsid w:val="E985B733"/>
    <w:rsid w:val="F6DBDEB9"/>
    <w:rsid w:val="F6FF28A1"/>
    <w:rsid w:val="FE771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link w:val="12"/>
    <w:qFormat/>
    <w:uiPriority w:val="99"/>
    <w:pPr>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spacing w:before="100" w:beforeAutospacing="1" w:after="100" w:afterAutospacing="1"/>
      <w:jc w:val="left"/>
    </w:pPr>
    <w:rPr>
      <w:kern w:val="0"/>
      <w:sz w:val="24"/>
      <w:szCs w:val="24"/>
    </w:r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qFormat/>
    <w:uiPriority w:val="99"/>
    <w:rPr>
      <w:rFonts w:ascii="Calibri" w:hAnsi="Calibri" w:eastAsia="宋体" w:cs="Times New Roman"/>
      <w:sz w:val="18"/>
      <w:szCs w:val="18"/>
    </w:rPr>
  </w:style>
  <w:style w:type="character" w:customStyle="1" w:styleId="12">
    <w:name w:val="标题 2 Char"/>
    <w:basedOn w:val="8"/>
    <w:link w:val="2"/>
    <w:qFormat/>
    <w:uiPriority w:val="9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636</Words>
  <Characters>699</Characters>
  <Lines>3</Lines>
  <Paragraphs>1</Paragraphs>
  <TotalTime>44</TotalTime>
  <ScaleCrop>false</ScaleCrop>
  <LinksUpToDate>false</LinksUpToDate>
  <CharactersWithSpaces>725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2025-05-21T00:28:00Z</dcterms:created>
  <dc:creator>Administrator</dc:creator>
  <cp:lastModifiedBy>張   艺   兴</cp:lastModifiedBy>
  <dcterms:modified xsi:type="dcterms:W3CDTF">2026-06-15T08:59:14Z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2EEE8B3DF4D360284B192A6A7D87A4D4</vt:lpwstr>
  </property>
  <property fmtid="{D5CDD505-2E9C-101B-9397-08002B2CF9AE}" pid="4" name="KSOTemplateDocerSaveRecord">
    <vt:lpwstr>eyJoZGlkIjoiN2U1YWE1ZWEwZTI0MTY2ZGRkNWFhOTJkYmJmZmY5NGMiLCJ1c2VySWQiOiI2MjkwOTY5NTgifQ==</vt:lpwstr>
  </property>
</Properties>
</file>