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sz w:val="32"/>
          <w:szCs w:val="32"/>
        </w:rPr>
      </w:pPr>
      <w:r>
        <w:rPr>
          <w:rFonts w:hint="eastAsia"/>
          <w:sz w:val="32"/>
          <w:szCs w:val="32"/>
        </w:rPr>
        <w:t>附件2：</w:t>
      </w:r>
    </w:p>
    <w:p>
      <w:pPr>
        <w:widowControl/>
        <w:rPr>
          <w:sz w:val="32"/>
          <w:szCs w:val="32"/>
        </w:rPr>
      </w:pP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202</w:t>
      </w:r>
      <w:r>
        <w:rPr>
          <w:rFonts w:hint="eastAsia" w:ascii="方正小标宋简体" w:eastAsia="方正小标宋简体"/>
          <w:sz w:val="84"/>
          <w:szCs w:val="84"/>
          <w:lang w:val="en-US" w:eastAsia="zh-CN"/>
        </w:rPr>
        <w:t>2</w:t>
      </w:r>
      <w:r>
        <w:rPr>
          <w:rFonts w:hint="eastAsia" w:ascii="方正小标宋简体" w:eastAsia="方正小标宋简体"/>
          <w:sz w:val="84"/>
          <w:szCs w:val="84"/>
        </w:rPr>
        <w:t>年度</w:t>
      </w: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福建省上杭县南阳镇部门预算</w:t>
      </w:r>
    </w:p>
    <w:p>
      <w:pPr>
        <w:widowControl/>
        <w:rPr>
          <w:sz w:val="84"/>
          <w:szCs w:val="84"/>
        </w:rPr>
      </w:pPr>
      <w:r>
        <w:rPr>
          <w:sz w:val="84"/>
          <w:szCs w:val="84"/>
        </w:rPr>
        <w:br w:type="page"/>
      </w:r>
    </w:p>
    <w:p>
      <w:pPr>
        <w:pStyle w:val="2"/>
        <w:jc w:val="center"/>
        <w:rPr>
          <w:rFonts w:asciiTheme="majorEastAsia" w:hAnsiTheme="majorEastAsia" w:eastAsiaTheme="majorEastAsia"/>
          <w:b/>
          <w:sz w:val="36"/>
          <w:lang w:eastAsia="zh-CN"/>
        </w:rPr>
      </w:pPr>
      <w:r>
        <w:rPr>
          <w:rFonts w:hint="eastAsia" w:asciiTheme="majorEastAsia" w:hAnsiTheme="majorEastAsia" w:eastAsiaTheme="majorEastAsia"/>
          <w:b/>
          <w:sz w:val="36"/>
          <w:lang w:eastAsia="zh-CN"/>
        </w:rPr>
        <w:t>目  录</w:t>
      </w:r>
    </w:p>
    <w:p>
      <w:pPr>
        <w:pStyle w:val="2"/>
        <w:rPr>
          <w:rFonts w:asciiTheme="majorEastAsia" w:hAnsiTheme="majorEastAsia" w:eastAsiaTheme="majorEastAsia"/>
          <w:sz w:val="36"/>
          <w:lang w:eastAsia="zh-CN"/>
        </w:rPr>
      </w:pPr>
    </w:p>
    <w:p>
      <w:pPr>
        <w:pStyle w:val="2"/>
        <w:rPr>
          <w:rFonts w:asciiTheme="majorEastAsia" w:hAnsiTheme="majorEastAsia" w:eastAsiaTheme="majorEastAsia"/>
          <w:b/>
          <w:sz w:val="36"/>
          <w:lang w:eastAsia="zh-CN"/>
        </w:rPr>
      </w:pPr>
      <w:r>
        <w:rPr>
          <w:rFonts w:hint="eastAsia" w:asciiTheme="majorEastAsia" w:hAnsiTheme="majorEastAsia" w:eastAsiaTheme="majorEastAsia"/>
          <w:b/>
          <w:sz w:val="36"/>
          <w:lang w:eastAsia="zh-CN"/>
        </w:rPr>
        <w:t>第一部分 部门概况</w:t>
      </w:r>
      <w:r>
        <w:rPr>
          <w:rFonts w:asciiTheme="majorEastAsia" w:hAnsiTheme="majorEastAsia" w:eastAsiaTheme="majorEastAsia"/>
          <w:b/>
          <w:sz w:val="36"/>
          <w:lang w:eastAsia="zh-CN"/>
        </w:rPr>
        <w:t>…………………………………</w:t>
      </w:r>
    </w:p>
    <w:p>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一、部门主要职责</w:t>
      </w:r>
      <w:r>
        <w:rPr>
          <w:rFonts w:asciiTheme="majorEastAsia" w:hAnsiTheme="majorEastAsia" w:eastAsiaTheme="majorEastAsia"/>
          <w:sz w:val="36"/>
          <w:lang w:eastAsia="zh-CN"/>
        </w:rPr>
        <w:t>……………………………………</w:t>
      </w:r>
    </w:p>
    <w:p>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二、部门预算单位构成</w:t>
      </w:r>
      <w:r>
        <w:rPr>
          <w:rFonts w:asciiTheme="majorEastAsia" w:hAnsiTheme="majorEastAsia" w:eastAsiaTheme="majorEastAsia"/>
          <w:sz w:val="36"/>
          <w:lang w:eastAsia="zh-CN"/>
        </w:rPr>
        <w:t>………………………………</w:t>
      </w:r>
    </w:p>
    <w:p>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三、部门主要工作任务</w:t>
      </w:r>
      <w:r>
        <w:rPr>
          <w:rFonts w:asciiTheme="majorEastAsia" w:hAnsiTheme="majorEastAsia" w:eastAsiaTheme="majorEastAsia"/>
          <w:sz w:val="36"/>
          <w:lang w:eastAsia="zh-CN"/>
        </w:rPr>
        <w:t>………………………………</w:t>
      </w:r>
    </w:p>
    <w:p>
      <w:pPr>
        <w:pStyle w:val="2"/>
        <w:rPr>
          <w:rFonts w:asciiTheme="majorEastAsia" w:hAnsiTheme="majorEastAsia" w:eastAsiaTheme="majorEastAsia"/>
          <w:b/>
          <w:sz w:val="36"/>
          <w:lang w:eastAsia="zh-CN"/>
        </w:rPr>
      </w:pPr>
      <w:r>
        <w:rPr>
          <w:rFonts w:hint="eastAsia" w:asciiTheme="majorEastAsia" w:hAnsiTheme="majorEastAsia" w:eastAsiaTheme="majorEastAsia"/>
          <w:b/>
          <w:sz w:val="36"/>
          <w:lang w:eastAsia="zh-CN"/>
        </w:rPr>
        <w:t xml:space="preserve">第二部分 </w:t>
      </w:r>
      <w:r>
        <w:rPr>
          <w:rFonts w:hint="eastAsia" w:ascii="仿宋" w:hAnsi="仿宋" w:eastAsia="仿宋" w:cs="仿宋_GB2312"/>
          <w:sz w:val="32"/>
          <w:szCs w:val="32"/>
          <w:lang w:eastAsia="zh-CN"/>
        </w:rPr>
        <w:t>202</w:t>
      </w:r>
      <w:r>
        <w:rPr>
          <w:rFonts w:hint="eastAsia" w:ascii="仿宋" w:hAnsi="仿宋" w:eastAsia="仿宋" w:cs="仿宋_GB2312"/>
          <w:sz w:val="32"/>
          <w:szCs w:val="32"/>
          <w:lang w:val="en-US" w:eastAsia="zh-CN"/>
        </w:rPr>
        <w:t>2</w:t>
      </w:r>
      <w:r>
        <w:rPr>
          <w:rFonts w:hint="eastAsia" w:asciiTheme="majorEastAsia" w:hAnsiTheme="majorEastAsia" w:eastAsiaTheme="majorEastAsia"/>
          <w:b/>
          <w:sz w:val="36"/>
          <w:lang w:eastAsia="zh-CN"/>
        </w:rPr>
        <w:t>年度部门预算表</w:t>
      </w:r>
      <w:r>
        <w:rPr>
          <w:rFonts w:asciiTheme="majorEastAsia" w:hAnsiTheme="majorEastAsia" w:eastAsiaTheme="majorEastAsia"/>
          <w:sz w:val="36"/>
          <w:lang w:eastAsia="zh-CN"/>
        </w:rPr>
        <w:t>………………………</w:t>
      </w:r>
    </w:p>
    <w:p>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一、收支预算总表</w:t>
      </w:r>
      <w:r>
        <w:rPr>
          <w:rFonts w:asciiTheme="majorEastAsia" w:hAnsiTheme="majorEastAsia" w:eastAsiaTheme="majorEastAsia"/>
          <w:sz w:val="36"/>
          <w:lang w:eastAsia="zh-CN"/>
        </w:rPr>
        <w:t>……………………………………</w:t>
      </w:r>
    </w:p>
    <w:p>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二、收入预算总表</w:t>
      </w:r>
      <w:r>
        <w:rPr>
          <w:rFonts w:asciiTheme="majorEastAsia" w:hAnsiTheme="majorEastAsia" w:eastAsiaTheme="majorEastAsia"/>
          <w:sz w:val="36"/>
          <w:lang w:eastAsia="zh-CN"/>
        </w:rPr>
        <w:t>……………………………………</w:t>
      </w:r>
    </w:p>
    <w:p>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三、支出预算总表</w:t>
      </w:r>
      <w:r>
        <w:rPr>
          <w:rFonts w:asciiTheme="majorEastAsia" w:hAnsiTheme="majorEastAsia" w:eastAsiaTheme="majorEastAsia"/>
          <w:sz w:val="36"/>
          <w:lang w:eastAsia="zh-CN"/>
        </w:rPr>
        <w:t>……………………………………</w:t>
      </w:r>
    </w:p>
    <w:p>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四、财政拨款收支预算总表</w:t>
      </w:r>
      <w:r>
        <w:rPr>
          <w:rFonts w:asciiTheme="majorEastAsia" w:hAnsiTheme="majorEastAsia" w:eastAsiaTheme="majorEastAsia"/>
          <w:sz w:val="36"/>
          <w:lang w:eastAsia="zh-CN"/>
        </w:rPr>
        <w:t>…………………………</w:t>
      </w:r>
    </w:p>
    <w:p>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五、一般公共预算拨款支出预算表</w:t>
      </w:r>
      <w:r>
        <w:rPr>
          <w:rFonts w:asciiTheme="majorEastAsia" w:hAnsiTheme="majorEastAsia" w:eastAsiaTheme="majorEastAsia"/>
          <w:sz w:val="36"/>
          <w:lang w:eastAsia="zh-CN"/>
        </w:rPr>
        <w:t>…………………</w:t>
      </w:r>
    </w:p>
    <w:p>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六、政府性基金拨款支出预算表</w:t>
      </w:r>
      <w:r>
        <w:rPr>
          <w:rFonts w:asciiTheme="majorEastAsia" w:hAnsiTheme="majorEastAsia" w:eastAsiaTheme="majorEastAsia"/>
          <w:sz w:val="36"/>
          <w:lang w:eastAsia="zh-CN"/>
        </w:rPr>
        <w:t>……………………</w:t>
      </w:r>
    </w:p>
    <w:p>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七、一般公共预算支出经济分类情况表</w:t>
      </w:r>
      <w:r>
        <w:rPr>
          <w:rFonts w:asciiTheme="majorEastAsia" w:hAnsiTheme="majorEastAsia" w:eastAsiaTheme="majorEastAsia"/>
          <w:sz w:val="36"/>
          <w:lang w:eastAsia="zh-CN"/>
        </w:rPr>
        <w:t>……………</w:t>
      </w:r>
    </w:p>
    <w:p>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八、一般公共预算基本支出经济分类情况表</w:t>
      </w:r>
      <w:r>
        <w:rPr>
          <w:rFonts w:asciiTheme="majorEastAsia" w:hAnsiTheme="majorEastAsia" w:eastAsiaTheme="majorEastAsia"/>
          <w:sz w:val="36"/>
          <w:lang w:eastAsia="zh-CN"/>
        </w:rPr>
        <w:t>………</w:t>
      </w:r>
    </w:p>
    <w:p>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九、一般公共预算“三公”经费支出预算表</w:t>
      </w:r>
      <w:r>
        <w:rPr>
          <w:rFonts w:asciiTheme="majorEastAsia" w:hAnsiTheme="majorEastAsia" w:eastAsiaTheme="majorEastAsia"/>
          <w:sz w:val="36"/>
          <w:lang w:eastAsia="zh-CN"/>
        </w:rPr>
        <w:t>………</w:t>
      </w:r>
    </w:p>
    <w:p>
      <w:pPr>
        <w:widowControl/>
        <w:rPr>
          <w:rFonts w:asciiTheme="majorEastAsia" w:hAnsiTheme="majorEastAsia" w:eastAsiaTheme="majorEastAsia"/>
          <w:b/>
          <w:sz w:val="40"/>
        </w:rPr>
      </w:pPr>
      <w:r>
        <w:rPr>
          <w:rFonts w:hint="eastAsia" w:asciiTheme="majorEastAsia" w:hAnsiTheme="majorEastAsia" w:eastAsiaTheme="majorEastAsia"/>
          <w:b/>
          <w:sz w:val="40"/>
        </w:rPr>
        <w:t xml:space="preserve">第三部分 </w:t>
      </w:r>
      <w:r>
        <w:rPr>
          <w:rFonts w:hint="eastAsia" w:ascii="仿宋" w:hAnsi="仿宋" w:eastAsia="仿宋" w:cs="仿宋_GB2312"/>
          <w:kern w:val="0"/>
          <w:sz w:val="32"/>
          <w:szCs w:val="32"/>
        </w:rPr>
        <w:t>202</w:t>
      </w:r>
      <w:r>
        <w:rPr>
          <w:rFonts w:hint="eastAsia" w:ascii="仿宋" w:hAnsi="仿宋" w:eastAsia="仿宋" w:cs="仿宋_GB2312"/>
          <w:kern w:val="0"/>
          <w:sz w:val="32"/>
          <w:szCs w:val="32"/>
          <w:lang w:val="en-US" w:eastAsia="zh-CN"/>
        </w:rPr>
        <w:t>2</w:t>
      </w:r>
      <w:r>
        <w:rPr>
          <w:rFonts w:hint="eastAsia" w:asciiTheme="majorEastAsia" w:hAnsiTheme="majorEastAsia" w:eastAsiaTheme="majorEastAsia"/>
          <w:b/>
          <w:sz w:val="40"/>
        </w:rPr>
        <w:t>年度部门预算情况说明</w:t>
      </w:r>
      <w:r>
        <w:rPr>
          <w:rFonts w:asciiTheme="majorEastAsia" w:hAnsiTheme="majorEastAsia" w:eastAsiaTheme="majorEastAsia"/>
          <w:sz w:val="36"/>
        </w:rPr>
        <w:t>…………</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一、预算收支总体情况</w:t>
      </w:r>
      <w:r>
        <w:rPr>
          <w:rFonts w:asciiTheme="majorEastAsia" w:hAnsiTheme="majorEastAsia" w:eastAsiaTheme="majorEastAsia"/>
          <w:sz w:val="36"/>
        </w:rPr>
        <w:t>………………………………</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二、一般公共预算拨款支出情况</w:t>
      </w:r>
      <w:r>
        <w:rPr>
          <w:rFonts w:cs="Times New Roman" w:asciiTheme="majorEastAsia" w:hAnsiTheme="majorEastAsia" w:eastAsiaTheme="majorEastAsia"/>
          <w:kern w:val="0"/>
          <w:sz w:val="36"/>
          <w:szCs w:val="20"/>
        </w:rPr>
        <w:t>………………………</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三、政府性基金预算拨款支出情况</w:t>
      </w:r>
      <w:r>
        <w:rPr>
          <w:rFonts w:cs="Times New Roman" w:asciiTheme="majorEastAsia" w:hAnsiTheme="majorEastAsia" w:eastAsiaTheme="majorEastAsia"/>
          <w:kern w:val="0"/>
          <w:sz w:val="36"/>
          <w:szCs w:val="20"/>
        </w:rPr>
        <w:t>……………………</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四、财政拨款预算基本支出情况</w:t>
      </w:r>
      <w:r>
        <w:rPr>
          <w:rFonts w:cs="Times New Roman" w:asciiTheme="majorEastAsia" w:hAnsiTheme="majorEastAsia" w:eastAsiaTheme="majorEastAsia"/>
          <w:kern w:val="0"/>
          <w:sz w:val="36"/>
          <w:szCs w:val="20"/>
        </w:rPr>
        <w:t>………………………</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五、一般公共预算“三公”经费支出情况</w:t>
      </w:r>
      <w:r>
        <w:rPr>
          <w:rFonts w:cs="Times New Roman" w:asciiTheme="majorEastAsia" w:hAnsiTheme="majorEastAsia" w:eastAsiaTheme="majorEastAsia"/>
          <w:kern w:val="0"/>
          <w:sz w:val="36"/>
          <w:szCs w:val="20"/>
        </w:rPr>
        <w:t>………………</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六、预算绩效目标情况</w:t>
      </w:r>
      <w:r>
        <w:rPr>
          <w:rFonts w:cs="Times New Roman" w:asciiTheme="majorEastAsia" w:hAnsiTheme="majorEastAsia" w:eastAsiaTheme="majorEastAsia"/>
          <w:kern w:val="0"/>
          <w:sz w:val="36"/>
          <w:szCs w:val="20"/>
        </w:rPr>
        <w:t>…………………………………</w:t>
      </w:r>
    </w:p>
    <w:p>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七、其他重要事项说明</w:t>
      </w:r>
      <w:r>
        <w:rPr>
          <w:rFonts w:cs="Times New Roman" w:asciiTheme="majorEastAsia" w:hAnsiTheme="majorEastAsia" w:eastAsiaTheme="majorEastAsia"/>
          <w:kern w:val="0"/>
          <w:sz w:val="36"/>
          <w:szCs w:val="20"/>
        </w:rPr>
        <w:t>…………………………………</w:t>
      </w:r>
    </w:p>
    <w:p>
      <w:pPr>
        <w:pStyle w:val="2"/>
        <w:spacing w:before="3"/>
        <w:rPr>
          <w:rFonts w:eastAsiaTheme="minorEastAsia"/>
          <w:sz w:val="26"/>
          <w:lang w:eastAsia="zh-CN"/>
        </w:rPr>
      </w:pPr>
      <w:r>
        <w:rPr>
          <w:rFonts w:hint="eastAsia" w:asciiTheme="majorEastAsia" w:hAnsiTheme="majorEastAsia" w:eastAsiaTheme="majorEastAsia"/>
          <w:b/>
          <w:sz w:val="40"/>
          <w:lang w:eastAsia="zh-CN"/>
        </w:rPr>
        <w:t>第四部分 名词解释</w:t>
      </w:r>
      <w:r>
        <w:rPr>
          <w:rFonts w:asciiTheme="majorEastAsia" w:hAnsiTheme="majorEastAsia" w:eastAsiaTheme="majorEastAsia"/>
          <w:sz w:val="36"/>
          <w:lang w:eastAsia="zh-CN"/>
        </w:rPr>
        <w:t>…………………………………</w:t>
      </w:r>
    </w:p>
    <w:p>
      <w:pPr>
        <w:widowControl/>
      </w:pPr>
      <w:r>
        <w:tab/>
      </w:r>
    </w:p>
    <w:p>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pPr>
        <w:pStyle w:val="2"/>
        <w:jc w:val="center"/>
        <w:rPr>
          <w:rFonts w:ascii="黑体" w:hAnsi="黑体" w:eastAsia="黑体"/>
          <w:sz w:val="36"/>
          <w:szCs w:val="36"/>
          <w:lang w:eastAsia="zh-CN"/>
        </w:rPr>
      </w:pPr>
      <w:r>
        <w:rPr>
          <w:rFonts w:hint="eastAsia" w:ascii="黑体" w:hAnsi="黑体" w:eastAsia="黑体"/>
          <w:sz w:val="36"/>
          <w:szCs w:val="36"/>
          <w:lang w:eastAsia="zh-CN"/>
        </w:rPr>
        <w:t>第一部分 部门概况</w:t>
      </w:r>
    </w:p>
    <w:p>
      <w:pPr>
        <w:pStyle w:val="2"/>
        <w:rPr>
          <w:rFonts w:ascii="黑体" w:hAnsi="黑体" w:eastAsia="黑体"/>
          <w:sz w:val="36"/>
          <w:szCs w:val="36"/>
          <w:lang w:eastAsia="zh-CN"/>
        </w:rPr>
      </w:pPr>
    </w:p>
    <w:p>
      <w:pPr>
        <w:pStyle w:val="2"/>
        <w:rPr>
          <w:rFonts w:ascii="仿宋" w:hAnsi="仿宋" w:eastAsia="仿宋" w:cstheme="minorBidi"/>
          <w:b/>
          <w:kern w:val="2"/>
          <w:sz w:val="32"/>
          <w:szCs w:val="32"/>
          <w:lang w:eastAsia="zh-CN"/>
        </w:rPr>
      </w:pPr>
      <w:r>
        <w:rPr>
          <w:rFonts w:hint="eastAsia" w:ascii="仿宋" w:hAnsi="仿宋" w:eastAsia="仿宋" w:cstheme="minorBidi"/>
          <w:b/>
          <w:kern w:val="2"/>
          <w:sz w:val="32"/>
          <w:szCs w:val="32"/>
          <w:lang w:eastAsia="zh-CN"/>
        </w:rPr>
        <w:t>一、部门主要职责</w:t>
      </w:r>
    </w:p>
    <w:p>
      <w:pPr>
        <w:widowControl/>
        <w:snapToGrid w:val="0"/>
        <w:ind w:firstLine="720" w:firstLineChars="225"/>
        <w:jc w:val="left"/>
        <w:rPr>
          <w:rFonts w:ascii="仿宋" w:hAnsi="仿宋" w:eastAsia="仿宋"/>
          <w:sz w:val="32"/>
          <w:szCs w:val="32"/>
        </w:rPr>
      </w:pPr>
      <w:r>
        <w:rPr>
          <w:rFonts w:hint="eastAsia" w:ascii="仿宋" w:hAnsi="仿宋" w:eastAsia="仿宋" w:cs="仿宋_GB2312"/>
          <w:sz w:val="32"/>
          <w:szCs w:val="32"/>
        </w:rPr>
        <w:t>上杭县南阳镇人民政府</w:t>
      </w:r>
      <w:r>
        <w:rPr>
          <w:rFonts w:hint="eastAsia" w:ascii="仿宋" w:hAnsi="仿宋" w:eastAsia="仿宋"/>
          <w:sz w:val="32"/>
          <w:szCs w:val="32"/>
        </w:rPr>
        <w:t>的主要职责是：</w:t>
      </w:r>
    </w:p>
    <w:p>
      <w:pPr>
        <w:widowControl/>
        <w:snapToGrid w:val="0"/>
        <w:ind w:firstLine="720" w:firstLineChars="225"/>
        <w:jc w:val="left"/>
        <w:rPr>
          <w:rFonts w:ascii="仿宋" w:hAnsi="仿宋" w:eastAsia="仿宋" w:cs="仿宋_GB2312"/>
          <w:sz w:val="32"/>
          <w:szCs w:val="32"/>
        </w:rPr>
      </w:pPr>
      <w:r>
        <w:rPr>
          <w:rFonts w:hint="eastAsia" w:ascii="仿宋" w:hAnsi="仿宋" w:eastAsia="仿宋" w:cs="仿宋_GB2312"/>
          <w:sz w:val="32"/>
          <w:szCs w:val="32"/>
        </w:rPr>
        <w:t>（一）执行本级人民代表大会的决议和上级国家行政机关的决定和命令，发布决定和命令；</w:t>
      </w:r>
    </w:p>
    <w:p>
      <w:pPr>
        <w:snapToGrid w:val="0"/>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（二）执行本行政区域内的经济和社会发展计划、预算，管理本行政区域内的经济、教育、科学、文化、卫生、体育事业和财政、民政、公安、司法行政、计划生育等行政工作；</w:t>
      </w:r>
    </w:p>
    <w:p>
      <w:pPr>
        <w:snapToGrid w:val="0"/>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（三）保护社会主义的全民所有的财产和劳动群众集体所有的财产，保护公民私人所有的财产，维护社会秩序，保障公民的人身权利、民主权利和其他权利；</w:t>
      </w:r>
    </w:p>
    <w:p>
      <w:pPr>
        <w:snapToGrid w:val="0"/>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（四）保护各种经济组织的合作权益；</w:t>
      </w:r>
    </w:p>
    <w:p>
      <w:pPr>
        <w:snapToGrid w:val="0"/>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（五）保障少数民族的权利和尊重少数民族的风俗习惯；</w:t>
      </w:r>
    </w:p>
    <w:p>
      <w:pPr>
        <w:snapToGrid w:val="0"/>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（六）办理上级县委、县政府交办的其他事项。</w:t>
      </w:r>
    </w:p>
    <w:p>
      <w:pPr>
        <w:pStyle w:val="2"/>
        <w:rPr>
          <w:rFonts w:ascii="仿宋" w:hAnsi="仿宋" w:eastAsia="仿宋" w:cstheme="minorBidi"/>
          <w:b/>
          <w:kern w:val="2"/>
          <w:sz w:val="32"/>
          <w:szCs w:val="32"/>
          <w:lang w:eastAsia="zh-CN"/>
        </w:rPr>
      </w:pPr>
      <w:r>
        <w:rPr>
          <w:rFonts w:hint="eastAsia" w:ascii="仿宋" w:hAnsi="仿宋" w:eastAsia="仿宋" w:cstheme="minorBidi"/>
          <w:b/>
          <w:kern w:val="2"/>
          <w:sz w:val="32"/>
          <w:szCs w:val="32"/>
          <w:lang w:eastAsia="zh-CN"/>
        </w:rPr>
        <w:t>二、部门预算单位构成</w:t>
      </w:r>
    </w:p>
    <w:p>
      <w:pPr>
        <w:tabs>
          <w:tab w:val="left" w:pos="7513"/>
        </w:tabs>
        <w:adjustRightInd w:val="0"/>
        <w:snapToGri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从决算单位构成看，上杭县南阳镇人民政府下设多个职能站所或中心</w:t>
      </w:r>
      <w:r>
        <w:rPr>
          <w:rFonts w:hint="eastAsia" w:ascii="仿宋" w:hAnsi="仿宋" w:eastAsia="仿宋"/>
          <w:sz w:val="32"/>
          <w:szCs w:val="32"/>
        </w:rPr>
        <w:t>，其中：列入</w:t>
      </w:r>
      <w:r>
        <w:rPr>
          <w:rFonts w:hint="eastAsia" w:ascii="仿宋" w:hAnsi="仿宋" w:eastAsia="仿宋" w:cs="仿宋_GB2312"/>
          <w:sz w:val="32"/>
          <w:szCs w:val="32"/>
          <w:lang w:val="en-US" w:eastAsia="zh-CN"/>
        </w:rPr>
        <w:t>2022</w:t>
      </w:r>
      <w:r>
        <w:rPr>
          <w:rFonts w:hint="eastAsia" w:ascii="仿宋" w:hAnsi="仿宋" w:eastAsia="仿宋"/>
          <w:sz w:val="32"/>
          <w:szCs w:val="32"/>
        </w:rPr>
        <w:t>年部门决算编制范围的单位详细情况见下表</w:t>
      </w:r>
      <w:r>
        <w:rPr>
          <w:rFonts w:ascii="仿宋" w:hAnsi="仿宋" w:eastAsia="仿宋"/>
          <w:sz w:val="32"/>
          <w:szCs w:val="32"/>
        </w:rPr>
        <w:t>:</w:t>
      </w: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213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单位名称</w:t>
            </w:r>
          </w:p>
        </w:tc>
        <w:tc>
          <w:tcPr>
            <w:tcW w:w="213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经费性质</w:t>
            </w:r>
          </w:p>
        </w:tc>
        <w:tc>
          <w:tcPr>
            <w:tcW w:w="213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人员编制数</w:t>
            </w:r>
          </w:p>
        </w:tc>
        <w:tc>
          <w:tcPr>
            <w:tcW w:w="213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cs="仿宋_GB2312"/>
                <w:sz w:val="32"/>
                <w:szCs w:val="32"/>
              </w:rPr>
            </w:pPr>
            <w:r>
              <w:rPr>
                <w:rFonts w:hint="eastAsia" w:ascii="仿宋" w:hAnsi="仿宋" w:eastAsia="仿宋" w:cs="仿宋_GB2312"/>
                <w:sz w:val="32"/>
                <w:szCs w:val="32"/>
              </w:rPr>
              <w:t>机关（含企业服务中心、工勤人员等）</w:t>
            </w:r>
          </w:p>
        </w:tc>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ind w:firstLine="320" w:firstLineChars="100"/>
              <w:jc w:val="center"/>
              <w:rPr>
                <w:rFonts w:ascii="仿宋" w:hAnsi="仿宋" w:eastAsia="仿宋" w:cs="仿宋_GB2312"/>
                <w:sz w:val="32"/>
                <w:szCs w:val="32"/>
              </w:rPr>
            </w:pPr>
            <w:r>
              <w:rPr>
                <w:rFonts w:hint="eastAsia" w:ascii="仿宋" w:hAnsi="仿宋" w:eastAsia="仿宋" w:cs="仿宋_GB2312"/>
                <w:sz w:val="32"/>
                <w:szCs w:val="32"/>
              </w:rPr>
              <w:t>财政核拨</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50</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农技站</w:t>
            </w:r>
          </w:p>
        </w:tc>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cs="仿宋_GB2312"/>
                <w:sz w:val="32"/>
                <w:szCs w:val="32"/>
              </w:rPr>
              <w:t>财政核拨</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5</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hint="eastAsia" w:ascii="仿宋" w:hAnsi="仿宋" w:eastAsia="仿宋"/>
                <w:sz w:val="32"/>
                <w:szCs w:val="32"/>
                <w:lang w:eastAsia="zh-CN"/>
              </w:rPr>
            </w:pPr>
            <w:r>
              <w:rPr>
                <w:rFonts w:hint="eastAsia" w:ascii="仿宋" w:hAnsi="仿宋" w:eastAsia="仿宋"/>
                <w:sz w:val="32"/>
                <w:szCs w:val="32"/>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兽医站</w:t>
            </w:r>
          </w:p>
        </w:tc>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cs="仿宋_GB2312"/>
                <w:sz w:val="32"/>
                <w:szCs w:val="32"/>
              </w:rPr>
              <w:t>财政核拨</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3</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财政所</w:t>
            </w:r>
          </w:p>
        </w:tc>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cs="仿宋_GB2312"/>
                <w:sz w:val="32"/>
                <w:szCs w:val="32"/>
              </w:rPr>
              <w:t>财政核拨</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4</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jc w:val="center"/>
        </w:trPr>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计划生育事业</w:t>
            </w:r>
          </w:p>
        </w:tc>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cs="仿宋_GB2312"/>
                <w:sz w:val="32"/>
                <w:szCs w:val="32"/>
              </w:rPr>
            </w:pPr>
            <w:r>
              <w:rPr>
                <w:rFonts w:hint="eastAsia" w:ascii="仿宋" w:hAnsi="仿宋" w:eastAsia="仿宋" w:cs="仿宋_GB2312"/>
                <w:sz w:val="32"/>
                <w:szCs w:val="32"/>
              </w:rPr>
              <w:t>财政核拨</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8</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文化站</w:t>
            </w:r>
          </w:p>
        </w:tc>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cs="仿宋_GB2312"/>
                <w:sz w:val="32"/>
                <w:szCs w:val="32"/>
              </w:rPr>
              <w:t>财政核拨</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hint="eastAsia" w:ascii="仿宋" w:hAnsi="仿宋" w:eastAsia="仿宋"/>
                <w:sz w:val="32"/>
                <w:szCs w:val="32"/>
                <w:lang w:eastAsia="zh-CN"/>
              </w:rPr>
            </w:pPr>
            <w:r>
              <w:rPr>
                <w:rFonts w:hint="eastAsia" w:ascii="仿宋" w:hAnsi="仿宋" w:eastAsia="仿宋"/>
                <w:sz w:val="32"/>
                <w:szCs w:val="32"/>
                <w:lang w:val="en-US" w:eastAsia="zh-CN"/>
              </w:rPr>
              <w:t>1</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hint="eastAsia" w:ascii="仿宋" w:hAnsi="仿宋" w:eastAsia="仿宋"/>
                <w:sz w:val="32"/>
                <w:szCs w:val="32"/>
                <w:lang w:eastAsia="zh-CN"/>
              </w:rPr>
            </w:pPr>
            <w:r>
              <w:rPr>
                <w:rFonts w:hint="eastAsia" w:ascii="仿宋" w:hAnsi="仿宋" w:eastAsia="仿宋"/>
                <w:sz w:val="32"/>
                <w:szCs w:val="32"/>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农机站</w:t>
            </w:r>
          </w:p>
        </w:tc>
        <w:tc>
          <w:tcPr>
            <w:tcW w:w="2130"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财政核拨</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hint="eastAsia" w:ascii="仿宋" w:hAnsi="仿宋" w:eastAsia="仿宋"/>
                <w:sz w:val="32"/>
                <w:szCs w:val="32"/>
                <w:lang w:eastAsia="zh-CN"/>
              </w:rPr>
            </w:pPr>
            <w:r>
              <w:rPr>
                <w:rFonts w:hint="eastAsia" w:ascii="仿宋" w:hAnsi="仿宋" w:eastAsia="仿宋"/>
                <w:sz w:val="32"/>
                <w:szCs w:val="32"/>
                <w:lang w:val="en-US" w:eastAsia="zh-CN"/>
              </w:rPr>
              <w:t>1</w:t>
            </w:r>
          </w:p>
        </w:tc>
        <w:tc>
          <w:tcPr>
            <w:tcW w:w="2131" w:type="dxa"/>
            <w:tcBorders>
              <w:top w:val="single" w:color="auto" w:sz="4" w:space="0"/>
              <w:left w:val="single" w:color="auto" w:sz="4" w:space="0"/>
              <w:bottom w:val="single" w:color="auto" w:sz="4" w:space="0"/>
              <w:right w:val="single" w:color="auto" w:sz="4" w:space="0"/>
            </w:tcBorders>
            <w:vAlign w:val="center"/>
          </w:tcPr>
          <w:p>
            <w:pPr>
              <w:tabs>
                <w:tab w:val="left" w:pos="7513"/>
              </w:tabs>
              <w:adjustRightInd w:val="0"/>
              <w:snapToGrid w:val="0"/>
              <w:spacing w:line="600" w:lineRule="exact"/>
              <w:jc w:val="center"/>
              <w:rPr>
                <w:rFonts w:hint="eastAsia" w:ascii="仿宋" w:hAnsi="仿宋" w:eastAsia="仿宋"/>
                <w:sz w:val="32"/>
                <w:szCs w:val="32"/>
                <w:lang w:eastAsia="zh-CN"/>
              </w:rPr>
            </w:pPr>
            <w:r>
              <w:rPr>
                <w:rFonts w:hint="eastAsia" w:ascii="仿宋" w:hAnsi="仿宋" w:eastAsia="仿宋"/>
                <w:sz w:val="32"/>
                <w:szCs w:val="32"/>
                <w:lang w:val="en-US" w:eastAsia="zh-CN"/>
              </w:rPr>
              <w:t>1</w:t>
            </w:r>
          </w:p>
        </w:tc>
      </w:tr>
    </w:tbl>
    <w:p>
      <w:pPr>
        <w:tabs>
          <w:tab w:val="left" w:pos="7513"/>
        </w:tabs>
        <w:adjustRightInd w:val="0"/>
        <w:snapToGrid w:val="0"/>
        <w:spacing w:line="600" w:lineRule="exact"/>
        <w:rPr>
          <w:rFonts w:cs="Times New Roman" w:asciiTheme="majorEastAsia" w:hAnsiTheme="majorEastAsia" w:eastAsiaTheme="majorEastAsia"/>
          <w:kern w:val="0"/>
          <w:sz w:val="36"/>
          <w:szCs w:val="20"/>
        </w:rPr>
      </w:pP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三、部门主要工作任务</w:t>
      </w:r>
    </w:p>
    <w:p>
      <w:pPr>
        <w:tabs>
          <w:tab w:val="left" w:pos="7513"/>
        </w:tabs>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2022</w:t>
      </w:r>
      <w:r>
        <w:rPr>
          <w:rFonts w:hint="eastAsia" w:ascii="仿宋" w:hAnsi="仿宋" w:eastAsia="仿宋" w:cs="仿宋_GB2312"/>
          <w:sz w:val="32"/>
          <w:szCs w:val="32"/>
        </w:rPr>
        <w:t>年，上杭县南阳镇人民政府主要任务是：</w:t>
      </w:r>
      <w:r>
        <w:rPr>
          <w:rFonts w:hint="eastAsia" w:ascii="仿宋" w:hAnsi="仿宋" w:eastAsia="仿宋" w:cs="仿宋_GB2312"/>
          <w:sz w:val="32"/>
          <w:szCs w:val="32"/>
          <w:lang w:val="en-US" w:eastAsia="zh-CN"/>
        </w:rPr>
        <w:t>坚持以习近平新时代中国特色社会主义思想为指导，全面贯彻党的十九大和十九届二中、三中、四中、五中、六中全会精神和习近平总书记在福建考察时的重要讲话精神，增强“四个意识”、坚定“四个自信”、做到“两个维护”，坚持党的全面领导，坚持以人民为中心，坚持新发展理念，以“打造北部商贸中心，建设生态宜居宜业幸福南阳”为方向，扎实做好巩固拓展脱贫攻坚成果同乡村振兴有效衔接，全方位推进高质量发展超越，为我县实施“六大战略”，实现“六大突破”，奋力谱写全面建设社会主义现代化国家上杭篇章贡献南阳力量。</w:t>
      </w:r>
      <w:r>
        <w:rPr>
          <w:rFonts w:hint="eastAsia" w:ascii="仿宋" w:hAnsi="仿宋" w:eastAsia="仿宋" w:cs="仿宋_GB2312"/>
          <w:sz w:val="32"/>
          <w:szCs w:val="32"/>
        </w:rPr>
        <w:t>围绕上述任务，重点</w:t>
      </w:r>
      <w:r>
        <w:rPr>
          <w:rFonts w:hint="eastAsia" w:ascii="仿宋" w:hAnsi="仿宋" w:eastAsia="仿宋" w:cs="仿宋_GB2312"/>
          <w:sz w:val="32"/>
          <w:szCs w:val="32"/>
          <w:lang w:val="en-US" w:eastAsia="zh-CN"/>
        </w:rPr>
        <w:t>将</w:t>
      </w:r>
      <w:r>
        <w:rPr>
          <w:rFonts w:hint="eastAsia" w:ascii="仿宋" w:hAnsi="仿宋" w:eastAsia="仿宋" w:cs="仿宋_GB2312"/>
          <w:sz w:val="32"/>
          <w:szCs w:val="32"/>
        </w:rPr>
        <w:t>完成以下工作：</w:t>
      </w:r>
    </w:p>
    <w:p>
      <w:pPr>
        <w:numPr>
          <w:numId w:val="0"/>
        </w:numPr>
        <w:tabs>
          <w:tab w:val="left" w:pos="7513"/>
        </w:tabs>
        <w:adjustRightInd w:val="0"/>
        <w:snapToGrid w:val="0"/>
        <w:spacing w:line="56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lang w:val="en-US" w:eastAsia="zh-CN"/>
        </w:rPr>
        <w:t>一、坚持质量效益，优化产业结构。</w:t>
      </w:r>
      <w:r>
        <w:rPr>
          <w:rFonts w:hint="eastAsia" w:ascii="楷体_GB2312" w:hAnsi="楷体" w:eastAsia="楷体_GB2312"/>
          <w:b/>
          <w:bCs/>
          <w:sz w:val="32"/>
          <w:szCs w:val="32"/>
          <w:lang w:val="en-US" w:eastAsia="zh-CN"/>
        </w:rPr>
        <w:t>1、做优特色农业。</w:t>
      </w:r>
      <w:r>
        <w:rPr>
          <w:rFonts w:hint="eastAsia" w:ascii="仿宋_GB2312" w:hAnsi="仿宋_GB2312" w:eastAsia="仿宋_GB2312" w:cs="仿宋_GB2312"/>
          <w:spacing w:val="6"/>
          <w:sz w:val="32"/>
          <w:szCs w:val="32"/>
        </w:rPr>
        <w:t>加快培育农业产业新业态新模式，加快发展多种形式农业适度规模经营，积极推进一二三产业融合发展，不断提高农业的综合效益和竞争力</w:t>
      </w:r>
      <w:r>
        <w:rPr>
          <w:rFonts w:hint="eastAsia" w:ascii="仿宋_GB2312" w:hAnsi="仿宋_GB2312" w:eastAsia="仿宋_GB2312" w:cs="仿宋_GB2312"/>
          <w:spacing w:val="6"/>
          <w:sz w:val="32"/>
          <w:szCs w:val="32"/>
          <w:lang w:eastAsia="zh-CN"/>
        </w:rPr>
        <w:t>。</w:t>
      </w:r>
      <w:r>
        <w:rPr>
          <w:rFonts w:hint="eastAsia" w:ascii="楷体_GB2312" w:hAnsi="楷体" w:eastAsia="楷体_GB2312"/>
          <w:b/>
          <w:bCs/>
          <w:sz w:val="32"/>
          <w:szCs w:val="32"/>
        </w:rPr>
        <w:t>2.做强新型工业</w:t>
      </w:r>
      <w:r>
        <w:rPr>
          <w:rFonts w:hint="eastAsia" w:ascii="楷体_GB2312" w:eastAsia="楷体_GB2312" w:cs="楷体_GB2312"/>
          <w:b/>
          <w:bCs/>
          <w:sz w:val="32"/>
          <w:szCs w:val="32"/>
        </w:rPr>
        <w:t>。</w:t>
      </w:r>
      <w:r>
        <w:rPr>
          <w:rFonts w:hint="eastAsia" w:ascii="仿宋_GB2312" w:hAnsi="仿宋_GB2312" w:eastAsia="仿宋_GB2312" w:cs="仿宋_GB2312"/>
          <w:spacing w:val="6"/>
          <w:sz w:val="32"/>
          <w:szCs w:val="32"/>
        </w:rPr>
        <w:t>加快做好黄麻凹工业园申报高新园区工作，完善园区生产、公共服务、生活等配套设施建设。</w:t>
      </w:r>
      <w:r>
        <w:rPr>
          <w:rFonts w:hint="eastAsia" w:ascii="楷体_GB2312" w:hAnsi="楷体" w:eastAsia="楷体_GB2312"/>
          <w:b/>
          <w:bCs/>
          <w:sz w:val="32"/>
          <w:szCs w:val="32"/>
        </w:rPr>
        <w:t>3.壮大建筑产业。</w:t>
      </w:r>
      <w:r>
        <w:rPr>
          <w:rFonts w:hint="eastAsia" w:ascii="仿宋_GB2312" w:hAnsi="仿宋_GB2312" w:eastAsia="仿宋_GB2312" w:cs="仿宋_GB2312"/>
          <w:spacing w:val="6"/>
          <w:sz w:val="32"/>
          <w:szCs w:val="32"/>
        </w:rPr>
        <w:t>持续实施建筑企业“回归工程”，充分利用南阳籍企业家创办建筑企业多的优势，引导南阳建筑企业转变发展方式，调优产业结构</w:t>
      </w:r>
      <w:r>
        <w:rPr>
          <w:rFonts w:hint="eastAsia" w:ascii="仿宋_GB2312" w:hAnsi="仿宋_GB2312" w:eastAsia="仿宋_GB2312" w:cs="仿宋_GB2312"/>
          <w:spacing w:val="6"/>
          <w:sz w:val="32"/>
          <w:szCs w:val="32"/>
          <w:lang w:eastAsia="zh-CN"/>
        </w:rPr>
        <w:t>。</w:t>
      </w:r>
      <w:r>
        <w:rPr>
          <w:rFonts w:hint="eastAsia" w:ascii="楷体_GB2312" w:hAnsi="楷体" w:eastAsia="楷体_GB2312"/>
          <w:b/>
          <w:bCs/>
          <w:sz w:val="32"/>
          <w:szCs w:val="32"/>
        </w:rPr>
        <w:t>4.提升第三产业。</w:t>
      </w:r>
      <w:r>
        <w:rPr>
          <w:rFonts w:hint="eastAsia" w:ascii="仿宋_GB2312" w:hAnsi="仿宋_GB2312" w:eastAsia="仿宋_GB2312" w:cs="仿宋_GB2312"/>
          <w:spacing w:val="6"/>
          <w:sz w:val="32"/>
          <w:szCs w:val="32"/>
        </w:rPr>
        <w:t>积极发展餐饮、文旅康养、红色旅游、家政服务、夜间经济等现代服务业。</w:t>
      </w:r>
    </w:p>
    <w:p>
      <w:pPr>
        <w:pStyle w:val="2"/>
        <w:ind w:firstLine="643" w:firstLineChars="200"/>
        <w:jc w:val="both"/>
        <w:rPr>
          <w:rFonts w:hint="eastAsia" w:ascii="仿宋_GB2312" w:hAnsi="仿宋_GB2312" w:eastAsia="仿宋_GB2312" w:cs="仿宋_GB2312"/>
          <w:spacing w:val="6"/>
          <w:sz w:val="32"/>
          <w:szCs w:val="32"/>
          <w:lang w:eastAsia="zh-CN"/>
        </w:rPr>
      </w:pPr>
      <w:r>
        <w:rPr>
          <w:rFonts w:hint="eastAsia" w:ascii="仿宋" w:hAnsi="仿宋" w:eastAsia="仿宋" w:cs="仿宋_GB2312"/>
          <w:b/>
          <w:bCs/>
          <w:kern w:val="2"/>
          <w:sz w:val="32"/>
          <w:szCs w:val="32"/>
          <w:lang w:val="en-US" w:eastAsia="zh-CN" w:bidi="ar-SA"/>
        </w:rPr>
        <w:t>二、突出科学谋划，强化项目带动。</w:t>
      </w:r>
      <w:r>
        <w:rPr>
          <w:rFonts w:hint="eastAsia" w:ascii="楷体_GB2312" w:hAnsi="楷体" w:eastAsia="楷体_GB2312"/>
          <w:b/>
          <w:bCs/>
          <w:sz w:val="32"/>
          <w:szCs w:val="32"/>
        </w:rPr>
        <w:t>1.做实项目支撑。</w:t>
      </w:r>
      <w:r>
        <w:rPr>
          <w:rFonts w:hint="eastAsia" w:ascii="仿宋_GB2312" w:hAnsi="仿宋_GB2312" w:eastAsia="仿宋_GB2312" w:cs="仿宋_GB2312"/>
          <w:spacing w:val="6"/>
          <w:sz w:val="32"/>
          <w:szCs w:val="32"/>
        </w:rPr>
        <w:t>对接中央、省、市支持革命老区振兴发展政策，立足南阳产业基础和资源禀赋，精准策划、申报、储备一批强基础、补短板、惠民生项目，加快服务融入中央支持原中央苏区振兴发展建设之中。</w:t>
      </w:r>
      <w:r>
        <w:rPr>
          <w:rFonts w:hint="eastAsia" w:ascii="楷体_GB2312" w:hAnsi="楷体" w:eastAsia="楷体_GB2312"/>
          <w:b/>
          <w:bCs/>
          <w:sz w:val="32"/>
          <w:szCs w:val="32"/>
        </w:rPr>
        <w:t>2.提升招商实效。</w:t>
      </w:r>
      <w:r>
        <w:rPr>
          <w:rFonts w:hint="eastAsia" w:ascii="仿宋_GB2312" w:hAnsi="仿宋_GB2312" w:eastAsia="仿宋_GB2312" w:cs="仿宋_GB2312"/>
          <w:spacing w:val="6"/>
          <w:sz w:val="32"/>
          <w:szCs w:val="32"/>
        </w:rPr>
        <w:t>坚持“一把手”招商，多渠道、多层面、多领域加大招商引资力度</w:t>
      </w:r>
      <w:r>
        <w:rPr>
          <w:rFonts w:hint="eastAsia" w:ascii="仿宋_GB2312" w:hAnsi="仿宋_GB2312" w:eastAsia="仿宋_GB2312" w:cs="仿宋_GB2312"/>
          <w:spacing w:val="6"/>
          <w:sz w:val="32"/>
          <w:szCs w:val="32"/>
          <w:lang w:eastAsia="zh-CN"/>
        </w:rPr>
        <w:t>。</w:t>
      </w:r>
      <w:r>
        <w:rPr>
          <w:rFonts w:hint="eastAsia" w:ascii="楷体_GB2312" w:hAnsi="楷体" w:eastAsia="楷体_GB2312"/>
          <w:b/>
          <w:bCs/>
          <w:sz w:val="32"/>
          <w:szCs w:val="32"/>
          <w:lang w:eastAsia="zh-CN"/>
        </w:rPr>
        <w:t>3.优化营商环境。</w:t>
      </w:r>
      <w:r>
        <w:rPr>
          <w:rFonts w:hint="eastAsia" w:ascii="仿宋_GB2312" w:hAnsi="仿宋_GB2312" w:eastAsia="仿宋_GB2312" w:cs="仿宋_GB2312"/>
          <w:spacing w:val="6"/>
          <w:sz w:val="32"/>
          <w:szCs w:val="32"/>
          <w:lang w:eastAsia="zh-CN"/>
        </w:rPr>
        <w:t>进一步完善领导挂钩、定期协调、清单管理、成效考评等项目建设机制，继续抓实“五个一批”项目，不断提升项目管理服务水平。</w:t>
      </w:r>
    </w:p>
    <w:p>
      <w:pPr>
        <w:pStyle w:val="2"/>
        <w:ind w:firstLine="643" w:firstLineChars="200"/>
        <w:jc w:val="both"/>
        <w:rPr>
          <w:rFonts w:hint="eastAsia" w:ascii="仿宋_GB2312" w:hAnsi="仿宋_GB2312" w:eastAsia="仿宋_GB2312" w:cs="仿宋_GB2312"/>
          <w:spacing w:val="6"/>
          <w:sz w:val="32"/>
          <w:szCs w:val="32"/>
        </w:rPr>
      </w:pPr>
      <w:r>
        <w:rPr>
          <w:rFonts w:hint="eastAsia" w:ascii="仿宋" w:hAnsi="仿宋" w:eastAsia="仿宋" w:cs="仿宋_GB2312"/>
          <w:b/>
          <w:bCs/>
          <w:kern w:val="2"/>
          <w:sz w:val="32"/>
          <w:szCs w:val="32"/>
          <w:lang w:val="en-US" w:eastAsia="zh-CN" w:bidi="ar-SA"/>
        </w:rPr>
        <w:t>三、紧扣生态宜居，建设美丽乡村。</w:t>
      </w:r>
      <w:r>
        <w:rPr>
          <w:rFonts w:hint="eastAsia" w:ascii="楷体_GB2312" w:hAnsi="楷体" w:eastAsia="楷体_GB2312"/>
          <w:b/>
          <w:bCs/>
          <w:sz w:val="32"/>
          <w:szCs w:val="32"/>
        </w:rPr>
        <w:t>1.推进村庄规划。</w:t>
      </w:r>
      <w:r>
        <w:rPr>
          <w:rFonts w:hint="eastAsia" w:ascii="仿宋_GB2312" w:hAnsi="仿宋_GB2312" w:eastAsia="仿宋_GB2312" w:cs="仿宋_GB2312"/>
          <w:spacing w:val="6"/>
          <w:sz w:val="32"/>
          <w:szCs w:val="32"/>
        </w:rPr>
        <w:t>积极有序推进“多规合一”实用性村庄规划编制，推进集镇建设工程，加大农村文化遗产遗迹保护力度，保护传统村落、传统民居、红色故居和历史文化名村。</w:t>
      </w:r>
      <w:r>
        <w:rPr>
          <w:rFonts w:hint="eastAsia" w:ascii="楷体_GB2312" w:hAnsi="楷体" w:eastAsia="楷体_GB2312"/>
          <w:b/>
          <w:bCs/>
          <w:sz w:val="32"/>
          <w:szCs w:val="32"/>
        </w:rPr>
        <w:t>2.建设特色村庄。</w:t>
      </w:r>
      <w:r>
        <w:rPr>
          <w:rFonts w:hint="eastAsia" w:ascii="仿宋_GB2312" w:hAnsi="仿宋_GB2312" w:eastAsia="仿宋_GB2312" w:cs="仿宋_GB2312"/>
          <w:spacing w:val="6"/>
          <w:sz w:val="32"/>
          <w:szCs w:val="32"/>
        </w:rPr>
        <w:t>统筹农村改厕和污水、黑臭水体治理，因地制宜建设污水处理设施，梯次推进农村生活污水治理。健全农村生活垃圾收运处置体系，推进源头分类减量、资源化处理利用。3.实施精细化管理。继续全面落实环保网格化监管巡查，进一步加强“河长制”工作，开展“清四乱”专项整治，严厉打击河道乱占、采、堆、建等违法行为，加强养殖业污染治理，落实生态保护红线管控。</w:t>
      </w:r>
    </w:p>
    <w:p>
      <w:pPr>
        <w:pStyle w:val="2"/>
        <w:ind w:firstLine="643" w:firstLineChars="200"/>
        <w:jc w:val="both"/>
        <w:rPr>
          <w:rFonts w:ascii="仿宋_GB2312" w:hAnsi="仿宋_GB2312" w:eastAsia="仿宋_GB2312" w:cs="仿宋_GB2312"/>
          <w:spacing w:val="6"/>
          <w:sz w:val="32"/>
          <w:szCs w:val="32"/>
          <w:lang w:val="zh-CN"/>
        </w:rPr>
      </w:pPr>
      <w:r>
        <w:rPr>
          <w:rFonts w:hint="eastAsia" w:ascii="仿宋" w:hAnsi="仿宋" w:eastAsia="仿宋" w:cs="仿宋_GB2312"/>
          <w:b/>
          <w:bCs/>
          <w:kern w:val="2"/>
          <w:sz w:val="32"/>
          <w:szCs w:val="32"/>
          <w:lang w:val="en-US" w:eastAsia="zh-CN" w:bidi="ar-SA"/>
        </w:rPr>
        <w:t>四、夯实民生保障，力促幸福和谐。</w:t>
      </w:r>
      <w:r>
        <w:rPr>
          <w:rFonts w:hint="eastAsia" w:ascii="楷体_GB2312" w:hAnsi="楷体" w:eastAsia="楷体_GB2312"/>
          <w:b/>
          <w:bCs/>
          <w:sz w:val="32"/>
          <w:szCs w:val="32"/>
        </w:rPr>
        <w:t>1.提高公共服务质量。</w:t>
      </w:r>
      <w:r>
        <w:rPr>
          <w:rFonts w:hint="eastAsia" w:ascii="仿宋_GB2312" w:hAnsi="仿宋_GB2312" w:eastAsia="仿宋_GB2312" w:cs="仿宋_GB2312"/>
          <w:spacing w:val="6"/>
          <w:sz w:val="32"/>
          <w:szCs w:val="32"/>
        </w:rPr>
        <w:t>健全常态化疫情防控体系，抓紧抓实抓细各项防控措施。2.健全社会保障体系。全面落实城乡居民基本医疗及养老保险参保缴费、农村最低生活保障、独生子女奖扶等各项民生保障政策。</w:t>
      </w:r>
      <w:r>
        <w:rPr>
          <w:rFonts w:hint="eastAsia" w:ascii="楷体_GB2312" w:hAnsi="楷体" w:eastAsia="楷体_GB2312"/>
          <w:b/>
          <w:bCs/>
          <w:sz w:val="32"/>
          <w:szCs w:val="32"/>
        </w:rPr>
        <w:t>3.深化社会治理创新。</w:t>
      </w:r>
      <w:r>
        <w:rPr>
          <w:rFonts w:ascii="仿宋_GB2312" w:hAnsi="仿宋_GB2312" w:eastAsia="仿宋_GB2312" w:cs="仿宋_GB2312"/>
          <w:spacing w:val="6"/>
          <w:sz w:val="32"/>
          <w:szCs w:val="32"/>
          <w:lang w:val="zh-CN"/>
        </w:rPr>
        <w:t>坚持依法治</w:t>
      </w:r>
      <w:r>
        <w:rPr>
          <w:rFonts w:hint="eastAsia" w:ascii="仿宋_GB2312" w:hAnsi="仿宋_GB2312" w:eastAsia="仿宋_GB2312" w:cs="仿宋_GB2312"/>
          <w:spacing w:val="6"/>
          <w:sz w:val="32"/>
          <w:szCs w:val="32"/>
          <w:lang w:val="zh-CN"/>
        </w:rPr>
        <w:t>镇</w:t>
      </w:r>
      <w:r>
        <w:rPr>
          <w:rFonts w:ascii="仿宋_GB2312" w:hAnsi="仿宋_GB2312" w:eastAsia="仿宋_GB2312" w:cs="仿宋_GB2312"/>
          <w:spacing w:val="6"/>
          <w:sz w:val="32"/>
          <w:szCs w:val="32"/>
          <w:lang w:val="zh-CN"/>
        </w:rPr>
        <w:t>、依法执政、依法行政共同推进，法治政府、法治社会一体推进</w:t>
      </w:r>
      <w:r>
        <w:rPr>
          <w:rFonts w:hint="eastAsia" w:ascii="仿宋_GB2312" w:hAnsi="仿宋_GB2312" w:eastAsia="仿宋_GB2312" w:cs="仿宋_GB2312"/>
          <w:spacing w:val="6"/>
          <w:sz w:val="32"/>
          <w:szCs w:val="32"/>
          <w:lang w:val="zh-CN"/>
        </w:rPr>
        <w:t>，</w:t>
      </w:r>
      <w:r>
        <w:rPr>
          <w:rFonts w:ascii="仿宋_GB2312" w:hAnsi="仿宋_GB2312" w:eastAsia="仿宋_GB2312" w:cs="仿宋_GB2312"/>
          <w:spacing w:val="6"/>
          <w:sz w:val="32"/>
          <w:szCs w:val="32"/>
          <w:lang w:val="zh-CN"/>
        </w:rPr>
        <w:t>共建共治的平安建设格局。</w:t>
      </w:r>
    </w:p>
    <w:p>
      <w:pPr>
        <w:pStyle w:val="2"/>
        <w:ind w:firstLine="664" w:firstLineChars="200"/>
        <w:jc w:val="both"/>
        <w:rPr>
          <w:rFonts w:hint="eastAsia" w:ascii="仿宋_GB2312" w:hAnsi="仿宋_GB2312" w:eastAsia="仿宋_GB2312" w:cs="仿宋_GB2312"/>
          <w:spacing w:val="6"/>
          <w:sz w:val="32"/>
          <w:szCs w:val="32"/>
          <w:lang w:val="en-US" w:eastAsia="zh-CN"/>
        </w:rPr>
      </w:pPr>
    </w:p>
    <w:p>
      <w:pPr>
        <w:pStyle w:val="2"/>
        <w:jc w:val="center"/>
        <w:rPr>
          <w:rFonts w:hint="eastAsia" w:ascii="黑体" w:hAnsi="黑体" w:eastAsia="黑体"/>
          <w:sz w:val="36"/>
          <w:szCs w:val="36"/>
          <w:lang w:eastAsia="zh-CN"/>
        </w:rPr>
      </w:pPr>
    </w:p>
    <w:p>
      <w:pPr>
        <w:pStyle w:val="2"/>
        <w:jc w:val="center"/>
        <w:rPr>
          <w:rFonts w:ascii="黑体" w:hAnsi="黑体" w:eastAsia="黑体"/>
          <w:sz w:val="36"/>
          <w:szCs w:val="36"/>
          <w:lang w:eastAsia="zh-CN"/>
        </w:rPr>
      </w:pPr>
      <w:r>
        <w:rPr>
          <w:rFonts w:hint="eastAsia" w:ascii="黑体" w:hAnsi="黑体" w:eastAsia="黑体"/>
          <w:sz w:val="36"/>
          <w:szCs w:val="36"/>
          <w:lang w:eastAsia="zh-CN"/>
        </w:rPr>
        <w:t>第二部分 20</w:t>
      </w:r>
      <w:r>
        <w:rPr>
          <w:rFonts w:hint="eastAsia" w:ascii="黑体" w:hAnsi="黑体" w:eastAsia="黑体"/>
          <w:sz w:val="36"/>
          <w:szCs w:val="36"/>
          <w:lang w:val="en-US" w:eastAsia="zh-CN"/>
        </w:rPr>
        <w:t>22</w:t>
      </w:r>
      <w:r>
        <w:rPr>
          <w:rFonts w:hint="eastAsia" w:ascii="黑体" w:hAnsi="黑体" w:eastAsia="黑体"/>
          <w:sz w:val="36"/>
          <w:szCs w:val="36"/>
          <w:lang w:eastAsia="zh-CN"/>
        </w:rPr>
        <w:t>年度部门预算表</w:t>
      </w:r>
    </w:p>
    <w:p>
      <w:pPr>
        <w:pStyle w:val="14"/>
        <w:numPr>
          <w:numId w:val="0"/>
        </w:numPr>
        <w:tabs>
          <w:tab w:val="left" w:pos="7513"/>
        </w:tabs>
        <w:adjustRightInd w:val="0"/>
        <w:snapToGrid w:val="0"/>
        <w:spacing w:line="600" w:lineRule="exact"/>
        <w:ind w:leftChars="0"/>
        <w:rPr>
          <w:rFonts w:ascii="仿宋" w:hAnsi="仿宋" w:eastAsia="仿宋"/>
          <w:sz w:val="32"/>
          <w:szCs w:val="32"/>
        </w:rPr>
      </w:pPr>
      <w:r>
        <w:rPr>
          <w:rFonts w:hint="eastAsia" w:ascii="仿宋" w:hAnsi="仿宋" w:eastAsia="仿宋"/>
          <w:sz w:val="32"/>
          <w:szCs w:val="32"/>
          <w:lang w:val="en-US" w:eastAsia="zh-CN"/>
        </w:rPr>
        <w:t>一、</w:t>
      </w:r>
      <w:r>
        <w:rPr>
          <w:rFonts w:hint="eastAsia" w:ascii="仿宋" w:hAnsi="仿宋" w:eastAsia="仿宋"/>
          <w:sz w:val="32"/>
          <w:szCs w:val="32"/>
        </w:rPr>
        <w:t>收支预算总表</w:t>
      </w:r>
    </w:p>
    <w:p>
      <w:pPr>
        <w:pStyle w:val="14"/>
        <w:numPr>
          <w:numId w:val="0"/>
        </w:numPr>
        <w:tabs>
          <w:tab w:val="left" w:pos="7513"/>
        </w:tabs>
        <w:adjustRightInd w:val="0"/>
        <w:snapToGrid w:val="0"/>
        <w:spacing w:line="600" w:lineRule="exact"/>
        <w:ind w:leftChars="0"/>
      </w:pPr>
      <w:r>
        <w:drawing>
          <wp:anchor distT="0" distB="0" distL="114300" distR="114300" simplePos="0" relativeHeight="251671552" behindDoc="0" locked="0" layoutInCell="1" allowOverlap="1">
            <wp:simplePos x="0" y="0"/>
            <wp:positionH relativeFrom="column">
              <wp:posOffset>-9525</wp:posOffset>
            </wp:positionH>
            <wp:positionV relativeFrom="paragraph">
              <wp:posOffset>110490</wp:posOffset>
            </wp:positionV>
            <wp:extent cx="5273040" cy="2232660"/>
            <wp:effectExtent l="0" t="0" r="3810" b="15240"/>
            <wp:wrapSquare wrapText="bothSides"/>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5"/>
                    <a:stretch>
                      <a:fillRect/>
                    </a:stretch>
                  </pic:blipFill>
                  <pic:spPr>
                    <a:xfrm>
                      <a:off x="0" y="0"/>
                      <a:ext cx="5273040" cy="2232660"/>
                    </a:xfrm>
                    <a:prstGeom prst="rect">
                      <a:avLst/>
                    </a:prstGeom>
                    <a:noFill/>
                    <a:ln w="9525">
                      <a:noFill/>
                    </a:ln>
                  </pic:spPr>
                </pic:pic>
              </a:graphicData>
            </a:graphic>
          </wp:anchor>
        </w:drawing>
      </w:r>
    </w:p>
    <w:p>
      <w:pPr>
        <w:pStyle w:val="14"/>
        <w:numPr>
          <w:numId w:val="0"/>
        </w:numPr>
        <w:tabs>
          <w:tab w:val="left" w:pos="7513"/>
        </w:tabs>
        <w:adjustRightInd w:val="0"/>
        <w:snapToGrid w:val="0"/>
        <w:spacing w:line="600" w:lineRule="exact"/>
        <w:ind w:leftChars="0"/>
        <w:rPr>
          <w:rFonts w:hint="eastAsia" w:ascii="仿宋" w:hAnsi="仿宋" w:eastAsia="仿宋"/>
          <w:sz w:val="32"/>
          <w:szCs w:val="32"/>
        </w:rPr>
      </w:pPr>
      <w:r>
        <w:rPr>
          <w:rFonts w:hint="eastAsia" w:ascii="仿宋" w:hAnsi="仿宋" w:eastAsia="仿宋"/>
          <w:sz w:val="32"/>
          <w:szCs w:val="32"/>
          <w:lang w:val="en-US" w:eastAsia="zh-CN"/>
        </w:rPr>
        <w:t>二、</w:t>
      </w:r>
      <w:r>
        <w:rPr>
          <w:rFonts w:hint="eastAsia" w:ascii="仿宋" w:hAnsi="仿宋" w:eastAsia="仿宋"/>
          <w:sz w:val="32"/>
          <w:szCs w:val="32"/>
        </w:rPr>
        <w:t>收入预算总表</w:t>
      </w:r>
    </w:p>
    <w:p>
      <w:pPr>
        <w:pStyle w:val="2"/>
        <w:numPr>
          <w:ilvl w:val="0"/>
          <w:numId w:val="0"/>
        </w:numPr>
        <w:ind w:leftChars="0"/>
      </w:pPr>
      <w:r>
        <w:drawing>
          <wp:inline distT="0" distB="0" distL="114300" distR="114300">
            <wp:extent cx="5273040" cy="2553335"/>
            <wp:effectExtent l="0" t="0" r="3810" b="1841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6"/>
                    <a:stretch>
                      <a:fillRect/>
                    </a:stretch>
                  </pic:blipFill>
                  <pic:spPr>
                    <a:xfrm>
                      <a:off x="0" y="0"/>
                      <a:ext cx="5273040" cy="2553335"/>
                    </a:xfrm>
                    <a:prstGeom prst="rect">
                      <a:avLst/>
                    </a:prstGeom>
                    <a:noFill/>
                    <a:ln w="9525">
                      <a:noFill/>
                    </a:ln>
                  </pic:spPr>
                </pic:pic>
              </a:graphicData>
            </a:graphic>
          </wp:inline>
        </w:drawing>
      </w:r>
    </w:p>
    <w:p>
      <w:pPr>
        <w:pStyle w:val="2"/>
        <w:numPr>
          <w:ilvl w:val="0"/>
          <w:numId w:val="0"/>
        </w:numPr>
        <w:ind w:leftChars="0"/>
        <w:rPr>
          <w:rFonts w:hint="eastAsia"/>
          <w:lang w:val="en-US" w:eastAsia="zh-CN"/>
        </w:rPr>
      </w:pPr>
    </w:p>
    <w:p>
      <w:pPr>
        <w:pStyle w:val="2"/>
        <w:numPr>
          <w:ilvl w:val="0"/>
          <w:numId w:val="0"/>
        </w:numPr>
        <w:ind w:leftChars="0"/>
        <w:rPr>
          <w:rFonts w:hint="eastAsia"/>
          <w:lang w:val="en-US" w:eastAsia="zh-CN"/>
        </w:rPr>
      </w:pPr>
    </w:p>
    <w:p>
      <w:pPr>
        <w:pStyle w:val="14"/>
        <w:numPr>
          <w:numId w:val="0"/>
        </w:numPr>
        <w:tabs>
          <w:tab w:val="left" w:pos="7513"/>
        </w:tabs>
        <w:adjustRightInd w:val="0"/>
        <w:snapToGrid w:val="0"/>
        <w:spacing w:line="600" w:lineRule="exact"/>
        <w:ind w:leftChars="0"/>
        <w:rPr>
          <w:rFonts w:hint="eastAsia" w:ascii="仿宋" w:hAnsi="仿宋" w:eastAsia="仿宋"/>
          <w:sz w:val="32"/>
          <w:szCs w:val="32"/>
        </w:rPr>
      </w:pPr>
      <w:r>
        <w:rPr>
          <w:rFonts w:hint="eastAsia" w:ascii="仿宋" w:hAnsi="仿宋" w:eastAsia="仿宋"/>
          <w:sz w:val="32"/>
          <w:szCs w:val="32"/>
          <w:lang w:val="en-US" w:eastAsia="zh-CN"/>
        </w:rPr>
        <w:t>三、</w:t>
      </w:r>
      <w:r>
        <w:rPr>
          <w:rFonts w:hint="eastAsia" w:ascii="仿宋" w:hAnsi="仿宋" w:eastAsia="仿宋"/>
          <w:sz w:val="32"/>
          <w:szCs w:val="32"/>
        </w:rPr>
        <w:t>支出预算总表</w:t>
      </w:r>
    </w:p>
    <w:p>
      <w:pPr>
        <w:pStyle w:val="14"/>
        <w:numPr>
          <w:ilvl w:val="0"/>
          <w:numId w:val="0"/>
        </w:numPr>
        <w:tabs>
          <w:tab w:val="left" w:pos="7513"/>
        </w:tabs>
        <w:adjustRightInd w:val="0"/>
        <w:snapToGrid w:val="0"/>
        <w:spacing w:line="600" w:lineRule="exact"/>
        <w:ind w:leftChars="0"/>
        <w:rPr>
          <w:rFonts w:hint="eastAsia" w:ascii="仿宋" w:hAnsi="仿宋" w:eastAsia="仿宋"/>
          <w:sz w:val="32"/>
          <w:szCs w:val="32"/>
        </w:rPr>
      </w:pPr>
      <w:r>
        <w:drawing>
          <wp:anchor distT="0" distB="0" distL="114300" distR="114300" simplePos="0" relativeHeight="251672576" behindDoc="0" locked="0" layoutInCell="1" allowOverlap="1">
            <wp:simplePos x="0" y="0"/>
            <wp:positionH relativeFrom="column">
              <wp:posOffset>9525</wp:posOffset>
            </wp:positionH>
            <wp:positionV relativeFrom="paragraph">
              <wp:posOffset>106680</wp:posOffset>
            </wp:positionV>
            <wp:extent cx="5268595" cy="2739390"/>
            <wp:effectExtent l="0" t="0" r="8255" b="3810"/>
            <wp:wrapSquare wrapText="bothSides"/>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7"/>
                    <a:stretch>
                      <a:fillRect/>
                    </a:stretch>
                  </pic:blipFill>
                  <pic:spPr>
                    <a:xfrm>
                      <a:off x="0" y="0"/>
                      <a:ext cx="5268595" cy="2739390"/>
                    </a:xfrm>
                    <a:prstGeom prst="rect">
                      <a:avLst/>
                    </a:prstGeom>
                    <a:noFill/>
                    <a:ln w="9525">
                      <a:noFill/>
                    </a:ln>
                  </pic:spPr>
                </pic:pic>
              </a:graphicData>
            </a:graphic>
          </wp:anchor>
        </w:drawing>
      </w:r>
    </w:p>
    <w:p>
      <w:pPr>
        <w:pStyle w:val="14"/>
        <w:numPr>
          <w:ilvl w:val="0"/>
          <w:numId w:val="0"/>
        </w:numPr>
        <w:tabs>
          <w:tab w:val="left" w:pos="7513"/>
        </w:tabs>
        <w:adjustRightInd w:val="0"/>
        <w:snapToGrid w:val="0"/>
        <w:spacing w:line="600" w:lineRule="exact"/>
        <w:ind w:leftChars="0"/>
        <w:rPr>
          <w:rFonts w:hint="eastAsia" w:ascii="仿宋" w:hAnsi="仿宋" w:eastAsia="仿宋"/>
          <w:sz w:val="32"/>
          <w:szCs w:val="32"/>
        </w:rPr>
      </w:pPr>
    </w:p>
    <w:p>
      <w:pPr>
        <w:pStyle w:val="14"/>
        <w:numPr>
          <w:ilvl w:val="0"/>
          <w:numId w:val="0"/>
        </w:numPr>
        <w:tabs>
          <w:tab w:val="left" w:pos="7513"/>
        </w:tabs>
        <w:adjustRightInd w:val="0"/>
        <w:snapToGrid w:val="0"/>
        <w:spacing w:line="600" w:lineRule="exact"/>
        <w:ind w:leftChars="0"/>
        <w:rPr>
          <w:rFonts w:hint="eastAsia" w:ascii="仿宋" w:hAnsi="仿宋" w:eastAsia="仿宋"/>
          <w:sz w:val="32"/>
          <w:szCs w:val="32"/>
        </w:rPr>
      </w:pPr>
    </w:p>
    <w:p>
      <w:pPr>
        <w:pStyle w:val="14"/>
        <w:numPr>
          <w:ilvl w:val="0"/>
          <w:numId w:val="0"/>
        </w:numPr>
        <w:tabs>
          <w:tab w:val="left" w:pos="7513"/>
        </w:tabs>
        <w:adjustRightInd w:val="0"/>
        <w:snapToGrid w:val="0"/>
        <w:spacing w:line="600" w:lineRule="exact"/>
        <w:ind w:leftChars="0"/>
        <w:rPr>
          <w:rFonts w:hint="eastAsia" w:ascii="仿宋" w:hAnsi="仿宋" w:eastAsia="仿宋"/>
          <w:sz w:val="32"/>
          <w:szCs w:val="32"/>
        </w:rPr>
      </w:pPr>
    </w:p>
    <w:p>
      <w:pPr>
        <w:pStyle w:val="14"/>
        <w:numPr>
          <w:ilvl w:val="0"/>
          <w:numId w:val="0"/>
        </w:numPr>
        <w:tabs>
          <w:tab w:val="left" w:pos="7513"/>
        </w:tabs>
        <w:adjustRightInd w:val="0"/>
        <w:snapToGrid w:val="0"/>
        <w:spacing w:line="600" w:lineRule="exact"/>
        <w:ind w:leftChars="0"/>
        <w:rPr>
          <w:rFonts w:hint="eastAsia" w:ascii="仿宋" w:hAnsi="仿宋" w:eastAsia="仿宋"/>
          <w:sz w:val="32"/>
          <w:szCs w:val="32"/>
        </w:rPr>
      </w:pPr>
    </w:p>
    <w:p>
      <w:pPr>
        <w:pStyle w:val="14"/>
        <w:numPr>
          <w:numId w:val="0"/>
        </w:numPr>
        <w:tabs>
          <w:tab w:val="left" w:pos="7513"/>
        </w:tabs>
        <w:adjustRightInd w:val="0"/>
        <w:snapToGrid w:val="0"/>
        <w:spacing w:line="600" w:lineRule="exact"/>
        <w:ind w:leftChars="0"/>
        <w:rPr>
          <w:rFonts w:hint="eastAsia" w:ascii="仿宋" w:hAnsi="仿宋" w:eastAsia="仿宋"/>
          <w:sz w:val="32"/>
          <w:szCs w:val="32"/>
        </w:rPr>
      </w:pPr>
      <w:r>
        <w:rPr>
          <w:rFonts w:hint="eastAsia" w:ascii="仿宋" w:hAnsi="仿宋" w:eastAsia="仿宋"/>
          <w:sz w:val="32"/>
          <w:szCs w:val="32"/>
          <w:lang w:val="en-US" w:eastAsia="zh-CN"/>
        </w:rPr>
        <w:t>四、</w:t>
      </w:r>
      <w:r>
        <w:rPr>
          <w:rFonts w:hint="eastAsia" w:ascii="仿宋" w:hAnsi="仿宋" w:eastAsia="仿宋"/>
          <w:sz w:val="32"/>
          <w:szCs w:val="32"/>
        </w:rPr>
        <w:t>财政拨款收支预算总表</w:t>
      </w:r>
    </w:p>
    <w:p>
      <w:pPr>
        <w:tabs>
          <w:tab w:val="left" w:pos="7513"/>
        </w:tabs>
        <w:adjustRightInd w:val="0"/>
        <w:snapToGrid w:val="0"/>
        <w:spacing w:line="600" w:lineRule="exact"/>
        <w:rPr>
          <w:rFonts w:hint="eastAsia" w:ascii="仿宋" w:hAnsi="仿宋" w:eastAsia="仿宋"/>
          <w:sz w:val="32"/>
          <w:szCs w:val="32"/>
        </w:rPr>
      </w:pPr>
      <w:r>
        <w:drawing>
          <wp:anchor distT="0" distB="0" distL="114300" distR="114300" simplePos="0" relativeHeight="251673600" behindDoc="0" locked="0" layoutInCell="1" allowOverlap="1">
            <wp:simplePos x="0" y="0"/>
            <wp:positionH relativeFrom="column">
              <wp:posOffset>28575</wp:posOffset>
            </wp:positionH>
            <wp:positionV relativeFrom="paragraph">
              <wp:posOffset>209550</wp:posOffset>
            </wp:positionV>
            <wp:extent cx="5269865" cy="2567940"/>
            <wp:effectExtent l="0" t="0" r="6985" b="3810"/>
            <wp:wrapSquare wrapText="bothSides"/>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8"/>
                    <a:stretch>
                      <a:fillRect/>
                    </a:stretch>
                  </pic:blipFill>
                  <pic:spPr>
                    <a:xfrm>
                      <a:off x="0" y="0"/>
                      <a:ext cx="5269865" cy="2567940"/>
                    </a:xfrm>
                    <a:prstGeom prst="rect">
                      <a:avLst/>
                    </a:prstGeom>
                    <a:noFill/>
                    <a:ln w="9525">
                      <a:noFill/>
                    </a:ln>
                  </pic:spPr>
                </pic:pic>
              </a:graphicData>
            </a:graphic>
          </wp:anchor>
        </w:drawing>
      </w:r>
    </w:p>
    <w:p>
      <w:pPr>
        <w:numPr>
          <w:ilvl w:val="0"/>
          <w:numId w:val="1"/>
        </w:numPr>
        <w:tabs>
          <w:tab w:val="left" w:pos="7513"/>
        </w:tabs>
        <w:adjustRightInd w:val="0"/>
        <w:snapToGrid w:val="0"/>
        <w:spacing w:line="600" w:lineRule="exact"/>
        <w:rPr>
          <w:rFonts w:hint="eastAsia" w:ascii="仿宋" w:hAnsi="仿宋" w:eastAsia="仿宋"/>
          <w:sz w:val="32"/>
          <w:szCs w:val="32"/>
        </w:rPr>
      </w:pPr>
      <w:r>
        <w:rPr>
          <w:rFonts w:hint="eastAsia" w:ascii="仿宋" w:hAnsi="仿宋" w:eastAsia="仿宋"/>
          <w:sz w:val="32"/>
          <w:szCs w:val="32"/>
        </w:rPr>
        <w:t>一般公共预算拨款支出预算表</w:t>
      </w:r>
    </w:p>
    <w:p>
      <w:pPr>
        <w:numPr>
          <w:numId w:val="0"/>
        </w:numPr>
        <w:tabs>
          <w:tab w:val="left" w:pos="7513"/>
        </w:tabs>
        <w:adjustRightInd w:val="0"/>
        <w:snapToGrid w:val="0"/>
        <w:spacing w:line="600" w:lineRule="exact"/>
        <w:rPr>
          <w:rFonts w:hint="eastAsia" w:ascii="仿宋" w:hAnsi="仿宋" w:eastAsia="仿宋"/>
          <w:sz w:val="32"/>
          <w:szCs w:val="32"/>
        </w:rPr>
      </w:pPr>
      <w:r>
        <w:drawing>
          <wp:anchor distT="0" distB="0" distL="114300" distR="114300" simplePos="0" relativeHeight="251674624" behindDoc="0" locked="0" layoutInCell="1" allowOverlap="1">
            <wp:simplePos x="0" y="0"/>
            <wp:positionH relativeFrom="column">
              <wp:posOffset>57150</wp:posOffset>
            </wp:positionH>
            <wp:positionV relativeFrom="paragraph">
              <wp:posOffset>196850</wp:posOffset>
            </wp:positionV>
            <wp:extent cx="5269865" cy="3215005"/>
            <wp:effectExtent l="0" t="0" r="6985" b="4445"/>
            <wp:wrapSquare wrapText="bothSides"/>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9"/>
                    <a:stretch>
                      <a:fillRect/>
                    </a:stretch>
                  </pic:blipFill>
                  <pic:spPr>
                    <a:xfrm>
                      <a:off x="0" y="0"/>
                      <a:ext cx="5269865" cy="3215005"/>
                    </a:xfrm>
                    <a:prstGeom prst="rect">
                      <a:avLst/>
                    </a:prstGeom>
                    <a:noFill/>
                    <a:ln w="9525">
                      <a:noFill/>
                    </a:ln>
                  </pic:spPr>
                </pic:pic>
              </a:graphicData>
            </a:graphic>
          </wp:anchor>
        </w:drawing>
      </w:r>
    </w:p>
    <w:p>
      <w:pPr>
        <w:widowControl w:val="0"/>
        <w:numPr>
          <w:ilvl w:val="0"/>
          <w:numId w:val="0"/>
        </w:numPr>
        <w:tabs>
          <w:tab w:val="left" w:pos="7513"/>
        </w:tabs>
        <w:adjustRightInd w:val="0"/>
        <w:snapToGrid w:val="0"/>
        <w:spacing w:line="600" w:lineRule="exact"/>
        <w:jc w:val="both"/>
      </w:pPr>
    </w:p>
    <w:p>
      <w:pPr>
        <w:widowControl w:val="0"/>
        <w:numPr>
          <w:ilvl w:val="0"/>
          <w:numId w:val="0"/>
        </w:numPr>
        <w:tabs>
          <w:tab w:val="left" w:pos="7513"/>
        </w:tabs>
        <w:adjustRightInd w:val="0"/>
        <w:snapToGrid w:val="0"/>
        <w:spacing w:line="600" w:lineRule="exact"/>
        <w:jc w:val="both"/>
      </w:pPr>
    </w:p>
    <w:p>
      <w:pPr>
        <w:widowControl w:val="0"/>
        <w:numPr>
          <w:ilvl w:val="0"/>
          <w:numId w:val="1"/>
        </w:numPr>
        <w:tabs>
          <w:tab w:val="left" w:pos="7513"/>
        </w:tabs>
        <w:adjustRightInd w:val="0"/>
        <w:snapToGrid w:val="0"/>
        <w:spacing w:line="600" w:lineRule="exact"/>
        <w:ind w:left="0" w:leftChars="0" w:firstLine="0" w:firstLineChars="0"/>
        <w:jc w:val="both"/>
        <w:rPr>
          <w:rFonts w:hint="eastAsia" w:ascii="仿宋" w:hAnsi="仿宋" w:eastAsia="仿宋"/>
          <w:sz w:val="32"/>
          <w:szCs w:val="32"/>
        </w:rPr>
      </w:pPr>
      <w:r>
        <w:rPr>
          <w:rFonts w:hint="eastAsia" w:ascii="仿宋" w:hAnsi="仿宋" w:eastAsia="仿宋"/>
          <w:sz w:val="32"/>
          <w:szCs w:val="32"/>
        </w:rPr>
        <w:t>政府性基金拨款支出预算表</w:t>
      </w:r>
    </w:p>
    <w:p>
      <w:pPr>
        <w:widowControl w:val="0"/>
        <w:numPr>
          <w:numId w:val="0"/>
        </w:numPr>
        <w:tabs>
          <w:tab w:val="left" w:pos="7513"/>
        </w:tabs>
        <w:adjustRightInd w:val="0"/>
        <w:snapToGrid w:val="0"/>
        <w:spacing w:line="600" w:lineRule="exact"/>
        <w:ind w:leftChars="0"/>
        <w:jc w:val="both"/>
        <w:rPr>
          <w:rFonts w:hint="eastAsia" w:ascii="仿宋" w:hAnsi="仿宋" w:eastAsia="仿宋"/>
          <w:sz w:val="32"/>
          <w:szCs w:val="32"/>
        </w:rPr>
      </w:pPr>
      <w:r>
        <w:drawing>
          <wp:anchor distT="0" distB="0" distL="114300" distR="114300" simplePos="0" relativeHeight="251677696" behindDoc="0" locked="0" layoutInCell="1" allowOverlap="1">
            <wp:simplePos x="0" y="0"/>
            <wp:positionH relativeFrom="column">
              <wp:posOffset>57150</wp:posOffset>
            </wp:positionH>
            <wp:positionV relativeFrom="paragraph">
              <wp:posOffset>257175</wp:posOffset>
            </wp:positionV>
            <wp:extent cx="5269230" cy="2854960"/>
            <wp:effectExtent l="0" t="0" r="7620" b="2540"/>
            <wp:wrapSquare wrapText="bothSides"/>
            <wp:docPr id="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r:embed="rId10"/>
                    <a:stretch>
                      <a:fillRect/>
                    </a:stretch>
                  </pic:blipFill>
                  <pic:spPr>
                    <a:xfrm>
                      <a:off x="0" y="0"/>
                      <a:ext cx="5269230" cy="2854960"/>
                    </a:xfrm>
                    <a:prstGeom prst="rect">
                      <a:avLst/>
                    </a:prstGeom>
                    <a:noFill/>
                    <a:ln w="9525">
                      <a:noFill/>
                    </a:ln>
                  </pic:spPr>
                </pic:pic>
              </a:graphicData>
            </a:graphic>
          </wp:anchor>
        </w:drawing>
      </w:r>
    </w:p>
    <w:p>
      <w:pPr>
        <w:widowControl w:val="0"/>
        <w:numPr>
          <w:ilvl w:val="0"/>
          <w:numId w:val="1"/>
        </w:numPr>
        <w:tabs>
          <w:tab w:val="left" w:pos="7513"/>
        </w:tabs>
        <w:adjustRightInd w:val="0"/>
        <w:snapToGrid w:val="0"/>
        <w:spacing w:line="600" w:lineRule="exact"/>
        <w:ind w:left="0" w:leftChars="0" w:firstLine="0" w:firstLineChars="0"/>
        <w:jc w:val="both"/>
        <w:rPr>
          <w:rFonts w:hint="eastAsia" w:ascii="仿宋" w:hAnsi="仿宋" w:eastAsia="仿宋"/>
          <w:sz w:val="32"/>
          <w:szCs w:val="32"/>
        </w:rPr>
      </w:pPr>
      <w:r>
        <w:rPr>
          <w:rFonts w:hint="eastAsia" w:ascii="仿宋" w:hAnsi="仿宋" w:eastAsia="仿宋"/>
          <w:sz w:val="32"/>
          <w:szCs w:val="32"/>
        </w:rPr>
        <w:t>一般公共预算支出经济分类情况表</w:t>
      </w:r>
    </w:p>
    <w:p>
      <w:pPr>
        <w:widowControl w:val="0"/>
        <w:numPr>
          <w:numId w:val="0"/>
        </w:numPr>
        <w:tabs>
          <w:tab w:val="left" w:pos="7513"/>
        </w:tabs>
        <w:adjustRightInd w:val="0"/>
        <w:snapToGrid w:val="0"/>
        <w:spacing w:line="600" w:lineRule="exact"/>
        <w:ind w:leftChars="0"/>
        <w:jc w:val="both"/>
        <w:rPr>
          <w:rFonts w:hint="eastAsia" w:ascii="仿宋" w:hAnsi="仿宋" w:eastAsia="仿宋"/>
          <w:sz w:val="32"/>
          <w:szCs w:val="32"/>
        </w:rPr>
      </w:pPr>
      <w:r>
        <w:drawing>
          <wp:anchor distT="0" distB="0" distL="114300" distR="114300" simplePos="0" relativeHeight="251676672" behindDoc="0" locked="0" layoutInCell="1" allowOverlap="1">
            <wp:simplePos x="0" y="0"/>
            <wp:positionH relativeFrom="column">
              <wp:posOffset>-104775</wp:posOffset>
            </wp:positionH>
            <wp:positionV relativeFrom="paragraph">
              <wp:posOffset>80645</wp:posOffset>
            </wp:positionV>
            <wp:extent cx="5267960" cy="3394710"/>
            <wp:effectExtent l="0" t="0" r="8890" b="15240"/>
            <wp:wrapSquare wrapText="bothSides"/>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11"/>
                    <a:stretch>
                      <a:fillRect/>
                    </a:stretch>
                  </pic:blipFill>
                  <pic:spPr>
                    <a:xfrm>
                      <a:off x="0" y="0"/>
                      <a:ext cx="5267960" cy="3394710"/>
                    </a:xfrm>
                    <a:prstGeom prst="rect">
                      <a:avLst/>
                    </a:prstGeom>
                    <a:noFill/>
                    <a:ln w="9525">
                      <a:noFill/>
                    </a:ln>
                  </pic:spPr>
                </pic:pic>
              </a:graphicData>
            </a:graphic>
          </wp:anchor>
        </w:drawing>
      </w:r>
    </w:p>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八、一般公共预算基本支出经济分类情况表</w:t>
      </w:r>
    </w:p>
    <w:p>
      <w:pPr>
        <w:tabs>
          <w:tab w:val="left" w:pos="7513"/>
        </w:tabs>
        <w:adjustRightInd w:val="0"/>
        <w:snapToGrid w:val="0"/>
        <w:spacing w:line="600" w:lineRule="exact"/>
        <w:rPr>
          <w:rFonts w:hint="eastAsia" w:ascii="仿宋" w:hAnsi="仿宋" w:eastAsia="仿宋"/>
          <w:sz w:val="32"/>
          <w:szCs w:val="32"/>
        </w:rPr>
      </w:pPr>
      <w:r>
        <w:drawing>
          <wp:anchor distT="0" distB="0" distL="114300" distR="114300" simplePos="0" relativeHeight="251678720" behindDoc="0" locked="0" layoutInCell="1" allowOverlap="1">
            <wp:simplePos x="0" y="0"/>
            <wp:positionH relativeFrom="column">
              <wp:posOffset>-9525</wp:posOffset>
            </wp:positionH>
            <wp:positionV relativeFrom="paragraph">
              <wp:posOffset>205105</wp:posOffset>
            </wp:positionV>
            <wp:extent cx="5272405" cy="6489065"/>
            <wp:effectExtent l="0" t="0" r="4445" b="6985"/>
            <wp:wrapSquare wrapText="bothSides"/>
            <wp:docPr id="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4"/>
                    <pic:cNvPicPr>
                      <a:picLocks noChangeAspect="1"/>
                    </pic:cNvPicPr>
                  </pic:nvPicPr>
                  <pic:blipFill>
                    <a:blip r:embed="rId12"/>
                    <a:stretch>
                      <a:fillRect/>
                    </a:stretch>
                  </pic:blipFill>
                  <pic:spPr>
                    <a:xfrm>
                      <a:off x="0" y="0"/>
                      <a:ext cx="5272405" cy="6489065"/>
                    </a:xfrm>
                    <a:prstGeom prst="rect">
                      <a:avLst/>
                    </a:prstGeom>
                    <a:noFill/>
                    <a:ln w="9525">
                      <a:noFill/>
                    </a:ln>
                  </pic:spPr>
                </pic:pic>
              </a:graphicData>
            </a:graphic>
          </wp:anchor>
        </w:drawing>
      </w:r>
    </w:p>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hint="eastAsia" w:ascii="仿宋" w:hAnsi="仿宋" w:eastAsia="仿宋"/>
          <w:sz w:val="32"/>
          <w:szCs w:val="32"/>
        </w:rPr>
      </w:pPr>
      <w:r>
        <w:drawing>
          <wp:anchor distT="0" distB="0" distL="114300" distR="114300" simplePos="0" relativeHeight="251680768" behindDoc="0" locked="0" layoutInCell="1" allowOverlap="1">
            <wp:simplePos x="0" y="0"/>
            <wp:positionH relativeFrom="column">
              <wp:posOffset>19050</wp:posOffset>
            </wp:positionH>
            <wp:positionV relativeFrom="paragraph">
              <wp:posOffset>6163310</wp:posOffset>
            </wp:positionV>
            <wp:extent cx="5271135" cy="1065530"/>
            <wp:effectExtent l="0" t="0" r="5715" b="1270"/>
            <wp:wrapSquare wrapText="bothSides"/>
            <wp:docPr id="3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7"/>
                    <pic:cNvPicPr>
                      <a:picLocks noChangeAspect="1"/>
                    </pic:cNvPicPr>
                  </pic:nvPicPr>
                  <pic:blipFill>
                    <a:blip r:embed="rId13"/>
                    <a:stretch>
                      <a:fillRect/>
                    </a:stretch>
                  </pic:blipFill>
                  <pic:spPr>
                    <a:xfrm>
                      <a:off x="0" y="0"/>
                      <a:ext cx="5271135" cy="1065530"/>
                    </a:xfrm>
                    <a:prstGeom prst="rect">
                      <a:avLst/>
                    </a:prstGeom>
                    <a:noFill/>
                    <a:ln w="9525">
                      <a:noFill/>
                    </a:ln>
                  </pic:spPr>
                </pic:pic>
              </a:graphicData>
            </a:graphic>
          </wp:anchor>
        </w:drawing>
      </w:r>
      <w:r>
        <w:drawing>
          <wp:anchor distT="0" distB="0" distL="114300" distR="114300" simplePos="0" relativeHeight="251679744" behindDoc="0" locked="0" layoutInCell="1" allowOverlap="1">
            <wp:simplePos x="0" y="0"/>
            <wp:positionH relativeFrom="column">
              <wp:posOffset>0</wp:posOffset>
            </wp:positionH>
            <wp:positionV relativeFrom="paragraph">
              <wp:posOffset>142875</wp:posOffset>
            </wp:positionV>
            <wp:extent cx="5267960" cy="6034405"/>
            <wp:effectExtent l="0" t="0" r="8890" b="4445"/>
            <wp:wrapSquare wrapText="bothSides"/>
            <wp:docPr id="2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14"/>
                    <a:stretch>
                      <a:fillRect/>
                    </a:stretch>
                  </pic:blipFill>
                  <pic:spPr>
                    <a:xfrm>
                      <a:off x="0" y="0"/>
                      <a:ext cx="5267960" cy="6034405"/>
                    </a:xfrm>
                    <a:prstGeom prst="rect">
                      <a:avLst/>
                    </a:prstGeom>
                    <a:noFill/>
                    <a:ln w="9525">
                      <a:noFill/>
                    </a:ln>
                  </pic:spPr>
                </pic:pic>
              </a:graphicData>
            </a:graphic>
          </wp:anchor>
        </w:drawing>
      </w:r>
    </w:p>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hint="eastAsia" w:ascii="仿宋" w:hAnsi="仿宋" w:eastAsia="仿宋"/>
          <w:sz w:val="32"/>
          <w:szCs w:val="32"/>
        </w:rPr>
      </w:pPr>
      <w:r>
        <w:drawing>
          <wp:anchor distT="0" distB="0" distL="114300" distR="114300" simplePos="0" relativeHeight="251682816" behindDoc="0" locked="0" layoutInCell="1" allowOverlap="1">
            <wp:simplePos x="0" y="0"/>
            <wp:positionH relativeFrom="column">
              <wp:posOffset>-9525</wp:posOffset>
            </wp:positionH>
            <wp:positionV relativeFrom="paragraph">
              <wp:posOffset>5929630</wp:posOffset>
            </wp:positionV>
            <wp:extent cx="5272405" cy="3552190"/>
            <wp:effectExtent l="0" t="0" r="4445" b="10160"/>
            <wp:wrapSquare wrapText="bothSides"/>
            <wp:docPr id="3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9"/>
                    <pic:cNvPicPr>
                      <a:picLocks noChangeAspect="1"/>
                    </pic:cNvPicPr>
                  </pic:nvPicPr>
                  <pic:blipFill>
                    <a:blip r:embed="rId15"/>
                    <a:stretch>
                      <a:fillRect/>
                    </a:stretch>
                  </pic:blipFill>
                  <pic:spPr>
                    <a:xfrm>
                      <a:off x="0" y="0"/>
                      <a:ext cx="5272405" cy="3552190"/>
                    </a:xfrm>
                    <a:prstGeom prst="rect">
                      <a:avLst/>
                    </a:prstGeom>
                    <a:noFill/>
                    <a:ln w="9525">
                      <a:noFill/>
                    </a:ln>
                  </pic:spPr>
                </pic:pic>
              </a:graphicData>
            </a:graphic>
          </wp:anchor>
        </w:drawing>
      </w:r>
      <w:r>
        <w:drawing>
          <wp:anchor distT="0" distB="0" distL="114300" distR="114300" simplePos="0" relativeHeight="251681792" behindDoc="0" locked="0" layoutInCell="1" allowOverlap="1">
            <wp:simplePos x="0" y="0"/>
            <wp:positionH relativeFrom="column">
              <wp:posOffset>-9525</wp:posOffset>
            </wp:positionH>
            <wp:positionV relativeFrom="paragraph">
              <wp:posOffset>-328295</wp:posOffset>
            </wp:positionV>
            <wp:extent cx="5272405" cy="6264910"/>
            <wp:effectExtent l="0" t="0" r="4445" b="2540"/>
            <wp:wrapSquare wrapText="bothSides"/>
            <wp:docPr id="3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8"/>
                    <pic:cNvPicPr>
                      <a:picLocks noChangeAspect="1"/>
                    </pic:cNvPicPr>
                  </pic:nvPicPr>
                  <pic:blipFill>
                    <a:blip r:embed="rId16"/>
                    <a:stretch>
                      <a:fillRect/>
                    </a:stretch>
                  </pic:blipFill>
                  <pic:spPr>
                    <a:xfrm>
                      <a:off x="0" y="0"/>
                      <a:ext cx="5272405" cy="6264910"/>
                    </a:xfrm>
                    <a:prstGeom prst="rect">
                      <a:avLst/>
                    </a:prstGeom>
                    <a:noFill/>
                    <a:ln w="9525">
                      <a:noFill/>
                    </a:ln>
                  </pic:spPr>
                </pic:pic>
              </a:graphicData>
            </a:graphic>
          </wp:anchor>
        </w:drawing>
      </w:r>
    </w:p>
    <w:p>
      <w:pPr>
        <w:numPr>
          <w:numId w:val="0"/>
        </w:numPr>
        <w:tabs>
          <w:tab w:val="left" w:pos="7513"/>
        </w:tabs>
        <w:adjustRightInd w:val="0"/>
        <w:snapToGrid w:val="0"/>
        <w:spacing w:line="600" w:lineRule="exact"/>
        <w:ind w:leftChars="0"/>
        <w:rPr>
          <w:rFonts w:hint="eastAsia" w:ascii="仿宋" w:hAnsi="仿宋" w:eastAsia="仿宋"/>
          <w:sz w:val="32"/>
          <w:szCs w:val="32"/>
        </w:rPr>
      </w:pPr>
      <w:r>
        <w:rPr>
          <w:rFonts w:hint="eastAsia" w:ascii="仿宋" w:hAnsi="仿宋" w:eastAsia="仿宋"/>
          <w:sz w:val="32"/>
          <w:szCs w:val="32"/>
          <w:lang w:val="en-US" w:eastAsia="zh-CN"/>
        </w:rPr>
        <w:t>九、</w:t>
      </w:r>
      <w:r>
        <w:rPr>
          <w:rFonts w:hint="eastAsia" w:ascii="仿宋" w:hAnsi="仿宋" w:eastAsia="仿宋"/>
          <w:sz w:val="32"/>
          <w:szCs w:val="32"/>
        </w:rPr>
        <w:t>一般公共预算“三公”经费支出预算表</w:t>
      </w:r>
    </w:p>
    <w:p>
      <w:pPr>
        <w:numPr>
          <w:numId w:val="0"/>
        </w:numPr>
        <w:tabs>
          <w:tab w:val="left" w:pos="7513"/>
        </w:tabs>
        <w:adjustRightInd w:val="0"/>
        <w:snapToGrid w:val="0"/>
        <w:spacing w:line="600" w:lineRule="exact"/>
        <w:ind w:leftChars="0"/>
        <w:rPr>
          <w:rFonts w:hint="eastAsia" w:ascii="仿宋" w:hAnsi="仿宋" w:eastAsia="仿宋"/>
          <w:sz w:val="32"/>
          <w:szCs w:val="32"/>
          <w:lang w:eastAsia="zh-CN"/>
        </w:rPr>
      </w:pPr>
    </w:p>
    <w:p>
      <w:pPr>
        <w:pStyle w:val="2"/>
        <w:jc w:val="center"/>
        <w:rPr>
          <w:rFonts w:hint="eastAsia" w:ascii="黑体" w:hAnsi="黑体" w:eastAsia="黑体"/>
          <w:sz w:val="36"/>
          <w:szCs w:val="36"/>
          <w:lang w:eastAsia="zh-CN"/>
        </w:rPr>
      </w:pPr>
      <w:r>
        <w:drawing>
          <wp:inline distT="0" distB="0" distL="114300" distR="114300">
            <wp:extent cx="5269230" cy="2663190"/>
            <wp:effectExtent l="0" t="0" r="7620" b="3810"/>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pic:cNvPicPr>
                  </pic:nvPicPr>
                  <pic:blipFill>
                    <a:blip r:embed="rId17"/>
                    <a:stretch>
                      <a:fillRect/>
                    </a:stretch>
                  </pic:blipFill>
                  <pic:spPr>
                    <a:xfrm>
                      <a:off x="0" y="0"/>
                      <a:ext cx="5269230" cy="2663190"/>
                    </a:xfrm>
                    <a:prstGeom prst="rect">
                      <a:avLst/>
                    </a:prstGeom>
                    <a:noFill/>
                    <a:ln w="9525">
                      <a:noFill/>
                    </a:ln>
                  </pic:spPr>
                </pic:pic>
              </a:graphicData>
            </a:graphic>
          </wp:inline>
        </w:drawing>
      </w:r>
    </w:p>
    <w:p>
      <w:pPr>
        <w:pStyle w:val="2"/>
        <w:jc w:val="center"/>
        <w:rPr>
          <w:rFonts w:hint="eastAsia" w:ascii="黑体" w:hAnsi="黑体" w:eastAsia="黑体"/>
          <w:sz w:val="36"/>
          <w:szCs w:val="36"/>
          <w:lang w:eastAsia="zh-CN"/>
        </w:rPr>
      </w:pPr>
    </w:p>
    <w:p>
      <w:pPr>
        <w:pStyle w:val="2"/>
        <w:jc w:val="center"/>
        <w:rPr>
          <w:rFonts w:hint="eastAsia" w:ascii="黑体" w:hAnsi="黑体" w:eastAsia="黑体"/>
          <w:sz w:val="36"/>
          <w:szCs w:val="36"/>
          <w:lang w:eastAsia="zh-CN"/>
        </w:rPr>
      </w:pPr>
    </w:p>
    <w:p>
      <w:pPr>
        <w:pStyle w:val="2"/>
        <w:jc w:val="center"/>
        <w:rPr>
          <w:rFonts w:ascii="黑体" w:hAnsi="黑体" w:eastAsia="黑体"/>
          <w:sz w:val="36"/>
          <w:szCs w:val="36"/>
          <w:lang w:eastAsia="zh-CN"/>
        </w:rPr>
      </w:pPr>
      <w:r>
        <w:rPr>
          <w:rFonts w:hint="eastAsia" w:ascii="黑体" w:hAnsi="黑体" w:eastAsia="黑体"/>
          <w:sz w:val="36"/>
          <w:szCs w:val="36"/>
          <w:lang w:eastAsia="zh-CN"/>
        </w:rPr>
        <w:t>第三部分 20</w:t>
      </w:r>
      <w:r>
        <w:rPr>
          <w:rFonts w:hint="eastAsia" w:ascii="黑体" w:hAnsi="黑体" w:eastAsia="黑体"/>
          <w:sz w:val="36"/>
          <w:szCs w:val="36"/>
          <w:lang w:val="en-US" w:eastAsia="zh-CN"/>
        </w:rPr>
        <w:t>22</w:t>
      </w:r>
      <w:r>
        <w:rPr>
          <w:rFonts w:hint="eastAsia" w:ascii="黑体" w:hAnsi="黑体" w:eastAsia="黑体"/>
          <w:sz w:val="36"/>
          <w:szCs w:val="36"/>
          <w:lang w:eastAsia="zh-CN"/>
        </w:rPr>
        <w:t>年度部门预算情况说明</w:t>
      </w: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一、预算收支总体情况</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按照综合预算的原则，部门所有收入和支出均纳入部门预算管理。</w:t>
      </w:r>
      <w:r>
        <w:rPr>
          <w:rFonts w:hint="eastAsia" w:ascii="仿宋" w:hAnsi="仿宋" w:eastAsia="仿宋"/>
          <w:sz w:val="32"/>
          <w:szCs w:val="32"/>
          <w:lang w:val="en-US" w:eastAsia="zh-CN"/>
        </w:rPr>
        <w:t>2022</w:t>
      </w:r>
      <w:r>
        <w:rPr>
          <w:rFonts w:hint="eastAsia" w:ascii="仿宋" w:hAnsi="仿宋" w:eastAsia="仿宋"/>
          <w:sz w:val="32"/>
          <w:szCs w:val="32"/>
        </w:rPr>
        <w:t>年,</w:t>
      </w:r>
      <w:r>
        <w:rPr>
          <w:rFonts w:hint="eastAsia" w:ascii="仿宋" w:hAnsi="仿宋" w:eastAsia="仿宋" w:cs="仿宋_GB2312"/>
          <w:sz w:val="32"/>
          <w:szCs w:val="32"/>
          <w:lang w:val="en-US" w:eastAsia="zh-CN"/>
        </w:rPr>
        <w:t>上杭县南阳镇人民政府</w:t>
      </w:r>
      <w:r>
        <w:rPr>
          <w:rFonts w:hint="eastAsia" w:ascii="仿宋" w:hAnsi="仿宋" w:eastAsia="仿宋"/>
          <w:sz w:val="32"/>
          <w:szCs w:val="32"/>
        </w:rPr>
        <w:t>收入预算为</w:t>
      </w:r>
      <w:r>
        <w:rPr>
          <w:rFonts w:hint="eastAsia" w:ascii="仿宋" w:hAnsi="仿宋" w:eastAsia="仿宋" w:cs="仿宋_GB2312"/>
          <w:sz w:val="32"/>
          <w:szCs w:val="32"/>
          <w:lang w:val="en-US" w:eastAsia="zh-CN"/>
        </w:rPr>
        <w:t>1079.34</w:t>
      </w:r>
      <w:r>
        <w:rPr>
          <w:rFonts w:hint="eastAsia" w:ascii="仿宋" w:hAnsi="仿宋" w:eastAsia="仿宋"/>
          <w:sz w:val="32"/>
          <w:szCs w:val="32"/>
        </w:rPr>
        <w:t>万元，比上年增加</w:t>
      </w:r>
      <w:r>
        <w:rPr>
          <w:rFonts w:hint="eastAsia" w:ascii="仿宋" w:hAnsi="仿宋" w:eastAsia="仿宋" w:cs="仿宋_GB2312"/>
          <w:sz w:val="32"/>
          <w:szCs w:val="32"/>
          <w:lang w:val="en-US" w:eastAsia="zh-CN"/>
        </w:rPr>
        <w:t>98.45</w:t>
      </w:r>
      <w:r>
        <w:rPr>
          <w:rFonts w:hint="eastAsia" w:ascii="仿宋" w:hAnsi="仿宋" w:eastAsia="仿宋"/>
          <w:sz w:val="32"/>
          <w:szCs w:val="32"/>
        </w:rPr>
        <w:t>万元，主要原因是</w:t>
      </w:r>
      <w:r>
        <w:rPr>
          <w:rFonts w:hint="eastAsia" w:ascii="仿宋" w:hAnsi="仿宋" w:eastAsia="仿宋"/>
          <w:sz w:val="32"/>
          <w:szCs w:val="32"/>
          <w:lang w:val="en-US" w:eastAsia="zh-CN"/>
        </w:rPr>
        <w:t>积极向上争取资金</w:t>
      </w:r>
      <w:r>
        <w:rPr>
          <w:rFonts w:hint="eastAsia" w:ascii="仿宋" w:hAnsi="仿宋" w:eastAsia="仿宋"/>
          <w:sz w:val="32"/>
          <w:szCs w:val="32"/>
        </w:rPr>
        <w:t>。其中：一般公共预算拨款</w:t>
      </w:r>
      <w:r>
        <w:rPr>
          <w:rFonts w:hint="eastAsia" w:ascii="仿宋" w:hAnsi="仿宋" w:eastAsia="仿宋" w:cs="仿宋_GB2312"/>
          <w:sz w:val="32"/>
          <w:szCs w:val="32"/>
          <w:lang w:val="en-US" w:eastAsia="zh-CN"/>
        </w:rPr>
        <w:t>1079.34</w:t>
      </w:r>
      <w:r>
        <w:rPr>
          <w:rFonts w:hint="eastAsia" w:ascii="仿宋" w:hAnsi="仿宋" w:eastAsia="仿宋"/>
          <w:sz w:val="32"/>
          <w:szCs w:val="32"/>
        </w:rPr>
        <w:t>万元，基金预算财政拨款</w:t>
      </w:r>
      <w:r>
        <w:rPr>
          <w:rFonts w:hint="eastAsia" w:ascii="仿宋" w:hAnsi="仿宋" w:eastAsia="仿宋" w:cs="仿宋_GB2312"/>
          <w:sz w:val="32"/>
          <w:szCs w:val="32"/>
          <w:lang w:val="en-US" w:eastAsia="zh-CN"/>
        </w:rPr>
        <w:t>0</w:t>
      </w:r>
      <w:r>
        <w:rPr>
          <w:rFonts w:hint="eastAsia" w:ascii="仿宋" w:hAnsi="仿宋" w:eastAsia="仿宋"/>
          <w:sz w:val="32"/>
          <w:szCs w:val="32"/>
        </w:rPr>
        <w:t>万元,财政专户拨款</w:t>
      </w:r>
      <w:r>
        <w:rPr>
          <w:rFonts w:hint="eastAsia" w:ascii="仿宋" w:hAnsi="仿宋" w:eastAsia="仿宋" w:cs="仿宋_GB2312"/>
          <w:sz w:val="32"/>
          <w:szCs w:val="32"/>
          <w:lang w:val="en-US" w:eastAsia="zh-CN"/>
        </w:rPr>
        <w:t>0</w:t>
      </w:r>
      <w:r>
        <w:rPr>
          <w:rFonts w:hint="eastAsia" w:ascii="仿宋" w:hAnsi="仿宋" w:eastAsia="仿宋"/>
          <w:sz w:val="32"/>
          <w:szCs w:val="32"/>
        </w:rPr>
        <w:t>万元,其他收入</w:t>
      </w:r>
      <w:r>
        <w:rPr>
          <w:rFonts w:hint="eastAsia" w:ascii="仿宋" w:hAnsi="仿宋" w:eastAsia="仿宋" w:cs="仿宋_GB2312"/>
          <w:sz w:val="32"/>
          <w:szCs w:val="32"/>
          <w:lang w:val="en-US" w:eastAsia="zh-CN"/>
        </w:rPr>
        <w:t>0</w:t>
      </w:r>
      <w:r>
        <w:rPr>
          <w:rFonts w:hint="eastAsia" w:ascii="仿宋" w:hAnsi="仿宋" w:eastAsia="仿宋"/>
          <w:sz w:val="32"/>
          <w:szCs w:val="32"/>
        </w:rPr>
        <w:t>万元,单位结余结转资金</w:t>
      </w:r>
      <w:r>
        <w:rPr>
          <w:rFonts w:hint="eastAsia" w:ascii="仿宋" w:hAnsi="仿宋" w:eastAsia="仿宋" w:cs="仿宋_GB2312"/>
          <w:sz w:val="32"/>
          <w:szCs w:val="32"/>
          <w:lang w:val="en-US" w:eastAsia="zh-CN"/>
        </w:rPr>
        <w:t>19.33</w:t>
      </w:r>
      <w:r>
        <w:rPr>
          <w:rFonts w:hint="eastAsia" w:ascii="仿宋" w:hAnsi="仿宋" w:eastAsia="仿宋"/>
          <w:sz w:val="32"/>
          <w:szCs w:val="32"/>
        </w:rPr>
        <w:t>万元。相应安排支出预算</w:t>
      </w:r>
      <w:r>
        <w:rPr>
          <w:rFonts w:hint="eastAsia" w:ascii="仿宋" w:hAnsi="仿宋" w:eastAsia="仿宋" w:cs="仿宋_GB2312"/>
          <w:sz w:val="32"/>
          <w:szCs w:val="32"/>
          <w:lang w:val="en-US" w:eastAsia="zh-CN"/>
        </w:rPr>
        <w:t>1060.01</w:t>
      </w:r>
      <w:r>
        <w:rPr>
          <w:rFonts w:hint="eastAsia" w:ascii="仿宋" w:hAnsi="仿宋" w:eastAsia="仿宋"/>
          <w:sz w:val="32"/>
          <w:szCs w:val="32"/>
        </w:rPr>
        <w:t>万元，比上年增加</w:t>
      </w:r>
      <w:r>
        <w:rPr>
          <w:rFonts w:hint="eastAsia" w:ascii="仿宋" w:hAnsi="仿宋" w:eastAsia="仿宋" w:cs="仿宋_GB2312"/>
          <w:sz w:val="32"/>
          <w:szCs w:val="32"/>
          <w:lang w:val="en-US" w:eastAsia="zh-CN"/>
        </w:rPr>
        <w:t>83.03</w:t>
      </w:r>
      <w:r>
        <w:rPr>
          <w:rFonts w:hint="eastAsia" w:ascii="仿宋" w:hAnsi="仿宋" w:eastAsia="仿宋"/>
          <w:sz w:val="32"/>
          <w:szCs w:val="32"/>
        </w:rPr>
        <w:t>万元，其中：人员支出</w:t>
      </w:r>
      <w:r>
        <w:rPr>
          <w:rFonts w:hint="eastAsia" w:ascii="仿宋" w:hAnsi="仿宋" w:eastAsia="仿宋" w:cs="仿宋_GB2312"/>
          <w:sz w:val="32"/>
          <w:szCs w:val="32"/>
          <w:lang w:val="en-US" w:eastAsia="zh-CN"/>
        </w:rPr>
        <w:t>572.11</w:t>
      </w:r>
      <w:r>
        <w:rPr>
          <w:rFonts w:hint="eastAsia" w:ascii="仿宋" w:hAnsi="仿宋" w:eastAsia="仿宋"/>
          <w:sz w:val="32"/>
          <w:szCs w:val="32"/>
        </w:rPr>
        <w:t>万元，对个人和家庭补助支出</w:t>
      </w:r>
      <w:r>
        <w:rPr>
          <w:rFonts w:hint="eastAsia" w:ascii="仿宋" w:hAnsi="仿宋" w:eastAsia="仿宋" w:cs="仿宋_GB2312"/>
          <w:sz w:val="32"/>
          <w:szCs w:val="32"/>
          <w:lang w:val="en-US" w:eastAsia="zh-CN"/>
        </w:rPr>
        <w:t>392.53</w:t>
      </w:r>
      <w:r>
        <w:rPr>
          <w:rFonts w:hint="eastAsia" w:ascii="仿宋" w:hAnsi="仿宋" w:eastAsia="仿宋"/>
          <w:sz w:val="32"/>
          <w:szCs w:val="32"/>
        </w:rPr>
        <w:t>万元，公用支出</w:t>
      </w:r>
      <w:r>
        <w:rPr>
          <w:rFonts w:hint="eastAsia" w:ascii="仿宋" w:hAnsi="仿宋" w:eastAsia="仿宋" w:cs="仿宋_GB2312"/>
          <w:sz w:val="32"/>
          <w:szCs w:val="32"/>
          <w:lang w:val="en-US" w:eastAsia="zh-CN"/>
        </w:rPr>
        <w:t>95.37</w:t>
      </w:r>
      <w:r>
        <w:rPr>
          <w:rFonts w:hint="eastAsia" w:ascii="仿宋" w:hAnsi="仿宋" w:eastAsia="仿宋"/>
          <w:sz w:val="32"/>
          <w:szCs w:val="32"/>
        </w:rPr>
        <w:t>万元，项目支出</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二、一般公共预算拨款支出情况</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宋体"/>
          <w:bCs/>
          <w:sz w:val="32"/>
          <w:szCs w:val="32"/>
          <w:lang w:val="en-US" w:eastAsia="zh-CN"/>
        </w:rPr>
        <w:t>2022</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1079.34</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cs="仿宋_GB2312"/>
          <w:sz w:val="32"/>
          <w:szCs w:val="32"/>
          <w:lang w:val="en-US" w:eastAsia="zh-CN"/>
        </w:rPr>
        <w:t>98.45</w:t>
      </w:r>
      <w:r>
        <w:rPr>
          <w:rFonts w:hint="eastAsia" w:ascii="仿宋" w:hAnsi="仿宋" w:eastAsia="仿宋"/>
          <w:sz w:val="32"/>
          <w:szCs w:val="32"/>
        </w:rPr>
        <w:t>万元，主要原因是对个人和家庭补助支出</w:t>
      </w:r>
      <w:r>
        <w:rPr>
          <w:rFonts w:hint="eastAsia" w:ascii="仿宋" w:hAnsi="仿宋" w:eastAsia="仿宋" w:cs="仿宋_GB2312"/>
          <w:sz w:val="32"/>
          <w:szCs w:val="32"/>
          <w:lang w:val="en-US" w:eastAsia="zh-CN"/>
        </w:rPr>
        <w:t>增加</w:t>
      </w:r>
      <w:r>
        <w:rPr>
          <w:rFonts w:hint="eastAsia" w:ascii="仿宋" w:hAnsi="仿宋" w:eastAsia="仿宋" w:cs="仿宋_GB2312"/>
          <w:sz w:val="32"/>
          <w:szCs w:val="32"/>
        </w:rPr>
        <w:t>，主要支出项目(按项级科目分类统计)包括：</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val="en-US" w:eastAsia="zh-CN"/>
        </w:rPr>
        <w:t>人员经费572.11</w:t>
      </w:r>
      <w:r>
        <w:rPr>
          <w:rFonts w:hint="eastAsia" w:ascii="仿宋" w:hAnsi="仿宋" w:eastAsia="仿宋" w:cs="仿宋_GB2312"/>
          <w:sz w:val="32"/>
          <w:szCs w:val="32"/>
        </w:rPr>
        <w:t>万元</w:t>
      </w:r>
      <w:r>
        <w:rPr>
          <w:rFonts w:hint="eastAsia" w:ascii="仿宋" w:hAnsi="仿宋" w:eastAsia="仿宋" w:cs="仿宋_GB2312"/>
          <w:sz w:val="32"/>
          <w:szCs w:val="32"/>
          <w:lang w:eastAsia="zh-CN"/>
        </w:rPr>
        <w:t>，</w:t>
      </w:r>
      <w:r>
        <w:rPr>
          <w:rFonts w:hint="eastAsia" w:ascii="仿宋" w:hAnsi="仿宋" w:eastAsia="仿宋" w:cs="仿宋_GB2312"/>
          <w:sz w:val="32"/>
          <w:szCs w:val="32"/>
        </w:rPr>
        <w:t>主要</w:t>
      </w:r>
      <w:r>
        <w:rPr>
          <w:rFonts w:hint="eastAsia" w:ascii="仿宋" w:hAnsi="仿宋" w:eastAsia="仿宋" w:cs="仿宋_GB2312"/>
          <w:sz w:val="32"/>
          <w:szCs w:val="32"/>
          <w:lang w:val="en-US" w:eastAsia="zh-CN"/>
        </w:rPr>
        <w:t>包括：</w:t>
      </w:r>
      <w:r>
        <w:rPr>
          <w:rFonts w:hint="eastAsia" w:ascii="仿宋" w:hAnsi="仿宋" w:eastAsia="仿宋" w:cs="仿宋_GB2312"/>
          <w:sz w:val="32"/>
          <w:szCs w:val="32"/>
        </w:rPr>
        <w:t>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95.37</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（三） 对个人和家庭补助支出</w:t>
      </w:r>
      <w:r>
        <w:rPr>
          <w:rFonts w:hint="eastAsia" w:ascii="仿宋" w:hAnsi="仿宋" w:eastAsia="仿宋" w:cs="仿宋_GB2312"/>
          <w:sz w:val="32"/>
          <w:szCs w:val="32"/>
          <w:lang w:val="en-US" w:eastAsia="zh-CN"/>
        </w:rPr>
        <w:t>392.53</w:t>
      </w:r>
      <w:r>
        <w:rPr>
          <w:rFonts w:hint="eastAsia" w:ascii="仿宋" w:hAnsi="仿宋" w:eastAsia="仿宋" w:cs="仿宋_GB2312"/>
          <w:sz w:val="32"/>
          <w:szCs w:val="32"/>
        </w:rPr>
        <w:t>万元。主要用于</w:t>
      </w:r>
      <w:r>
        <w:rPr>
          <w:rFonts w:hint="eastAsia" w:ascii="仿宋" w:hAnsi="仿宋" w:eastAsia="仿宋" w:cs="仿宋_GB2312"/>
          <w:sz w:val="32"/>
          <w:szCs w:val="32"/>
          <w:lang w:val="en-US" w:eastAsia="zh-CN"/>
        </w:rPr>
        <w:t>机关事业单位基本养老保险缴费、职业年金缴费、退休费、抚恤金、生活补助、医疗费、其他社会保障缴费、离休费、其他对个人和家庭的补助支出</w:t>
      </w:r>
      <w:r>
        <w:rPr>
          <w:rFonts w:hint="eastAsia" w:ascii="仿宋" w:hAnsi="仿宋" w:eastAsia="仿宋" w:cs="仿宋_GB2312"/>
          <w:sz w:val="32"/>
          <w:szCs w:val="32"/>
        </w:rPr>
        <w:t>。</w:t>
      </w:r>
    </w:p>
    <w:p>
      <w:pPr>
        <w:tabs>
          <w:tab w:val="left" w:pos="7513"/>
        </w:tabs>
        <w:adjustRightInd w:val="0"/>
        <w:snapToGrid w:val="0"/>
        <w:spacing w:line="600" w:lineRule="exact"/>
        <w:ind w:firstLine="640" w:firstLineChars="200"/>
        <w:rPr>
          <w:rFonts w:hint="eastAsia" w:ascii="仿宋" w:hAnsi="仿宋" w:eastAsia="仿宋" w:cs="仿宋_GB2312"/>
          <w:sz w:val="32"/>
          <w:szCs w:val="32"/>
        </w:rPr>
      </w:pP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三、政府性基金预算拨款支出情况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w:t>
      </w:r>
      <w:r>
        <w:rPr>
          <w:rFonts w:hint="eastAsia" w:ascii="仿宋" w:hAnsi="仿宋" w:eastAsia="仿宋" w:cs="仿宋_GB2312"/>
          <w:sz w:val="32"/>
          <w:szCs w:val="32"/>
          <w:lang w:val="en-US" w:eastAsia="zh-CN"/>
        </w:rPr>
        <w:t>2022</w:t>
      </w:r>
      <w:r>
        <w:rPr>
          <w:rFonts w:hint="eastAsia" w:ascii="仿宋" w:hAnsi="仿宋" w:eastAsia="仿宋" w:cs="仿宋_GB2312"/>
          <w:sz w:val="32"/>
          <w:szCs w:val="32"/>
        </w:rPr>
        <w:t>年度没有使用政府性基金预算拨款安排的支出。</w:t>
      </w: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四、财政拨款预算基本支出情况</w:t>
      </w:r>
    </w:p>
    <w:p>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2022</w:t>
      </w:r>
      <w:r>
        <w:rPr>
          <w:rFonts w:hint="eastAsia" w:ascii="仿宋" w:hAnsi="仿宋" w:eastAsia="仿宋" w:cs="仿宋_GB2312"/>
          <w:sz w:val="32"/>
          <w:szCs w:val="32"/>
        </w:rPr>
        <w:t>年度财政拨款基本支出</w:t>
      </w:r>
      <w:r>
        <w:rPr>
          <w:rFonts w:hint="eastAsia" w:ascii="仿宋" w:hAnsi="仿宋" w:eastAsia="仿宋" w:cs="仿宋_GB2312"/>
          <w:sz w:val="32"/>
          <w:szCs w:val="32"/>
          <w:lang w:val="en-US" w:eastAsia="zh-CN"/>
        </w:rPr>
        <w:t>976.98</w:t>
      </w:r>
      <w:r>
        <w:rPr>
          <w:rFonts w:hint="eastAsia" w:ascii="仿宋" w:hAnsi="仿宋" w:eastAsia="仿宋" w:cs="仿宋_GB2312"/>
          <w:sz w:val="32"/>
          <w:szCs w:val="32"/>
        </w:rPr>
        <w:t>万元，其中：</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572.11</w:t>
      </w:r>
      <w:r>
        <w:rPr>
          <w:rFonts w:hint="eastAsia" w:ascii="仿宋" w:hAnsi="仿宋" w:eastAsia="仿宋"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其他对个人和家庭的补助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95.37</w:t>
      </w:r>
      <w:r>
        <w:rPr>
          <w:rFonts w:hint="eastAsia" w:ascii="仿宋" w:hAnsi="仿宋" w:eastAsia="仿宋" w:cs="仿宋_GB2312"/>
          <w:sz w:val="32"/>
          <w:szCs w:val="32"/>
        </w:rPr>
        <w:t>万元，主要包括：办公费、印刷费、咨询费、手续费、水费、电费、邮电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五、一般公共预算“三公”经费支出情况</w:t>
      </w:r>
    </w:p>
    <w:p>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pPr>
        <w:widowControl/>
        <w:adjustRightInd w:val="0"/>
        <w:snapToGrid w:val="0"/>
        <w:spacing w:line="600" w:lineRule="exact"/>
        <w:ind w:firstLine="660"/>
        <w:rPr>
          <w:rFonts w:ascii="楷体" w:hAnsi="楷体" w:eastAsia="楷体" w:cs="仿宋_GB2312"/>
          <w:sz w:val="32"/>
          <w:szCs w:val="32"/>
        </w:rPr>
      </w:pPr>
      <w:r>
        <w:rPr>
          <w:rFonts w:hint="eastAsia" w:ascii="仿宋" w:hAnsi="仿宋" w:eastAsia="仿宋" w:cs="仿宋_GB2312"/>
          <w:kern w:val="0"/>
          <w:sz w:val="32"/>
          <w:szCs w:val="32"/>
          <w:lang w:val="en-US" w:eastAsia="zh-CN"/>
        </w:rPr>
        <w:t>2022</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p>
    <w:p>
      <w:pPr>
        <w:widowControl/>
        <w:numPr>
          <w:ilvl w:val="0"/>
          <w:numId w:val="2"/>
        </w:numPr>
        <w:adjustRightInd w:val="0"/>
        <w:snapToGrid w:val="0"/>
        <w:spacing w:line="600" w:lineRule="exact"/>
        <w:ind w:firstLine="660"/>
        <w:rPr>
          <w:rFonts w:ascii="仿宋" w:hAnsi="仿宋" w:eastAsia="仿宋" w:cs="仿宋_GB2312"/>
          <w:sz w:val="32"/>
          <w:szCs w:val="32"/>
        </w:rPr>
      </w:pPr>
      <w:r>
        <w:rPr>
          <w:rFonts w:hint="eastAsia" w:ascii="楷体" w:hAnsi="楷体" w:eastAsia="楷体" w:cs="宋体"/>
          <w:b/>
          <w:bCs/>
          <w:kern w:val="0"/>
          <w:sz w:val="32"/>
          <w:szCs w:val="32"/>
        </w:rPr>
        <w:t>公务接待费</w:t>
      </w:r>
    </w:p>
    <w:p>
      <w:pPr>
        <w:widowControl/>
        <w:numPr>
          <w:ilvl w:val="0"/>
          <w:numId w:val="0"/>
        </w:num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lang w:val="en-US" w:eastAsia="zh-CN"/>
        </w:rPr>
        <w:t>2022</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30</w:t>
      </w:r>
      <w:r>
        <w:rPr>
          <w:rFonts w:hint="eastAsia" w:ascii="仿宋" w:hAnsi="仿宋" w:eastAsia="仿宋" w:cs="宋体"/>
          <w:kern w:val="0"/>
          <w:sz w:val="32"/>
          <w:szCs w:val="32"/>
        </w:rPr>
        <w:t>万元。主要用于</w:t>
      </w:r>
      <w:r>
        <w:rPr>
          <w:rFonts w:hint="eastAsia" w:ascii="仿宋" w:hAnsi="仿宋" w:eastAsia="仿宋" w:cs="仿宋_GB2312"/>
          <w:kern w:val="0"/>
          <w:sz w:val="32"/>
          <w:szCs w:val="32"/>
          <w:lang w:val="en-US" w:eastAsia="zh-CN"/>
        </w:rPr>
        <w:t>各单位往来</w:t>
      </w:r>
      <w:r>
        <w:rPr>
          <w:rFonts w:hint="eastAsia" w:ascii="仿宋" w:hAnsi="仿宋" w:eastAsia="仿宋" w:cs="宋体"/>
          <w:kern w:val="0"/>
          <w:sz w:val="32"/>
          <w:szCs w:val="32"/>
        </w:rPr>
        <w:t>等方面的接待活动。</w:t>
      </w:r>
      <w:r>
        <w:rPr>
          <w:rFonts w:hint="eastAsia" w:ascii="仿宋" w:hAnsi="仿宋" w:eastAsia="仿宋" w:cs="仿宋_GB2312"/>
          <w:sz w:val="32"/>
          <w:szCs w:val="32"/>
        </w:rPr>
        <w:t>与</w:t>
      </w:r>
      <w:r>
        <w:rPr>
          <w:rFonts w:hint="eastAsia" w:ascii="仿宋" w:hAnsi="仿宋" w:eastAsia="仿宋" w:cs="宋体"/>
          <w:bCs/>
          <w:sz w:val="32"/>
          <w:szCs w:val="32"/>
        </w:rPr>
        <w:t>上</w:t>
      </w:r>
      <w:r>
        <w:rPr>
          <w:rFonts w:hint="eastAsia" w:ascii="仿宋" w:hAnsi="仿宋" w:eastAsia="仿宋" w:cs="仿宋_GB2312"/>
          <w:sz w:val="32"/>
          <w:szCs w:val="32"/>
        </w:rPr>
        <w:t>年相比支出下降</w:t>
      </w:r>
      <w:r>
        <w:rPr>
          <w:rFonts w:hint="eastAsia" w:ascii="仿宋" w:hAnsi="仿宋" w:eastAsia="仿宋" w:cs="仿宋_GB2312"/>
          <w:sz w:val="32"/>
          <w:szCs w:val="32"/>
          <w:lang w:val="en-US" w:eastAsia="zh-CN"/>
        </w:rPr>
        <w:t>16.67</w:t>
      </w:r>
      <w:r>
        <w:rPr>
          <w:rFonts w:ascii="仿宋" w:hAnsi="仿宋" w:eastAsia="仿宋" w:cs="仿宋_GB2312"/>
          <w:sz w:val="32"/>
          <w:szCs w:val="32"/>
        </w:rPr>
        <w:t>%</w:t>
      </w:r>
      <w:r>
        <w:rPr>
          <w:rFonts w:hint="eastAsia" w:ascii="仿宋" w:hAnsi="仿宋" w:eastAsia="仿宋" w:cs="仿宋_GB2312"/>
          <w:sz w:val="32"/>
          <w:szCs w:val="32"/>
        </w:rPr>
        <w:t>，主要原因是:</w:t>
      </w:r>
      <w:r>
        <w:rPr>
          <w:rFonts w:hint="eastAsia" w:ascii="仿宋" w:hAnsi="仿宋" w:eastAsia="仿宋" w:cs="仿宋_GB2312"/>
          <w:sz w:val="32"/>
          <w:szCs w:val="32"/>
          <w:lang w:val="en-US" w:eastAsia="zh-CN"/>
        </w:rPr>
        <w:t>进一步严控三公经费支出，厉行勤俭节约</w:t>
      </w:r>
      <w:r>
        <w:rPr>
          <w:rFonts w:hint="eastAsia" w:ascii="仿宋" w:hAnsi="仿宋" w:eastAsia="仿宋" w:cs="仿宋_GB2312"/>
          <w:sz w:val="32"/>
          <w:szCs w:val="32"/>
        </w:rPr>
        <w:t>。</w:t>
      </w:r>
    </w:p>
    <w:p>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lang w:val="en-US" w:eastAsia="zh-CN"/>
        </w:rPr>
        <w:t>2022</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12</w:t>
      </w:r>
      <w:r>
        <w:rPr>
          <w:rFonts w:hint="eastAsia" w:ascii="仿宋" w:hAnsi="仿宋" w:eastAsia="仿宋" w:cs="宋体"/>
          <w:kern w:val="0"/>
          <w:sz w:val="32"/>
          <w:szCs w:val="32"/>
        </w:rPr>
        <w:t>万元，其中：公车运行费</w:t>
      </w:r>
      <w:r>
        <w:rPr>
          <w:rFonts w:hint="eastAsia" w:ascii="仿宋" w:hAnsi="仿宋" w:eastAsia="仿宋" w:cs="仿宋_GB2312"/>
          <w:kern w:val="0"/>
          <w:sz w:val="32"/>
          <w:szCs w:val="32"/>
          <w:lang w:val="en-US" w:eastAsia="zh-CN"/>
        </w:rPr>
        <w:t>12</w:t>
      </w:r>
      <w:r>
        <w:rPr>
          <w:rFonts w:hint="eastAsia" w:ascii="仿宋" w:hAnsi="仿宋" w:eastAsia="仿宋" w:cs="宋体"/>
          <w:kern w:val="0"/>
          <w:sz w:val="32"/>
          <w:szCs w:val="32"/>
        </w:rPr>
        <w:t>万元。</w:t>
      </w:r>
      <w:r>
        <w:rPr>
          <w:rFonts w:hint="eastAsia" w:ascii="仿宋" w:hAnsi="仿宋" w:eastAsia="仿宋" w:cs="仿宋_GB2312"/>
          <w:sz w:val="32"/>
          <w:szCs w:val="32"/>
        </w:rPr>
        <w:t>与</w:t>
      </w:r>
      <w:r>
        <w:rPr>
          <w:rFonts w:hint="eastAsia" w:ascii="仿宋" w:hAnsi="仿宋" w:eastAsia="仿宋" w:cs="宋体"/>
          <w:bCs/>
          <w:sz w:val="32"/>
          <w:szCs w:val="32"/>
        </w:rPr>
        <w:t>上</w:t>
      </w:r>
      <w:r>
        <w:rPr>
          <w:rFonts w:hint="eastAsia" w:ascii="仿宋" w:hAnsi="仿宋" w:eastAsia="仿宋" w:cs="仿宋_GB2312"/>
          <w:sz w:val="32"/>
          <w:szCs w:val="32"/>
        </w:rPr>
        <w:t>年相比支出</w:t>
      </w:r>
      <w:r>
        <w:rPr>
          <w:rFonts w:hint="eastAsia" w:ascii="仿宋" w:hAnsi="仿宋" w:eastAsia="仿宋" w:cs="仿宋_GB2312"/>
          <w:sz w:val="32"/>
          <w:szCs w:val="32"/>
          <w:lang w:val="en-US" w:eastAsia="zh-CN"/>
        </w:rPr>
        <w:t>下降52</w:t>
      </w:r>
      <w:r>
        <w:rPr>
          <w:rFonts w:hint="eastAsia" w:ascii="仿宋" w:hAnsi="仿宋" w:eastAsia="仿宋" w:cs="仿宋_GB2312"/>
          <w:sz w:val="32"/>
          <w:szCs w:val="32"/>
        </w:rPr>
        <w:t>%，主要原因是:</w:t>
      </w:r>
      <w:r>
        <w:rPr>
          <w:rFonts w:hint="eastAsia" w:ascii="仿宋" w:hAnsi="仿宋" w:eastAsia="仿宋" w:cs="仿宋_GB2312"/>
          <w:sz w:val="32"/>
          <w:szCs w:val="32"/>
          <w:lang w:val="en-US" w:eastAsia="zh-CN"/>
        </w:rPr>
        <w:t>未购置新公务用车</w:t>
      </w:r>
      <w:r>
        <w:rPr>
          <w:rFonts w:hint="eastAsia" w:ascii="仿宋" w:hAnsi="仿宋" w:eastAsia="仿宋" w:cs="仿宋_GB2312"/>
          <w:sz w:val="32"/>
          <w:szCs w:val="32"/>
        </w:rPr>
        <w:t>。</w:t>
      </w:r>
    </w:p>
    <w:p>
      <w:pPr>
        <w:spacing w:line="600" w:lineRule="exact"/>
        <w:rPr>
          <w:rFonts w:ascii="仿宋" w:hAnsi="仿宋" w:eastAsia="仿宋"/>
          <w:b/>
          <w:sz w:val="32"/>
          <w:szCs w:val="32"/>
        </w:rPr>
      </w:pPr>
      <w:r>
        <w:rPr>
          <w:rFonts w:hint="eastAsia" w:ascii="仿宋" w:hAnsi="仿宋" w:eastAsia="仿宋"/>
          <w:b/>
          <w:sz w:val="32"/>
          <w:szCs w:val="32"/>
          <w:lang w:val="en-US" w:eastAsia="zh-CN"/>
        </w:rPr>
        <w:t>六</w:t>
      </w:r>
      <w:r>
        <w:rPr>
          <w:rFonts w:hint="eastAsia" w:ascii="仿宋" w:hAnsi="仿宋" w:eastAsia="仿宋"/>
          <w:b/>
          <w:sz w:val="32"/>
          <w:szCs w:val="32"/>
        </w:rPr>
        <w:t>、其他重要事项说明</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pPr>
        <w:spacing w:line="600" w:lineRule="exact"/>
        <w:ind w:firstLine="640" w:firstLineChars="200"/>
        <w:rPr>
          <w:rFonts w:ascii="黑体" w:hAnsi="黑体" w:eastAsia="黑体"/>
          <w:color w:val="FF0000"/>
          <w:sz w:val="32"/>
          <w:szCs w:val="32"/>
        </w:rPr>
      </w:pPr>
      <w:r>
        <w:rPr>
          <w:rFonts w:hint="eastAsia" w:ascii="仿宋" w:hAnsi="仿宋" w:eastAsia="仿宋" w:cs="仿宋_GB2312"/>
          <w:kern w:val="0"/>
          <w:sz w:val="32"/>
          <w:szCs w:val="32"/>
          <w:lang w:val="en-US" w:eastAsia="zh-CN"/>
        </w:rPr>
        <w:t>2022</w:t>
      </w:r>
      <w:r>
        <w:rPr>
          <w:rFonts w:hint="eastAsia" w:ascii="仿宋" w:hAnsi="仿宋" w:eastAsia="仿宋"/>
          <w:sz w:val="32"/>
          <w:szCs w:val="32"/>
        </w:rPr>
        <w:t>年</w:t>
      </w:r>
      <w:r>
        <w:rPr>
          <w:rFonts w:hint="eastAsia" w:ascii="仿宋" w:hAnsi="仿宋" w:eastAsia="仿宋" w:cs="仿宋_GB2312"/>
          <w:kern w:val="0"/>
          <w:sz w:val="32"/>
          <w:szCs w:val="32"/>
          <w:lang w:val="en-US" w:eastAsia="zh-CN"/>
        </w:rPr>
        <w:t>上杭县南阳镇人民政府</w:t>
      </w:r>
      <w:r>
        <w:rPr>
          <w:rFonts w:hint="eastAsia" w:ascii="仿宋" w:hAnsi="仿宋" w:eastAsia="仿宋"/>
          <w:sz w:val="32"/>
          <w:szCs w:val="32"/>
        </w:rPr>
        <w:t>（含实行公务员管理的事业单位）一般公共预算拨款安排的机关运行</w:t>
      </w:r>
      <w:r>
        <w:rPr>
          <w:rFonts w:hint="eastAsia" w:ascii="仿宋" w:hAnsi="仿宋" w:eastAsia="仿宋"/>
          <w:sz w:val="32"/>
          <w:szCs w:val="32"/>
          <w:lang w:val="en-US" w:eastAsia="zh-CN"/>
        </w:rPr>
        <w:t>办公</w:t>
      </w:r>
      <w:r>
        <w:rPr>
          <w:rFonts w:hint="eastAsia" w:ascii="仿宋" w:hAnsi="仿宋" w:eastAsia="仿宋"/>
          <w:sz w:val="32"/>
          <w:szCs w:val="32"/>
        </w:rPr>
        <w:t>经费支出</w:t>
      </w:r>
      <w:r>
        <w:rPr>
          <w:rFonts w:hint="eastAsia" w:ascii="仿宋" w:hAnsi="仿宋" w:eastAsia="仿宋" w:cs="仿宋_GB2312"/>
          <w:kern w:val="0"/>
          <w:sz w:val="32"/>
          <w:szCs w:val="32"/>
          <w:lang w:val="en-US" w:eastAsia="zh-CN"/>
        </w:rPr>
        <w:t>18.6</w:t>
      </w:r>
      <w:r>
        <w:rPr>
          <w:rFonts w:hint="eastAsia" w:ascii="仿宋" w:hAnsi="仿宋" w:eastAsia="仿宋"/>
          <w:sz w:val="32"/>
          <w:szCs w:val="32"/>
        </w:rPr>
        <w:t>万元，</w:t>
      </w:r>
      <w:r>
        <w:rPr>
          <w:rFonts w:hint="eastAsia" w:ascii="仿宋" w:hAnsi="仿宋" w:eastAsia="仿宋"/>
          <w:sz w:val="32"/>
          <w:szCs w:val="32"/>
          <w:lang w:val="en-US" w:eastAsia="zh-CN"/>
        </w:rPr>
        <w:t>与上年基本持平</w:t>
      </w:r>
      <w:r>
        <w:rPr>
          <w:rFonts w:hint="eastAsia" w:ascii="仿宋" w:hAnsi="仿宋" w:eastAsia="仿宋" w:cs="仿宋_GB2312"/>
          <w:sz w:val="32"/>
          <w:szCs w:val="32"/>
        </w:rPr>
        <w:t>。</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2022</w:t>
      </w:r>
      <w:r>
        <w:rPr>
          <w:rFonts w:hint="eastAsia" w:ascii="仿宋" w:hAnsi="仿宋" w:eastAsia="仿宋"/>
          <w:sz w:val="32"/>
          <w:szCs w:val="32"/>
        </w:rPr>
        <w:t>年</w:t>
      </w:r>
      <w:r>
        <w:rPr>
          <w:rFonts w:hint="eastAsia" w:ascii="仿宋" w:hAnsi="仿宋" w:eastAsia="仿宋" w:cs="仿宋_GB2312"/>
          <w:kern w:val="0"/>
          <w:sz w:val="32"/>
          <w:szCs w:val="32"/>
          <w:lang w:val="en-US" w:eastAsia="zh-CN"/>
        </w:rPr>
        <w:t>上杭县南阳镇人民政府</w:t>
      </w:r>
      <w:r>
        <w:rPr>
          <w:rFonts w:hint="eastAsia" w:ascii="仿宋" w:hAnsi="仿宋" w:eastAsia="仿宋"/>
          <w:sz w:val="32"/>
          <w:szCs w:val="32"/>
        </w:rPr>
        <w:t>采购预算总额</w:t>
      </w:r>
      <w:r>
        <w:rPr>
          <w:rFonts w:hint="eastAsia" w:ascii="仿宋" w:hAnsi="仿宋" w:eastAsia="仿宋" w:cs="仿宋_GB2312"/>
          <w:kern w:val="0"/>
          <w:sz w:val="32"/>
          <w:szCs w:val="32"/>
          <w:lang w:val="en-US" w:eastAsia="zh-CN"/>
        </w:rPr>
        <w:t>268.46</w:t>
      </w:r>
      <w:r>
        <w:rPr>
          <w:rFonts w:hint="eastAsia" w:ascii="仿宋" w:hAnsi="仿宋" w:eastAsia="仿宋" w:cs="仿宋_GB2312"/>
          <w:kern w:val="0"/>
          <w:sz w:val="32"/>
          <w:szCs w:val="32"/>
        </w:rPr>
        <w:t>万元，其中：政府购买服务项目</w:t>
      </w:r>
      <w:r>
        <w:rPr>
          <w:rFonts w:hint="eastAsia" w:ascii="仿宋" w:hAnsi="仿宋" w:eastAsia="仿宋"/>
          <w:sz w:val="32"/>
          <w:szCs w:val="32"/>
        </w:rPr>
        <w:t>采购预算额</w:t>
      </w:r>
      <w:r>
        <w:rPr>
          <w:rFonts w:hint="eastAsia" w:ascii="仿宋" w:hAnsi="仿宋" w:eastAsia="仿宋" w:cs="仿宋_GB2312"/>
          <w:kern w:val="0"/>
          <w:sz w:val="32"/>
          <w:szCs w:val="32"/>
          <w:lang w:val="en-US" w:eastAsia="zh-CN"/>
        </w:rPr>
        <w:t>200</w:t>
      </w:r>
      <w:r>
        <w:rPr>
          <w:rFonts w:hint="eastAsia" w:ascii="仿宋" w:hAnsi="仿宋" w:eastAsia="仿宋" w:cs="仿宋_GB2312"/>
          <w:kern w:val="0"/>
          <w:sz w:val="32"/>
          <w:szCs w:val="32"/>
        </w:rPr>
        <w:t>万元。</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2021</w:t>
      </w:r>
      <w:r>
        <w:rPr>
          <w:rFonts w:hint="eastAsia" w:ascii="仿宋" w:hAnsi="仿宋" w:eastAsia="仿宋" w:cs="仿宋_GB2312"/>
          <w:kern w:val="0"/>
          <w:sz w:val="32"/>
          <w:szCs w:val="32"/>
        </w:rPr>
        <w:t>年底，</w:t>
      </w:r>
      <w:r>
        <w:rPr>
          <w:rFonts w:hint="eastAsia" w:ascii="仿宋" w:hAnsi="仿宋" w:eastAsia="仿宋" w:cs="仿宋_GB2312"/>
          <w:kern w:val="0"/>
          <w:sz w:val="32"/>
          <w:szCs w:val="32"/>
          <w:lang w:val="en-US" w:eastAsia="zh-CN"/>
        </w:rPr>
        <w:t>上杭县南阳镇人民政府</w:t>
      </w:r>
      <w:r>
        <w:rPr>
          <w:rFonts w:hint="eastAsia" w:ascii="仿宋" w:hAnsi="仿宋" w:eastAsia="仿宋"/>
          <w:sz w:val="32"/>
          <w:szCs w:val="32"/>
        </w:rPr>
        <w:t>本级及所属的预算单位共有车辆</w:t>
      </w:r>
      <w:r>
        <w:rPr>
          <w:rFonts w:hint="eastAsia" w:ascii="仿宋" w:hAnsi="仿宋" w:eastAsia="仿宋" w:cs="仿宋_GB2312"/>
          <w:kern w:val="0"/>
          <w:sz w:val="32"/>
          <w:szCs w:val="32"/>
          <w:lang w:val="en-US" w:eastAsia="zh-CN"/>
        </w:rPr>
        <w:t>4</w:t>
      </w:r>
      <w:r>
        <w:rPr>
          <w:rFonts w:hint="eastAsia" w:ascii="仿宋" w:hAnsi="仿宋" w:eastAsia="仿宋"/>
          <w:sz w:val="32"/>
          <w:szCs w:val="32"/>
        </w:rPr>
        <w:t>辆，其中：省部级领导干部用车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辆，一般公务用车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辆，一般执法执勤用车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辆，其他用车</w:t>
      </w:r>
      <w:r>
        <w:rPr>
          <w:rFonts w:hint="eastAsia" w:ascii="仿宋" w:hAnsi="仿宋" w:eastAsia="仿宋" w:cs="仿宋_GB2312"/>
          <w:kern w:val="0"/>
          <w:sz w:val="32"/>
          <w:szCs w:val="32"/>
          <w:lang w:val="en-US" w:eastAsia="zh-CN"/>
        </w:rPr>
        <w:t>4</w:t>
      </w:r>
      <w:r>
        <w:rPr>
          <w:rFonts w:hint="eastAsia" w:ascii="仿宋" w:hAnsi="仿宋" w:eastAsia="仿宋"/>
          <w:sz w:val="32"/>
          <w:szCs w:val="32"/>
        </w:rPr>
        <w:t>辆。单位价值50万元以上通用设备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r>
        <w:rPr>
          <w:rFonts w:hint="eastAsia" w:ascii="仿宋" w:hAnsi="仿宋" w:eastAsia="仿宋"/>
          <w:sz w:val="32"/>
          <w:szCs w:val="32"/>
        </w:rPr>
        <w:t>单位价值100万元以上专用设备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pPr>
        <w:ind w:firstLine="640" w:firstLineChars="200"/>
        <w:rPr>
          <w:rFonts w:ascii="仿宋" w:hAnsi="仿宋" w:eastAsia="仿宋" w:cs="仿宋_GB2312"/>
          <w:kern w:val="0"/>
          <w:sz w:val="32"/>
          <w:szCs w:val="32"/>
        </w:rPr>
      </w:pPr>
    </w:p>
    <w:p>
      <w:pPr>
        <w:ind w:firstLine="640" w:firstLineChars="200"/>
        <w:rPr>
          <w:rFonts w:ascii="仿宋" w:hAnsi="仿宋" w:eastAsia="仿宋" w:cs="仿宋_GB2312"/>
          <w:kern w:val="0"/>
          <w:sz w:val="32"/>
          <w:szCs w:val="32"/>
        </w:rPr>
      </w:pPr>
    </w:p>
    <w:p>
      <w:pPr>
        <w:jc w:val="center"/>
        <w:rPr>
          <w:rFonts w:hint="eastAsia" w:asciiTheme="majorEastAsia" w:hAnsiTheme="majorEastAsia" w:eastAsiaTheme="majorEastAsia"/>
          <w:b/>
          <w:sz w:val="40"/>
        </w:rPr>
      </w:pPr>
    </w:p>
    <w:p>
      <w:pPr>
        <w:jc w:val="center"/>
        <w:rPr>
          <w:rFonts w:asciiTheme="majorEastAsia" w:hAnsiTheme="majorEastAsia" w:eastAsiaTheme="majorEastAsia"/>
          <w:b/>
          <w:sz w:val="40"/>
        </w:rPr>
      </w:pPr>
      <w:r>
        <w:rPr>
          <w:rFonts w:hint="eastAsia" w:asciiTheme="majorEastAsia" w:hAnsiTheme="majorEastAsia" w:eastAsiaTheme="majorEastAsia"/>
          <w:b/>
          <w:sz w:val="40"/>
        </w:rPr>
        <w:t>第四部分 名词解释</w:t>
      </w:r>
    </w:p>
    <w:p>
      <w:pPr>
        <w:spacing w:line="60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一、财政拨款收入：指财政当年拨付的资金。</w:t>
      </w:r>
      <w:r>
        <w:rPr>
          <w:rFonts w:ascii="仿宋" w:hAnsi="仿宋" w:eastAsia="仿宋" w:cs="仿宋"/>
          <w:color w:val="000000"/>
          <w:kern w:val="0"/>
          <w:sz w:val="32"/>
          <w:szCs w:val="32"/>
        </w:rPr>
        <w:t xml:space="preserve">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三、经营收入：指事业单位在专业业务活动及其辅助活动之外开展非独立核算经营活动取得的收入。</w:t>
      </w:r>
      <w:r>
        <w:rPr>
          <w:rFonts w:ascii="仿宋" w:hAnsi="仿宋" w:eastAsia="仿宋" w:cs="仿宋"/>
          <w:color w:val="000000"/>
          <w:kern w:val="0"/>
          <w:sz w:val="32"/>
          <w:szCs w:val="32"/>
        </w:rPr>
        <w:t xml:space="preserve"> </w:t>
      </w:r>
    </w:p>
    <w:p>
      <w:pPr>
        <w:spacing w:line="600" w:lineRule="exact"/>
        <w:ind w:firstLine="707" w:firstLineChars="221"/>
        <w:rPr>
          <w:rFonts w:ascii="仿宋" w:hAnsi="仿宋" w:eastAsia="仿宋" w:cs="仿宋"/>
          <w:color w:val="000000"/>
          <w:kern w:val="0"/>
          <w:sz w:val="32"/>
          <w:szCs w:val="32"/>
        </w:rPr>
      </w:pPr>
      <w:bookmarkStart w:id="0" w:name="_GoBack"/>
      <w:bookmarkEnd w:id="0"/>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r>
        <w:rPr>
          <w:rFonts w:ascii="仿宋" w:hAnsi="仿宋" w:eastAsia="仿宋" w:cs="仿宋"/>
          <w:color w:val="000000"/>
          <w:kern w:val="0"/>
          <w:sz w:val="32"/>
          <w:szCs w:val="32"/>
        </w:rPr>
        <w:t xml:space="preserve">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Pr>
          <w:rFonts w:ascii="仿宋" w:hAnsi="仿宋" w:eastAsia="仿宋" w:cs="仿宋"/>
          <w:color w:val="000000"/>
          <w:kern w:val="0"/>
          <w:sz w:val="32"/>
          <w:szCs w:val="32"/>
        </w:rPr>
        <w:t xml:space="preserve"> </w:t>
      </w:r>
    </w:p>
    <w:p>
      <w:pPr>
        <w:spacing w:line="60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pPr>
        <w:pStyle w:val="12"/>
        <w:spacing w:line="600" w:lineRule="exact"/>
        <w:ind w:firstLine="640" w:firstLineChars="200"/>
        <w:rPr>
          <w:rFonts w:hAnsi="仿宋"/>
          <w:sz w:val="32"/>
          <w:szCs w:val="32"/>
        </w:rPr>
      </w:pPr>
      <w:r>
        <w:rPr>
          <w:rFonts w:hint="eastAsia" w:hAnsi="仿宋"/>
          <w:sz w:val="32"/>
          <w:szCs w:val="32"/>
        </w:rPr>
        <w:t>七、结余分配：指事业单位按规定提取的职工福利基金、事业基金和缴纳的所得税，以及建设单位按规定应交回的基本建设竣工项目结余资金。</w:t>
      </w:r>
      <w:r>
        <w:rPr>
          <w:rFonts w:hAnsi="仿宋"/>
          <w:sz w:val="32"/>
          <w:szCs w:val="32"/>
        </w:rPr>
        <w:t xml:space="preserve"> </w:t>
      </w:r>
    </w:p>
    <w:p>
      <w:pPr>
        <w:pStyle w:val="12"/>
        <w:spacing w:line="600" w:lineRule="exact"/>
        <w:ind w:firstLine="640"/>
        <w:rPr>
          <w:rFonts w:hAnsi="仿宋"/>
          <w:sz w:val="32"/>
          <w:szCs w:val="32"/>
        </w:rPr>
      </w:pPr>
      <w:r>
        <w:rPr>
          <w:rFonts w:hint="eastAsia" w:hAnsi="仿宋"/>
          <w:sz w:val="32"/>
          <w:szCs w:val="32"/>
        </w:rPr>
        <w:t>八、年末结转和结余：指本年度或以前年度预算安排、因客观条件发生变化无法按原计划实施，需延迟到以后年度按有关规定继续使用的资金。</w:t>
      </w:r>
      <w:r>
        <w:rPr>
          <w:rFonts w:hAnsi="仿宋"/>
          <w:sz w:val="32"/>
          <w:szCs w:val="32"/>
        </w:rPr>
        <w:t xml:space="preserve"> </w:t>
      </w:r>
    </w:p>
    <w:p>
      <w:pPr>
        <w:pStyle w:val="12"/>
        <w:spacing w:line="600" w:lineRule="exact"/>
        <w:ind w:firstLine="640"/>
        <w:rPr>
          <w:rFonts w:hAnsi="仿宋"/>
          <w:sz w:val="32"/>
          <w:szCs w:val="32"/>
        </w:rPr>
      </w:pPr>
      <w:r>
        <w:rPr>
          <w:rFonts w:hint="eastAsia" w:hAnsi="仿宋"/>
          <w:sz w:val="32"/>
          <w:szCs w:val="32"/>
        </w:rPr>
        <w:t>九、基本支出：指为保障机构正常运转、完成日常工作任务而发生的人员支出和公用支出。</w:t>
      </w:r>
      <w:r>
        <w:rPr>
          <w:rFonts w:hAnsi="仿宋"/>
          <w:sz w:val="32"/>
          <w:szCs w:val="32"/>
        </w:rPr>
        <w:t xml:space="preserve"> </w:t>
      </w:r>
    </w:p>
    <w:p>
      <w:pPr>
        <w:pStyle w:val="12"/>
        <w:spacing w:line="600" w:lineRule="exact"/>
        <w:ind w:firstLine="640"/>
        <w:rPr>
          <w:rFonts w:hAnsi="仿宋"/>
          <w:sz w:val="32"/>
          <w:szCs w:val="32"/>
        </w:rPr>
      </w:pPr>
      <w:r>
        <w:rPr>
          <w:rFonts w:hint="eastAsia" w:hAnsi="仿宋"/>
          <w:sz w:val="32"/>
          <w:szCs w:val="32"/>
        </w:rPr>
        <w:t>十、项目支出：指在基本支出之外为完成特定行政任务和事业发展目标所发生的支出。</w:t>
      </w:r>
      <w:r>
        <w:rPr>
          <w:rFonts w:hAnsi="仿宋"/>
          <w:sz w:val="32"/>
          <w:szCs w:val="32"/>
        </w:rPr>
        <w:t xml:space="preserve"> </w:t>
      </w:r>
    </w:p>
    <w:p>
      <w:pPr>
        <w:pStyle w:val="12"/>
        <w:spacing w:line="600" w:lineRule="exact"/>
        <w:ind w:firstLine="640"/>
        <w:rPr>
          <w:rFonts w:hAnsi="仿宋"/>
          <w:sz w:val="32"/>
          <w:szCs w:val="32"/>
        </w:rPr>
      </w:pPr>
      <w:r>
        <w:rPr>
          <w:rFonts w:hint="eastAsia" w:hAnsi="仿宋"/>
          <w:sz w:val="32"/>
          <w:szCs w:val="32"/>
        </w:rPr>
        <w:t>十一、经营支出：指事业单位在专业业务活动及其辅助活动之外开展非独立核算经营活动发生的支出。</w:t>
      </w:r>
      <w:r>
        <w:rPr>
          <w:rFonts w:hAnsi="仿宋"/>
          <w:sz w:val="32"/>
          <w:szCs w:val="32"/>
        </w:rPr>
        <w:t xml:space="preserve"> </w:t>
      </w:r>
    </w:p>
    <w:p>
      <w:pPr>
        <w:pStyle w:val="12"/>
        <w:spacing w:line="600" w:lineRule="exact"/>
        <w:ind w:firstLine="640"/>
        <w:rPr>
          <w:rFonts w:hAnsi="仿宋"/>
          <w:sz w:val="32"/>
          <w:szCs w:val="32"/>
        </w:rPr>
      </w:pPr>
      <w:r>
        <w:rPr>
          <w:rFonts w:hint="eastAsia" w:hAnsi="仿宋"/>
          <w:sz w:val="32"/>
          <w:szCs w:val="32"/>
        </w:rPr>
        <w:t>十二、</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费</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用车指车改后单位按规定保留的用于履行公务的机动车辆，包括领导干部用车、一般公务用车和执法执勤用车等；公务接待费反映单位按规定开支的各类公务接待（含外宾接待）支出。</w:t>
      </w:r>
      <w:r>
        <w:rPr>
          <w:rFonts w:hAnsi="仿宋"/>
          <w:sz w:val="32"/>
          <w:szCs w:val="32"/>
        </w:rPr>
        <w:t xml:space="preserve"> </w:t>
      </w:r>
    </w:p>
    <w:p>
      <w:pPr>
        <w:ind w:firstLine="640" w:firstLineChars="200"/>
        <w:jc w:val="left"/>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6780272"/>
    </w:sdtPr>
    <w:sdtContent>
      <w:p>
        <w:pPr>
          <w:pStyle w:val="4"/>
          <w:jc w:val="center"/>
        </w:pPr>
        <w:r>
          <w:fldChar w:fldCharType="begin"/>
        </w:r>
        <w:r>
          <w:instrText xml:space="preserve">PAGE   \* MERGEFORMAT</w:instrText>
        </w:r>
        <w:r>
          <w:fldChar w:fldCharType="separate"/>
        </w:r>
        <w:r>
          <w:rPr>
            <w:lang w:val="zh-CN"/>
          </w:rPr>
          <w:t>6</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7193C6"/>
    <w:multiLevelType w:val="singleLevel"/>
    <w:tmpl w:val="F67193C6"/>
    <w:lvl w:ilvl="0" w:tentative="0">
      <w:start w:val="5"/>
      <w:numFmt w:val="chineseCounting"/>
      <w:suff w:val="nothing"/>
      <w:lvlText w:val="%1、"/>
      <w:lvlJc w:val="left"/>
      <w:rPr>
        <w:rFonts w:hint="eastAsia"/>
      </w:rPr>
    </w:lvl>
  </w:abstractNum>
  <w:abstractNum w:abstractNumId="1">
    <w:nsid w:val="5E1FA9A2"/>
    <w:multiLevelType w:val="singleLevel"/>
    <w:tmpl w:val="5E1FA9A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17140"/>
    <w:rsid w:val="00134215"/>
    <w:rsid w:val="0014464B"/>
    <w:rsid w:val="00162161"/>
    <w:rsid w:val="00167378"/>
    <w:rsid w:val="00192E64"/>
    <w:rsid w:val="001941D1"/>
    <w:rsid w:val="00244E2B"/>
    <w:rsid w:val="00283FC4"/>
    <w:rsid w:val="00283FCD"/>
    <w:rsid w:val="00317140"/>
    <w:rsid w:val="00353125"/>
    <w:rsid w:val="00361E92"/>
    <w:rsid w:val="00445C9B"/>
    <w:rsid w:val="004D696A"/>
    <w:rsid w:val="005B00AC"/>
    <w:rsid w:val="006C4713"/>
    <w:rsid w:val="006F6D60"/>
    <w:rsid w:val="00714A17"/>
    <w:rsid w:val="00753E47"/>
    <w:rsid w:val="007C60CF"/>
    <w:rsid w:val="008071E4"/>
    <w:rsid w:val="00830077"/>
    <w:rsid w:val="00880C2D"/>
    <w:rsid w:val="008A73C5"/>
    <w:rsid w:val="00954F2C"/>
    <w:rsid w:val="009C7FB5"/>
    <w:rsid w:val="00A072C6"/>
    <w:rsid w:val="00A4118D"/>
    <w:rsid w:val="00A855BE"/>
    <w:rsid w:val="00AA073D"/>
    <w:rsid w:val="00C02DE3"/>
    <w:rsid w:val="00C43C36"/>
    <w:rsid w:val="00C7095D"/>
    <w:rsid w:val="00CC6B40"/>
    <w:rsid w:val="00DB5D2D"/>
    <w:rsid w:val="00E05319"/>
    <w:rsid w:val="00E332A8"/>
    <w:rsid w:val="00ED58E6"/>
    <w:rsid w:val="00F066AB"/>
    <w:rsid w:val="00FE6949"/>
    <w:rsid w:val="01E72B69"/>
    <w:rsid w:val="044E5793"/>
    <w:rsid w:val="04D60A68"/>
    <w:rsid w:val="06AE52DB"/>
    <w:rsid w:val="06AF7BCA"/>
    <w:rsid w:val="06EE4199"/>
    <w:rsid w:val="0783656A"/>
    <w:rsid w:val="0A66178E"/>
    <w:rsid w:val="0B204231"/>
    <w:rsid w:val="0BCA0139"/>
    <w:rsid w:val="0C0D792B"/>
    <w:rsid w:val="0F687A8F"/>
    <w:rsid w:val="109A2F1C"/>
    <w:rsid w:val="113C19B1"/>
    <w:rsid w:val="11617E07"/>
    <w:rsid w:val="127C69EC"/>
    <w:rsid w:val="12EC2AD5"/>
    <w:rsid w:val="136234F4"/>
    <w:rsid w:val="1662737F"/>
    <w:rsid w:val="17DB7D99"/>
    <w:rsid w:val="1BB408C5"/>
    <w:rsid w:val="1E6713EF"/>
    <w:rsid w:val="1F204BC2"/>
    <w:rsid w:val="208E1438"/>
    <w:rsid w:val="21276CB2"/>
    <w:rsid w:val="21DA6168"/>
    <w:rsid w:val="21F64D4C"/>
    <w:rsid w:val="228C13F6"/>
    <w:rsid w:val="24AB5A77"/>
    <w:rsid w:val="24D7001D"/>
    <w:rsid w:val="256B1A54"/>
    <w:rsid w:val="2C0463EE"/>
    <w:rsid w:val="2D461092"/>
    <w:rsid w:val="2D813B1B"/>
    <w:rsid w:val="30142F8B"/>
    <w:rsid w:val="30C93CE3"/>
    <w:rsid w:val="317B0C64"/>
    <w:rsid w:val="32682F33"/>
    <w:rsid w:val="33B7159A"/>
    <w:rsid w:val="3519478B"/>
    <w:rsid w:val="36A94E57"/>
    <w:rsid w:val="375D4C3C"/>
    <w:rsid w:val="388E6193"/>
    <w:rsid w:val="39897371"/>
    <w:rsid w:val="39C85F76"/>
    <w:rsid w:val="3EE45C04"/>
    <w:rsid w:val="3F351743"/>
    <w:rsid w:val="4059051D"/>
    <w:rsid w:val="44300200"/>
    <w:rsid w:val="44BA1A1A"/>
    <w:rsid w:val="453B5FDF"/>
    <w:rsid w:val="45E967B8"/>
    <w:rsid w:val="475F7288"/>
    <w:rsid w:val="47AB4648"/>
    <w:rsid w:val="486C3320"/>
    <w:rsid w:val="48DD3BA5"/>
    <w:rsid w:val="48F22999"/>
    <w:rsid w:val="497A2E33"/>
    <w:rsid w:val="499E2B06"/>
    <w:rsid w:val="4A7948A0"/>
    <w:rsid w:val="4C7409B0"/>
    <w:rsid w:val="4D37490C"/>
    <w:rsid w:val="4D424BF3"/>
    <w:rsid w:val="4E0A159C"/>
    <w:rsid w:val="4F9F4D30"/>
    <w:rsid w:val="4FF37E78"/>
    <w:rsid w:val="50FC2C60"/>
    <w:rsid w:val="51F96A4D"/>
    <w:rsid w:val="552A1497"/>
    <w:rsid w:val="569A50EB"/>
    <w:rsid w:val="5A370E35"/>
    <w:rsid w:val="5BA4108B"/>
    <w:rsid w:val="5BCD1176"/>
    <w:rsid w:val="5D067F49"/>
    <w:rsid w:val="5E511DB3"/>
    <w:rsid w:val="5E56484D"/>
    <w:rsid w:val="5E7A6613"/>
    <w:rsid w:val="60AE7491"/>
    <w:rsid w:val="61CF04AD"/>
    <w:rsid w:val="61ED1CEB"/>
    <w:rsid w:val="63936726"/>
    <w:rsid w:val="65CF3C1A"/>
    <w:rsid w:val="678C5A5E"/>
    <w:rsid w:val="69355482"/>
    <w:rsid w:val="6DED1618"/>
    <w:rsid w:val="6E4C0747"/>
    <w:rsid w:val="6EF82340"/>
    <w:rsid w:val="6F756C9A"/>
    <w:rsid w:val="6FAC1AF1"/>
    <w:rsid w:val="6FB44D4A"/>
    <w:rsid w:val="705C2D09"/>
    <w:rsid w:val="7338088D"/>
    <w:rsid w:val="756832C6"/>
    <w:rsid w:val="75E87521"/>
    <w:rsid w:val="761524E5"/>
    <w:rsid w:val="76990185"/>
    <w:rsid w:val="76C71F8A"/>
    <w:rsid w:val="77F62BED"/>
    <w:rsid w:val="78817275"/>
    <w:rsid w:val="79144B9E"/>
    <w:rsid w:val="7A2D4F79"/>
    <w:rsid w:val="7A3A2CC6"/>
    <w:rsid w:val="7F0A3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6"/>
    <w:link w:val="5"/>
    <w:qFormat/>
    <w:uiPriority w:val="99"/>
    <w:rPr>
      <w:sz w:val="18"/>
      <w:szCs w:val="18"/>
    </w:rPr>
  </w:style>
  <w:style w:type="character" w:customStyle="1" w:styleId="9">
    <w:name w:val="页脚 Char"/>
    <w:basedOn w:val="6"/>
    <w:link w:val="4"/>
    <w:qFormat/>
    <w:uiPriority w:val="99"/>
    <w:rPr>
      <w:sz w:val="18"/>
      <w:szCs w:val="18"/>
    </w:rPr>
  </w:style>
  <w:style w:type="character" w:customStyle="1" w:styleId="10">
    <w:name w:val="正文文本 Char"/>
    <w:basedOn w:val="6"/>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6"/>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652</Words>
  <Characters>3723</Characters>
  <Lines>31</Lines>
  <Paragraphs>8</Paragraphs>
  <TotalTime>5</TotalTime>
  <ScaleCrop>false</ScaleCrop>
  <LinksUpToDate>false</LinksUpToDate>
  <CharactersWithSpaces>4367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2019-03-10T08:45:00Z</dcterms:created>
  <dc:creator>null</dc:creator>
  <cp:lastModifiedBy>dell</cp:lastModifiedBy>
  <dcterms:modified xsi:type="dcterms:W3CDTF">2022-05-12T03:38:18Z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