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sz w:val="32"/>
          <w:szCs w:val="32"/>
        </w:rPr>
      </w:pPr>
      <w:r>
        <w:rPr>
          <w:rFonts w:hint="eastAsia"/>
          <w:sz w:val="32"/>
          <w:szCs w:val="32"/>
        </w:rPr>
        <w:t>附件2：</w:t>
      </w:r>
    </w:p>
    <w:p>
      <w:pPr>
        <w:widowControl/>
        <w:rPr>
          <w:sz w:val="32"/>
          <w:szCs w:val="32"/>
        </w:rPr>
      </w:pP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2023年度</w:t>
      </w: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福建省上杭县蓝溪镇人民政府预算</w:t>
      </w:r>
    </w:p>
    <w:p>
      <w:pPr>
        <w:widowControl/>
        <w:rPr>
          <w:sz w:val="84"/>
          <w:szCs w:val="84"/>
        </w:rPr>
      </w:pPr>
      <w:r>
        <w:rPr>
          <w:sz w:val="84"/>
          <w:szCs w:val="84"/>
        </w:rPr>
        <w:br w:type="page"/>
      </w:r>
    </w:p>
    <w:p>
      <w:pPr>
        <w:widowControl/>
        <w:outlineLvl w:val="1"/>
      </w:pPr>
      <w:r>
        <w:tab/>
      </w:r>
    </w:p>
    <w:p>
      <w:pPr>
        <w:widowControl/>
        <w:outlineLvl w:val="1"/>
      </w:pPr>
    </w:p>
    <w:sdt>
      <w:sdtPr>
        <w:rPr>
          <w:rFonts w:ascii="宋体" w:hAnsi="宋体" w:eastAsia="宋体"/>
        </w:rPr>
        <w:id w:val="147458188"/>
        <w:docPartObj>
          <w:docPartGallery w:val="Table of Contents"/>
          <w:docPartUnique/>
        </w:docPartObj>
      </w:sdtPr>
      <w:sdtEndPr>
        <w:rPr>
          <w:rFonts w:ascii="Times New Roman" w:hAnsi="Times New Roman" w:eastAsia="宋体" w:cs="Times New Roman"/>
          <w:b/>
          <w:bCs/>
          <w:sz w:val="20"/>
          <w:szCs w:val="20"/>
        </w:rPr>
      </w:sdtEndPr>
      <w:sdtContent>
        <w:p>
          <w:pPr>
            <w:spacing w:line="520" w:lineRule="exact"/>
            <w:jc w:val="center"/>
            <w:rPr>
              <w:rFonts w:hint="eastAsia" w:ascii="仿宋_GB2312" w:eastAsia="仿宋_GB2312"/>
              <w:sz w:val="28"/>
              <w:szCs w:val="28"/>
            </w:rPr>
          </w:pPr>
          <w:r>
            <w:rPr>
              <w:rFonts w:hint="eastAsia" w:ascii="仿宋_GB2312" w:hAnsi="宋体" w:eastAsia="仿宋_GB2312"/>
              <w:sz w:val="28"/>
              <w:szCs w:val="28"/>
            </w:rPr>
            <w:t>目录</w:t>
          </w:r>
        </w:p>
        <w:p>
          <w:pPr>
            <w:pStyle w:val="16"/>
            <w:tabs>
              <w:tab w:val="right" w:leader="dot" w:pos="8306"/>
            </w:tabs>
            <w:spacing w:line="520" w:lineRule="exact"/>
            <w:rPr>
              <w:rFonts w:hint="eastAsia" w:ascii="仿宋_GB2312" w:eastAsia="仿宋_GB2312"/>
              <w:sz w:val="28"/>
              <w:szCs w:val="28"/>
            </w:rPr>
          </w:pPr>
          <w:r>
            <w:fldChar w:fldCharType="begin"/>
          </w:r>
          <w:r>
            <w:instrText xml:space="preserve"> HYPERLINK \l "_Toc14120_WPSOffice_Level1" </w:instrText>
          </w:r>
          <w:r>
            <w:fldChar w:fldCharType="separate"/>
          </w:r>
          <w:r>
            <w:rPr>
              <w:rFonts w:hint="eastAsia" w:ascii="仿宋_GB2312" w:hAnsi="黑体" w:eastAsia="仿宋_GB2312"/>
              <w:b/>
              <w:bCs/>
              <w:sz w:val="28"/>
              <w:szCs w:val="28"/>
            </w:rPr>
            <w:t>第一部分 部门概况</w:t>
          </w:r>
          <w:r>
            <w:rPr>
              <w:rFonts w:hint="eastAsia" w:ascii="仿宋_GB2312" w:eastAsia="仿宋_GB2312"/>
              <w:b/>
              <w:bCs/>
              <w:sz w:val="28"/>
              <w:szCs w:val="28"/>
            </w:rPr>
            <w:tab/>
          </w:r>
          <w:bookmarkStart w:id="0" w:name="_Toc14120_WPSOffice_Level1Page"/>
          <w:r>
            <w:rPr>
              <w:rFonts w:hint="eastAsia" w:ascii="仿宋_GB2312" w:eastAsia="仿宋_GB2312"/>
              <w:b/>
              <w:bCs/>
              <w:sz w:val="28"/>
              <w:szCs w:val="28"/>
            </w:rPr>
            <w:t>3</w:t>
          </w:r>
          <w:bookmarkEnd w:id="0"/>
          <w:r>
            <w:rPr>
              <w:rFonts w:hint="eastAsia" w:ascii="仿宋_GB2312" w:eastAsia="仿宋_GB2312"/>
              <w:b/>
              <w:bCs/>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"_Toc24052_WPSOffice_Level2" </w:instrText>
          </w:r>
          <w:r>
            <w:fldChar w:fldCharType="separate"/>
          </w:r>
          <w:r>
            <w:rPr>
              <w:rFonts w:hint="eastAsia" w:ascii="仿宋_GB2312" w:hAnsi="仿宋" w:eastAsia="仿宋_GB2312" w:cstheme="minorBidi"/>
              <w:sz w:val="28"/>
              <w:szCs w:val="28"/>
            </w:rPr>
            <w:t>一、部门主要职责</w:t>
          </w:r>
          <w:r>
            <w:rPr>
              <w:rFonts w:hint="eastAsia" w:ascii="仿宋_GB2312" w:eastAsia="仿宋_GB2312"/>
              <w:sz w:val="28"/>
              <w:szCs w:val="28"/>
            </w:rPr>
            <w:tab/>
          </w:r>
          <w:bookmarkStart w:id="1" w:name="_Toc24052_WPSOffice_Level2Page"/>
          <w:r>
            <w:rPr>
              <w:rFonts w:hint="eastAsia" w:ascii="仿宋_GB2312" w:eastAsia="仿宋_GB2312"/>
              <w:sz w:val="28"/>
              <w:szCs w:val="28"/>
            </w:rPr>
            <w:t>3</w:t>
          </w:r>
          <w:bookmarkEnd w:id="1"/>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"_Toc25893_WPSOffice_Level2" </w:instrText>
          </w:r>
          <w:r>
            <w:fldChar w:fldCharType="separate"/>
          </w:r>
          <w:r>
            <w:rPr>
              <w:rFonts w:hint="eastAsia" w:ascii="仿宋_GB2312" w:hAnsi="仿宋" w:eastAsia="仿宋_GB2312" w:cstheme="minorBidi"/>
              <w:sz w:val="28"/>
              <w:szCs w:val="28"/>
            </w:rPr>
            <w:t>二、部门预算单位构成</w:t>
          </w:r>
          <w:r>
            <w:rPr>
              <w:rFonts w:hint="eastAsia" w:ascii="仿宋_GB2312" w:eastAsia="仿宋_GB2312"/>
              <w:sz w:val="28"/>
              <w:szCs w:val="28"/>
            </w:rPr>
            <w:tab/>
          </w:r>
          <w:bookmarkStart w:id="2" w:name="_Toc25893_WPSOffice_Level2Page"/>
          <w:r>
            <w:rPr>
              <w:rFonts w:hint="eastAsia" w:ascii="仿宋_GB2312" w:eastAsia="仿宋_GB2312"/>
              <w:sz w:val="28"/>
              <w:szCs w:val="28"/>
            </w:rPr>
            <w:t>3</w:t>
          </w:r>
          <w:bookmarkEnd w:id="2"/>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"_Toc29228_WPSOffice_Level2" </w:instrText>
          </w:r>
          <w:r>
            <w:fldChar w:fldCharType="separate"/>
          </w:r>
          <w:r>
            <w:rPr>
              <w:rFonts w:hint="eastAsia" w:ascii="仿宋_GB2312" w:hAnsi="仿宋" w:eastAsia="仿宋_GB2312" w:cstheme="minorBidi"/>
              <w:sz w:val="28"/>
              <w:szCs w:val="28"/>
            </w:rPr>
            <w:t>三、部门主要工作任务</w:t>
          </w:r>
          <w:r>
            <w:rPr>
              <w:rFonts w:hint="eastAsia" w:ascii="仿宋_GB2312" w:eastAsia="仿宋_GB2312"/>
              <w:sz w:val="28"/>
              <w:szCs w:val="28"/>
            </w:rPr>
            <w:tab/>
          </w:r>
          <w:bookmarkStart w:id="3" w:name="_Toc29228_WPSOffice_Level2Page"/>
          <w:r>
            <w:rPr>
              <w:rFonts w:hint="eastAsia" w:ascii="仿宋_GB2312" w:eastAsia="仿宋_GB2312"/>
              <w:sz w:val="28"/>
              <w:szCs w:val="28"/>
            </w:rPr>
            <w:t>4</w:t>
          </w:r>
          <w:bookmarkEnd w:id="3"/>
          <w:r>
            <w:rPr>
              <w:rFonts w:hint="eastAsia" w:ascii="仿宋_GB2312" w:eastAsia="仿宋_GB2312"/>
              <w:sz w:val="28"/>
              <w:szCs w:val="28"/>
            </w:rPr>
            <w:fldChar w:fldCharType="end"/>
          </w:r>
        </w:p>
        <w:p>
          <w:pPr>
            <w:pStyle w:val="16"/>
            <w:tabs>
              <w:tab w:val="right" w:leader="dot" w:pos="8306"/>
            </w:tabs>
            <w:spacing w:line="520" w:lineRule="exact"/>
            <w:rPr>
              <w:rFonts w:hint="eastAsia" w:ascii="仿宋_GB2312" w:eastAsia="仿宋_GB2312"/>
              <w:sz w:val="28"/>
              <w:szCs w:val="28"/>
            </w:rPr>
          </w:pPr>
          <w:r>
            <w:fldChar w:fldCharType="begin"/>
          </w:r>
          <w:r>
            <w:instrText xml:space="preserve"> HYPERLINK \l "_Toc24052_WPSOffice_Level1" </w:instrText>
          </w:r>
          <w:r>
            <w:fldChar w:fldCharType="separate"/>
          </w:r>
          <w:r>
            <w:rPr>
              <w:rFonts w:hint="eastAsia" w:ascii="仿宋_GB2312" w:hAnsi="黑体" w:eastAsia="仿宋_GB2312"/>
              <w:b/>
              <w:bCs/>
              <w:sz w:val="28"/>
              <w:szCs w:val="28"/>
            </w:rPr>
            <w:t>第二部分 2022年度部门预算表</w:t>
          </w:r>
          <w:r>
            <w:rPr>
              <w:rFonts w:hint="eastAsia" w:ascii="仿宋_GB2312" w:eastAsia="仿宋_GB2312"/>
              <w:b/>
              <w:bCs/>
              <w:sz w:val="28"/>
              <w:szCs w:val="28"/>
            </w:rPr>
            <w:tab/>
          </w:r>
          <w:bookmarkStart w:id="4" w:name="_Toc24052_WPSOffice_Level1Page"/>
          <w:r>
            <w:rPr>
              <w:rFonts w:hint="eastAsia" w:ascii="仿宋_GB2312" w:eastAsia="仿宋_GB2312"/>
              <w:b/>
              <w:bCs/>
              <w:sz w:val="28"/>
              <w:szCs w:val="28"/>
            </w:rPr>
            <w:t>5</w:t>
          </w:r>
          <w:bookmarkEnd w:id="4"/>
          <w:r>
            <w:rPr>
              <w:rFonts w:hint="eastAsia" w:ascii="仿宋_GB2312" w:eastAsia="仿宋_GB2312"/>
              <w:b/>
              <w:bCs/>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"_Toc3896_WPSOffice_Level2" </w:instrText>
          </w:r>
          <w:r>
            <w:fldChar w:fldCharType="separate"/>
          </w:r>
          <w:r>
            <w:rPr>
              <w:rFonts w:hint="eastAsia" w:ascii="仿宋_GB2312" w:hAnsi="仿宋" w:eastAsia="仿宋_GB2312" w:cstheme="minorBidi"/>
              <w:sz w:val="28"/>
              <w:szCs w:val="28"/>
            </w:rPr>
            <w:t>一、收支预算总表</w:t>
          </w:r>
          <w:r>
            <w:rPr>
              <w:rFonts w:hint="eastAsia" w:ascii="仿宋_GB2312" w:eastAsia="仿宋_GB2312"/>
              <w:sz w:val="28"/>
              <w:szCs w:val="28"/>
            </w:rPr>
            <w:tab/>
          </w:r>
          <w:bookmarkStart w:id="5" w:name="_Toc3896_WPSOffice_Level2Page"/>
          <w:r>
            <w:rPr>
              <w:rFonts w:hint="eastAsia" w:ascii="仿宋_GB2312" w:eastAsia="仿宋_GB2312"/>
              <w:sz w:val="28"/>
              <w:szCs w:val="28"/>
            </w:rPr>
            <w:t>5</w:t>
          </w:r>
          <w:bookmarkEnd w:id="5"/>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"_Toc10208_WPSOffice_Level2" </w:instrText>
          </w:r>
          <w:r>
            <w:fldChar w:fldCharType="separate"/>
          </w:r>
          <w:r>
            <w:rPr>
              <w:rFonts w:hint="eastAsia" w:ascii="仿宋_GB2312" w:hAnsi="仿宋" w:eastAsia="仿宋_GB2312" w:cstheme="minorBidi"/>
              <w:sz w:val="28"/>
              <w:szCs w:val="28"/>
            </w:rPr>
            <w:t>二、收入预算总表</w:t>
          </w:r>
          <w:r>
            <w:rPr>
              <w:rFonts w:hint="eastAsia" w:ascii="仿宋_GB2312" w:eastAsia="仿宋_GB2312"/>
              <w:sz w:val="28"/>
              <w:szCs w:val="28"/>
            </w:rPr>
            <w:tab/>
          </w:r>
          <w:bookmarkStart w:id="6" w:name="_Toc10208_WPSOffice_Level2Page"/>
          <w:r>
            <w:rPr>
              <w:rFonts w:hint="eastAsia" w:ascii="仿宋_GB2312" w:eastAsia="仿宋_GB2312"/>
              <w:sz w:val="28"/>
              <w:szCs w:val="28"/>
            </w:rPr>
            <w:t>6</w:t>
          </w:r>
          <w:bookmarkEnd w:id="6"/>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"_Toc6643_WPSOffice_Level2" </w:instrText>
          </w:r>
          <w:r>
            <w:fldChar w:fldCharType="separate"/>
          </w:r>
          <w:r>
            <w:rPr>
              <w:rFonts w:hint="eastAsia" w:ascii="仿宋_GB2312" w:hAnsi="仿宋" w:eastAsia="仿宋_GB2312" w:cstheme="minorBidi"/>
              <w:sz w:val="28"/>
              <w:szCs w:val="28"/>
            </w:rPr>
            <w:t>三、 支出预算总表</w:t>
          </w:r>
          <w:r>
            <w:rPr>
              <w:rFonts w:hint="eastAsia" w:ascii="仿宋_GB2312" w:eastAsia="仿宋_GB2312"/>
              <w:sz w:val="28"/>
              <w:szCs w:val="28"/>
            </w:rPr>
            <w:tab/>
          </w:r>
          <w:bookmarkStart w:id="7" w:name="_Toc6643_WPSOffice_Level2Page"/>
          <w:r>
            <w:rPr>
              <w:rFonts w:hint="eastAsia" w:ascii="仿宋_GB2312" w:eastAsia="仿宋_GB2312"/>
              <w:sz w:val="28"/>
              <w:szCs w:val="28"/>
            </w:rPr>
            <w:t>7</w:t>
          </w:r>
          <w:bookmarkEnd w:id="7"/>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"_Toc11592_WPSOffice_Level2" </w:instrText>
          </w:r>
          <w:r>
            <w:fldChar w:fldCharType="separate"/>
          </w:r>
          <w:r>
            <w:rPr>
              <w:rFonts w:hint="eastAsia" w:ascii="仿宋_GB2312" w:hAnsi="仿宋" w:eastAsia="仿宋_GB2312" w:cstheme="minorBidi"/>
              <w:sz w:val="28"/>
              <w:szCs w:val="28"/>
            </w:rPr>
            <w:t>四、 财政拨款收支预算总表</w:t>
          </w:r>
          <w:r>
            <w:rPr>
              <w:rFonts w:hint="eastAsia" w:ascii="仿宋_GB2312" w:eastAsia="仿宋_GB2312"/>
              <w:sz w:val="28"/>
              <w:szCs w:val="28"/>
            </w:rPr>
            <w:tab/>
          </w:r>
          <w:bookmarkStart w:id="8" w:name="_Toc11592_WPSOffice_Level2Page"/>
          <w:r>
            <w:rPr>
              <w:rFonts w:hint="eastAsia" w:ascii="仿宋_GB2312" w:eastAsia="仿宋_GB2312"/>
              <w:sz w:val="28"/>
              <w:szCs w:val="28"/>
            </w:rPr>
            <w:t>8</w:t>
          </w:r>
          <w:bookmarkEnd w:id="8"/>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"_Toc7570_WPSOffice_Level2" </w:instrText>
          </w:r>
          <w:r>
            <w:fldChar w:fldCharType="separate"/>
          </w:r>
          <w:r>
            <w:rPr>
              <w:rFonts w:hint="eastAsia" w:ascii="仿宋_GB2312" w:hAnsi="仿宋" w:eastAsia="仿宋_GB2312" w:cstheme="minorBidi"/>
              <w:sz w:val="28"/>
              <w:szCs w:val="28"/>
            </w:rPr>
            <w:t>五、一般公共预算拨款支出预算表</w:t>
          </w:r>
          <w:r>
            <w:rPr>
              <w:rFonts w:hint="eastAsia" w:ascii="仿宋_GB2312" w:eastAsia="仿宋_GB2312"/>
              <w:sz w:val="28"/>
              <w:szCs w:val="28"/>
            </w:rPr>
            <w:tab/>
          </w:r>
          <w:bookmarkStart w:id="9" w:name="_Toc7570_WPSOffice_Level2Page"/>
          <w:r>
            <w:rPr>
              <w:rFonts w:hint="eastAsia" w:ascii="仿宋_GB2312" w:eastAsia="仿宋_GB2312"/>
              <w:sz w:val="28"/>
              <w:szCs w:val="28"/>
            </w:rPr>
            <w:t>9</w:t>
          </w:r>
          <w:bookmarkEnd w:id="9"/>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"_Toc22793_WPSOffice_Level2" </w:instrText>
          </w:r>
          <w:r>
            <w:fldChar w:fldCharType="separate"/>
          </w:r>
          <w:r>
            <w:rPr>
              <w:rFonts w:hint="eastAsia" w:ascii="仿宋_GB2312" w:hAnsi="仿宋" w:eastAsia="仿宋_GB2312" w:cstheme="minorBidi"/>
              <w:sz w:val="28"/>
              <w:szCs w:val="28"/>
            </w:rPr>
            <w:t>六、政府性基金拨款支出预算表</w:t>
          </w:r>
          <w:r>
            <w:rPr>
              <w:rFonts w:hint="eastAsia" w:ascii="仿宋_GB2312" w:eastAsia="仿宋_GB2312"/>
              <w:sz w:val="28"/>
              <w:szCs w:val="28"/>
            </w:rPr>
            <w:tab/>
          </w:r>
          <w:bookmarkStart w:id="10" w:name="_Toc22793_WPSOffice_Level2Page"/>
          <w:r>
            <w:rPr>
              <w:rFonts w:hint="eastAsia" w:ascii="仿宋_GB2312" w:eastAsia="仿宋_GB2312"/>
              <w:sz w:val="28"/>
              <w:szCs w:val="28"/>
            </w:rPr>
            <w:t>10</w:t>
          </w:r>
          <w:bookmarkEnd w:id="10"/>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"_Toc8213_WPSOffice_Level2" </w:instrText>
          </w:r>
          <w:r>
            <w:fldChar w:fldCharType="separate"/>
          </w:r>
          <w:r>
            <w:rPr>
              <w:rFonts w:hint="eastAsia" w:ascii="仿宋_GB2312" w:hAnsi="仿宋" w:eastAsia="仿宋_GB2312" w:cstheme="minorBidi"/>
              <w:sz w:val="28"/>
              <w:szCs w:val="28"/>
            </w:rPr>
            <w:t>七、一般公共预算支出经济分类情况表</w:t>
          </w:r>
          <w:r>
            <w:rPr>
              <w:rFonts w:hint="eastAsia" w:ascii="仿宋_GB2312" w:eastAsia="仿宋_GB2312"/>
              <w:sz w:val="28"/>
              <w:szCs w:val="28"/>
            </w:rPr>
            <w:tab/>
          </w:r>
          <w:bookmarkStart w:id="11" w:name="_Toc8213_WPSOffice_Level2Page"/>
          <w:r>
            <w:rPr>
              <w:rFonts w:hint="eastAsia" w:ascii="仿宋_GB2312" w:eastAsia="仿宋_GB2312"/>
              <w:sz w:val="28"/>
              <w:szCs w:val="28"/>
            </w:rPr>
            <w:t>11</w:t>
          </w:r>
          <w:bookmarkEnd w:id="11"/>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"_Toc17227_WPSOffice_Level2" </w:instrText>
          </w:r>
          <w:r>
            <w:fldChar w:fldCharType="separate"/>
          </w:r>
          <w:r>
            <w:rPr>
              <w:rFonts w:hint="eastAsia" w:ascii="仿宋_GB2312" w:hAnsi="仿宋" w:eastAsia="仿宋_GB2312" w:cstheme="minorBidi"/>
              <w:sz w:val="28"/>
              <w:szCs w:val="28"/>
            </w:rPr>
            <w:t>八、一般公共预算基本支出经济分类情况表</w:t>
          </w:r>
          <w:r>
            <w:rPr>
              <w:rFonts w:hint="eastAsia" w:ascii="仿宋_GB2312" w:eastAsia="仿宋_GB2312"/>
              <w:sz w:val="28"/>
              <w:szCs w:val="28"/>
            </w:rPr>
            <w:tab/>
          </w:r>
          <w:bookmarkStart w:id="12" w:name="_Toc17227_WPSOffice_Level2Page"/>
          <w:r>
            <w:rPr>
              <w:rFonts w:hint="eastAsia" w:ascii="仿宋_GB2312" w:eastAsia="仿宋_GB2312"/>
              <w:sz w:val="28"/>
              <w:szCs w:val="28"/>
            </w:rPr>
            <w:t>12</w:t>
          </w:r>
          <w:bookmarkEnd w:id="12"/>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"_Toc646_WPSOffice_Level2" </w:instrText>
          </w:r>
          <w:r>
            <w:fldChar w:fldCharType="separate"/>
          </w:r>
          <w:r>
            <w:rPr>
              <w:rFonts w:hint="eastAsia" w:ascii="仿宋_GB2312" w:hAnsi="仿宋" w:eastAsia="仿宋_GB2312" w:cstheme="minorBidi"/>
              <w:sz w:val="28"/>
              <w:szCs w:val="28"/>
            </w:rPr>
            <w:t>九、 一般公共预算“三公”经费支出预算表</w:t>
          </w:r>
          <w:r>
            <w:rPr>
              <w:rFonts w:hint="eastAsia" w:ascii="仿宋_GB2312" w:eastAsia="仿宋_GB2312"/>
              <w:sz w:val="28"/>
              <w:szCs w:val="28"/>
            </w:rPr>
            <w:tab/>
          </w:r>
          <w:bookmarkStart w:id="13" w:name="_Toc646_WPSOffice_Level2Page"/>
          <w:r>
            <w:rPr>
              <w:rFonts w:hint="eastAsia" w:ascii="仿宋_GB2312" w:eastAsia="仿宋_GB2312"/>
              <w:sz w:val="28"/>
              <w:szCs w:val="28"/>
            </w:rPr>
            <w:t>15</w:t>
          </w:r>
          <w:bookmarkEnd w:id="13"/>
          <w:r>
            <w:rPr>
              <w:rFonts w:hint="eastAsia" w:ascii="仿宋_GB2312" w:eastAsia="仿宋_GB2312"/>
              <w:sz w:val="28"/>
              <w:szCs w:val="28"/>
            </w:rPr>
            <w:fldChar w:fldCharType="end"/>
          </w:r>
        </w:p>
        <w:p>
          <w:pPr>
            <w:pStyle w:val="16"/>
            <w:tabs>
              <w:tab w:val="right" w:leader="dot" w:pos="8306"/>
            </w:tabs>
            <w:spacing w:line="520" w:lineRule="exact"/>
            <w:rPr>
              <w:rFonts w:hint="eastAsia" w:ascii="仿宋_GB2312" w:eastAsia="仿宋_GB2312"/>
              <w:sz w:val="28"/>
              <w:szCs w:val="28"/>
            </w:rPr>
          </w:pPr>
          <w:r>
            <w:fldChar w:fldCharType="begin"/>
          </w:r>
          <w:r>
            <w:instrText xml:space="preserve"> HYPERLINK \l "_Toc25893_WPSOffice_Level1" </w:instrText>
          </w:r>
          <w:r>
            <w:fldChar w:fldCharType="separate"/>
          </w:r>
          <w:r>
            <w:rPr>
              <w:rFonts w:hint="eastAsia" w:ascii="仿宋_GB2312" w:hAnsi="黑体" w:eastAsia="仿宋_GB2312"/>
              <w:b/>
              <w:bCs/>
              <w:sz w:val="28"/>
              <w:szCs w:val="28"/>
            </w:rPr>
            <w:t>第三部分 2022年度部门预算情况说明</w:t>
          </w:r>
          <w:r>
            <w:rPr>
              <w:rFonts w:hint="eastAsia" w:ascii="仿宋_GB2312" w:eastAsia="仿宋_GB2312"/>
              <w:b/>
              <w:bCs/>
              <w:sz w:val="28"/>
              <w:szCs w:val="28"/>
            </w:rPr>
            <w:tab/>
          </w:r>
          <w:bookmarkStart w:id="14" w:name="_Toc25893_WPSOffice_Level1Page"/>
          <w:r>
            <w:rPr>
              <w:rFonts w:hint="eastAsia" w:ascii="仿宋_GB2312" w:eastAsia="仿宋_GB2312"/>
              <w:b/>
              <w:bCs/>
              <w:sz w:val="28"/>
              <w:szCs w:val="28"/>
            </w:rPr>
            <w:t>16</w:t>
          </w:r>
          <w:bookmarkEnd w:id="14"/>
          <w:r>
            <w:rPr>
              <w:rFonts w:hint="eastAsia" w:ascii="仿宋_GB2312" w:eastAsia="仿宋_GB2312"/>
              <w:b/>
              <w:bCs/>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"_Toc21616_WPSOffice_Level2" </w:instrText>
          </w:r>
          <w:r>
            <w:fldChar w:fldCharType="separate"/>
          </w:r>
          <w:r>
            <w:rPr>
              <w:rFonts w:hint="eastAsia" w:ascii="仿宋_GB2312" w:hAnsi="仿宋" w:eastAsia="仿宋_GB2312" w:cstheme="minorBidi"/>
              <w:sz w:val="28"/>
              <w:szCs w:val="28"/>
            </w:rPr>
            <w:t>一、预算收支总体情况</w:t>
          </w:r>
          <w:r>
            <w:rPr>
              <w:rFonts w:hint="eastAsia" w:ascii="仿宋_GB2312" w:eastAsia="仿宋_GB2312"/>
              <w:sz w:val="28"/>
              <w:szCs w:val="28"/>
            </w:rPr>
            <w:tab/>
          </w:r>
          <w:bookmarkStart w:id="15" w:name="_Toc21616_WPSOffice_Level2Page"/>
          <w:r>
            <w:rPr>
              <w:rFonts w:hint="eastAsia" w:ascii="仿宋_GB2312" w:eastAsia="仿宋_GB2312"/>
              <w:sz w:val="28"/>
              <w:szCs w:val="28"/>
            </w:rPr>
            <w:t>16</w:t>
          </w:r>
          <w:bookmarkEnd w:id="15"/>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"_Toc20821_WPSOffice_Level2" </w:instrText>
          </w:r>
          <w:r>
            <w:fldChar w:fldCharType="separate"/>
          </w:r>
          <w:r>
            <w:rPr>
              <w:rFonts w:hint="eastAsia" w:ascii="仿宋_GB2312" w:hAnsi="仿宋" w:eastAsia="仿宋_GB2312" w:cstheme="minorBidi"/>
              <w:sz w:val="28"/>
              <w:szCs w:val="28"/>
            </w:rPr>
            <w:t>二、一般公共预算拨款支出情况</w:t>
          </w:r>
          <w:r>
            <w:rPr>
              <w:rFonts w:hint="eastAsia" w:ascii="仿宋_GB2312" w:eastAsia="仿宋_GB2312"/>
              <w:sz w:val="28"/>
              <w:szCs w:val="28"/>
            </w:rPr>
            <w:tab/>
          </w:r>
          <w:bookmarkStart w:id="16" w:name="_Toc20821_WPSOffice_Level2Page"/>
          <w:r>
            <w:rPr>
              <w:rFonts w:hint="eastAsia" w:ascii="仿宋_GB2312" w:eastAsia="仿宋_GB2312"/>
              <w:sz w:val="28"/>
              <w:szCs w:val="28"/>
            </w:rPr>
            <w:t>16</w:t>
          </w:r>
          <w:bookmarkEnd w:id="16"/>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"_Toc24172_WPSOffice_Level2" </w:instrText>
          </w:r>
          <w:r>
            <w:fldChar w:fldCharType="separate"/>
          </w:r>
          <w:r>
            <w:rPr>
              <w:rFonts w:hint="eastAsia" w:ascii="仿宋_GB2312" w:hAnsi="仿宋" w:eastAsia="仿宋_GB2312" w:cstheme="minorBidi"/>
              <w:sz w:val="28"/>
              <w:szCs w:val="28"/>
            </w:rPr>
            <w:t>三、政府性基金预算拨款支出情况</w:t>
          </w:r>
          <w:r>
            <w:rPr>
              <w:rFonts w:hint="eastAsia" w:ascii="仿宋_GB2312" w:eastAsia="仿宋_GB2312"/>
              <w:sz w:val="28"/>
              <w:szCs w:val="28"/>
            </w:rPr>
            <w:tab/>
          </w:r>
          <w:bookmarkStart w:id="17" w:name="_Toc24172_WPSOffice_Level2Page"/>
          <w:r>
            <w:rPr>
              <w:rFonts w:hint="eastAsia" w:ascii="仿宋_GB2312" w:eastAsia="仿宋_GB2312"/>
              <w:sz w:val="28"/>
              <w:szCs w:val="28"/>
            </w:rPr>
            <w:t>16</w:t>
          </w:r>
          <w:bookmarkEnd w:id="17"/>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"_Toc22722_WPSOffice_Level2" </w:instrText>
          </w:r>
          <w:r>
            <w:fldChar w:fldCharType="separate"/>
          </w:r>
          <w:r>
            <w:rPr>
              <w:rFonts w:hint="eastAsia" w:ascii="仿宋_GB2312" w:hAnsi="仿宋" w:eastAsia="仿宋_GB2312" w:cstheme="minorBidi"/>
              <w:sz w:val="28"/>
              <w:szCs w:val="28"/>
            </w:rPr>
            <w:t>四、财政拨款预算基本支出情况</w:t>
          </w:r>
          <w:r>
            <w:rPr>
              <w:rFonts w:hint="eastAsia" w:ascii="仿宋_GB2312" w:eastAsia="仿宋_GB2312"/>
              <w:sz w:val="28"/>
              <w:szCs w:val="28"/>
            </w:rPr>
            <w:tab/>
          </w:r>
          <w:bookmarkStart w:id="18" w:name="_Toc22722_WPSOffice_Level2Page"/>
          <w:r>
            <w:rPr>
              <w:rFonts w:hint="eastAsia" w:ascii="仿宋_GB2312" w:eastAsia="仿宋_GB2312"/>
              <w:sz w:val="28"/>
              <w:szCs w:val="28"/>
            </w:rPr>
            <w:t>17</w:t>
          </w:r>
          <w:bookmarkEnd w:id="18"/>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"_Toc15900_WPSOffice_Level2" </w:instrText>
          </w:r>
          <w:r>
            <w:fldChar w:fldCharType="separate"/>
          </w:r>
          <w:r>
            <w:rPr>
              <w:rFonts w:hint="eastAsia" w:ascii="仿宋_GB2312" w:hAnsi="仿宋" w:eastAsia="仿宋_GB2312" w:cstheme="minorBidi"/>
              <w:sz w:val="28"/>
              <w:szCs w:val="28"/>
            </w:rPr>
            <w:t>五、一般公共预算“三公”经费支出情况</w:t>
          </w:r>
          <w:r>
            <w:rPr>
              <w:rFonts w:hint="eastAsia" w:ascii="仿宋_GB2312" w:eastAsia="仿宋_GB2312"/>
              <w:sz w:val="28"/>
              <w:szCs w:val="28"/>
            </w:rPr>
            <w:tab/>
          </w:r>
          <w:bookmarkStart w:id="19" w:name="_Toc15900_WPSOffice_Level2Page"/>
          <w:r>
            <w:rPr>
              <w:rFonts w:hint="eastAsia" w:ascii="仿宋_GB2312" w:eastAsia="仿宋_GB2312"/>
              <w:sz w:val="28"/>
              <w:szCs w:val="28"/>
            </w:rPr>
            <w:t>17</w:t>
          </w:r>
          <w:bookmarkEnd w:id="19"/>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"_Toc9581_WPSOffice_Level2" </w:instrText>
          </w:r>
          <w:r>
            <w:fldChar w:fldCharType="separate"/>
          </w:r>
          <w:r>
            <w:rPr>
              <w:rFonts w:hint="eastAsia" w:ascii="仿宋_GB2312" w:hAnsi="仿宋" w:eastAsia="仿宋_GB2312" w:cstheme="minorBidi"/>
              <w:sz w:val="28"/>
              <w:szCs w:val="28"/>
            </w:rPr>
            <w:t>六、预算绩效目标情况</w:t>
          </w:r>
          <w:r>
            <w:rPr>
              <w:rFonts w:hint="eastAsia" w:ascii="仿宋_GB2312" w:eastAsia="仿宋_GB2312"/>
              <w:sz w:val="28"/>
              <w:szCs w:val="28"/>
            </w:rPr>
            <w:tab/>
          </w:r>
          <w:bookmarkStart w:id="20" w:name="_Toc9581_WPSOffice_Level2Page"/>
          <w:r>
            <w:rPr>
              <w:rFonts w:hint="eastAsia" w:ascii="仿宋_GB2312" w:eastAsia="仿宋_GB2312"/>
              <w:sz w:val="28"/>
              <w:szCs w:val="28"/>
            </w:rPr>
            <w:t>18</w:t>
          </w:r>
          <w:bookmarkEnd w:id="20"/>
          <w:r>
            <w:rPr>
              <w:rFonts w:hint="eastAsia" w:ascii="仿宋_GB2312" w:eastAsia="仿宋_GB2312"/>
              <w:sz w:val="28"/>
              <w:szCs w:val="28"/>
            </w:rPr>
            <w:fldChar w:fldCharType="end"/>
          </w:r>
        </w:p>
        <w:p>
          <w:pPr>
            <w:pStyle w:val="17"/>
            <w:tabs>
              <w:tab w:val="right" w:leader="dot" w:pos="8306"/>
            </w:tabs>
            <w:spacing w:line="520" w:lineRule="exact"/>
            <w:ind w:left="420"/>
            <w:rPr>
              <w:rFonts w:hint="eastAsia" w:ascii="仿宋_GB2312" w:eastAsia="仿宋_GB2312"/>
              <w:sz w:val="28"/>
              <w:szCs w:val="28"/>
            </w:rPr>
          </w:pPr>
          <w:r>
            <w:fldChar w:fldCharType="begin"/>
          </w:r>
          <w:r>
            <w:instrText xml:space="preserve"> HYPERLINK \l "_Toc11272_WPSOffice_Level2" </w:instrText>
          </w:r>
          <w:r>
            <w:fldChar w:fldCharType="separate"/>
          </w:r>
          <w:r>
            <w:rPr>
              <w:rFonts w:hint="eastAsia" w:ascii="仿宋_GB2312" w:hAnsi="仿宋" w:eastAsia="仿宋_GB2312" w:cstheme="minorBidi"/>
              <w:sz w:val="28"/>
              <w:szCs w:val="28"/>
            </w:rPr>
            <w:t>七、其他重要事项说明</w:t>
          </w:r>
          <w:r>
            <w:rPr>
              <w:rFonts w:hint="eastAsia" w:ascii="仿宋_GB2312" w:eastAsia="仿宋_GB2312"/>
              <w:sz w:val="28"/>
              <w:szCs w:val="28"/>
            </w:rPr>
            <w:tab/>
          </w:r>
          <w:bookmarkStart w:id="21" w:name="_Toc11272_WPSOffice_Level2Page"/>
          <w:r>
            <w:rPr>
              <w:rFonts w:hint="eastAsia" w:ascii="仿宋_GB2312" w:eastAsia="仿宋_GB2312"/>
              <w:sz w:val="28"/>
              <w:szCs w:val="28"/>
            </w:rPr>
            <w:t>18</w:t>
          </w:r>
          <w:bookmarkEnd w:id="21"/>
          <w:r>
            <w:rPr>
              <w:rFonts w:hint="eastAsia" w:ascii="仿宋_GB2312" w:eastAsia="仿宋_GB2312"/>
              <w:sz w:val="28"/>
              <w:szCs w:val="28"/>
            </w:rPr>
            <w:fldChar w:fldCharType="end"/>
          </w:r>
        </w:p>
        <w:p>
          <w:pPr>
            <w:pStyle w:val="16"/>
            <w:tabs>
              <w:tab w:val="right" w:leader="dot" w:pos="8306"/>
            </w:tabs>
            <w:spacing w:line="520" w:lineRule="exact"/>
          </w:pPr>
          <w:r>
            <w:fldChar w:fldCharType="begin"/>
          </w:r>
          <w:r>
            <w:instrText xml:space="preserve"> HYPERLINK \l "_Toc29228_WPSOffice_Level1" </w:instrText>
          </w:r>
          <w:r>
            <w:fldChar w:fldCharType="separate"/>
          </w:r>
          <w:r>
            <w:rPr>
              <w:rFonts w:hint="eastAsia" w:ascii="仿宋_GB2312" w:eastAsia="仿宋_GB2312" w:hAnsiTheme="majorEastAsia" w:cstheme="minorBidi"/>
              <w:b/>
              <w:bCs/>
              <w:sz w:val="28"/>
              <w:szCs w:val="28"/>
            </w:rPr>
            <w:t>第四部分 名词解释</w:t>
          </w:r>
          <w:r>
            <w:rPr>
              <w:rFonts w:hint="eastAsia" w:ascii="仿宋_GB2312" w:eastAsia="仿宋_GB2312"/>
              <w:b/>
              <w:bCs/>
              <w:sz w:val="28"/>
              <w:szCs w:val="28"/>
            </w:rPr>
            <w:tab/>
          </w:r>
          <w:bookmarkStart w:id="22" w:name="_Toc29228_WPSOffice_Level1Page"/>
          <w:r>
            <w:rPr>
              <w:rFonts w:hint="eastAsia" w:ascii="仿宋_GB2312" w:eastAsia="仿宋_GB2312"/>
              <w:b/>
              <w:bCs/>
              <w:sz w:val="28"/>
              <w:szCs w:val="28"/>
            </w:rPr>
            <w:t>19</w:t>
          </w:r>
          <w:bookmarkEnd w:id="22"/>
          <w:r>
            <w:rPr>
              <w:rFonts w:hint="eastAsia" w:ascii="仿宋_GB2312" w:eastAsia="仿宋_GB2312"/>
              <w:b/>
              <w:bCs/>
              <w:sz w:val="28"/>
              <w:szCs w:val="28"/>
            </w:rPr>
            <w:fldChar w:fldCharType="end"/>
          </w:r>
        </w:p>
      </w:sdtContent>
    </w:sdt>
    <w:p>
      <w:pPr>
        <w:widowControl/>
        <w:outlineLvl w:val="1"/>
        <w:rPr>
          <w:sz w:val="24"/>
          <w:szCs w:val="24"/>
        </w:rPr>
      </w:pPr>
    </w:p>
    <w:p>
      <w:pPr>
        <w:widowControl/>
        <w:spacing w:line="240" w:lineRule="auto"/>
        <w:jc w:val="left"/>
        <w:rPr>
          <w:rFonts w:ascii="黑体" w:hAnsi="黑体" w:eastAsia="黑体" w:cs="Times New Roman"/>
          <w:kern w:val="0"/>
          <w:sz w:val="24"/>
          <w:szCs w:val="24"/>
        </w:rPr>
      </w:pPr>
      <w:r>
        <w:rPr>
          <w:rFonts w:ascii="黑体" w:hAnsi="黑体" w:eastAsia="黑体"/>
          <w:sz w:val="24"/>
          <w:szCs w:val="24"/>
        </w:rPr>
        <w:br w:type="page"/>
      </w:r>
    </w:p>
    <w:p>
      <w:pPr>
        <w:pStyle w:val="4"/>
        <w:jc w:val="center"/>
        <w:outlineLvl w:val="0"/>
        <w:rPr>
          <w:rFonts w:ascii="黑体" w:hAnsi="黑体" w:eastAsia="黑体"/>
          <w:sz w:val="36"/>
          <w:szCs w:val="36"/>
          <w:lang w:eastAsia="zh-CN"/>
        </w:rPr>
      </w:pPr>
      <w:bookmarkStart w:id="23" w:name="_Toc14120_WPSOffice_Level1"/>
      <w:r>
        <w:rPr>
          <w:rFonts w:hint="eastAsia" w:ascii="黑体" w:hAnsi="黑体" w:eastAsia="黑体"/>
          <w:sz w:val="36"/>
          <w:szCs w:val="36"/>
          <w:lang w:eastAsia="zh-CN"/>
        </w:rPr>
        <w:t>第一部分 部门概况</w:t>
      </w:r>
      <w:bookmarkEnd w:id="23"/>
    </w:p>
    <w:p>
      <w:pPr>
        <w:pStyle w:val="4"/>
        <w:rPr>
          <w:rFonts w:ascii="黑体" w:hAnsi="黑体" w:eastAsia="黑体"/>
          <w:sz w:val="36"/>
          <w:szCs w:val="36"/>
          <w:lang w:eastAsia="zh-CN"/>
        </w:rPr>
      </w:pPr>
    </w:p>
    <w:p>
      <w:pPr>
        <w:pStyle w:val="4"/>
        <w:outlineLvl w:val="1"/>
        <w:rPr>
          <w:rFonts w:ascii="仿宋" w:hAnsi="仿宋" w:eastAsia="仿宋" w:cstheme="minorBidi"/>
          <w:b/>
          <w:kern w:val="2"/>
          <w:sz w:val="32"/>
          <w:szCs w:val="32"/>
          <w:lang w:eastAsia="zh-CN"/>
        </w:rPr>
      </w:pPr>
      <w:bookmarkStart w:id="24" w:name="_Toc24052_WPSOffice_Level2"/>
      <w:r>
        <w:rPr>
          <w:rFonts w:hint="eastAsia" w:ascii="仿宋" w:hAnsi="仿宋" w:eastAsia="仿宋" w:cstheme="minorBidi"/>
          <w:b/>
          <w:kern w:val="2"/>
          <w:sz w:val="32"/>
          <w:szCs w:val="32"/>
          <w:lang w:eastAsia="zh-CN"/>
        </w:rPr>
        <w:t>一、部门主要职责</w:t>
      </w:r>
      <w:bookmarkEnd w:id="24"/>
    </w:p>
    <w:p>
      <w:pPr>
        <w:pStyle w:val="2"/>
        <w:spacing w:line="580" w:lineRule="exact"/>
        <w:ind w:firstLine="0" w:firstLineChars="0"/>
        <w:rPr>
          <w:rFonts w:ascii="仿宋_GB2312" w:hAnsi="仿宋_GB2312" w:cs="仿宋_GB2312"/>
          <w:bCs/>
          <w:sz w:val="32"/>
          <w:szCs w:val="32"/>
        </w:rPr>
      </w:pPr>
      <w:r>
        <w:rPr>
          <w:rFonts w:hint="eastAsia" w:ascii="仿宋_GB2312" w:hAnsi="仿宋_GB2312" w:cs="仿宋_GB2312"/>
          <w:bCs/>
          <w:sz w:val="32"/>
          <w:szCs w:val="32"/>
        </w:rPr>
        <w:t>蓝溪镇人民政府的主要职责是：</w:t>
      </w:r>
    </w:p>
    <w:p>
      <w:pPr>
        <w:pStyle w:val="2"/>
        <w:spacing w:line="580" w:lineRule="exact"/>
        <w:ind w:firstLine="640"/>
        <w:rPr>
          <w:rFonts w:ascii="仿宋_GB2312" w:hAnsi="仿宋_GB2312" w:cs="仿宋_GB2312"/>
          <w:bCs/>
          <w:sz w:val="32"/>
          <w:szCs w:val="32"/>
        </w:rPr>
      </w:pPr>
      <w:r>
        <w:rPr>
          <w:rFonts w:hint="eastAsia" w:ascii="仿宋_GB2312" w:hAnsi="仿宋_GB2312" w:cs="仿宋_GB2312"/>
          <w:bCs/>
          <w:sz w:val="32"/>
          <w:szCs w:val="32"/>
        </w:rPr>
        <w:t>1、执行本级人民代表大会的决议和上级国家行政机关的决定和命令，发布决定和命令;</w:t>
      </w:r>
    </w:p>
    <w:p>
      <w:pPr>
        <w:pStyle w:val="2"/>
        <w:spacing w:line="580" w:lineRule="exact"/>
        <w:ind w:firstLine="640"/>
        <w:rPr>
          <w:rFonts w:ascii="仿宋_GB2312" w:hAnsi="仿宋_GB2312" w:cs="仿宋_GB2312"/>
          <w:bCs/>
          <w:sz w:val="32"/>
          <w:szCs w:val="32"/>
        </w:rPr>
      </w:pPr>
      <w:r>
        <w:rPr>
          <w:rFonts w:hint="eastAsia" w:ascii="仿宋_GB2312" w:hAnsi="仿宋_GB2312" w:cs="仿宋_GB2312"/>
          <w:bCs/>
          <w:sz w:val="32"/>
          <w:szCs w:val="32"/>
        </w:rPr>
        <w:t>2、执行本行政区域内的经济和社会发展计划、预算，管理本行政区域内的经济、教育、科学、文化、卫生、体育事业和财政、民政、综治、司法行政等行政工作;</w:t>
      </w:r>
    </w:p>
    <w:p>
      <w:pPr>
        <w:pStyle w:val="2"/>
        <w:spacing w:line="580" w:lineRule="exact"/>
        <w:ind w:firstLine="640"/>
        <w:rPr>
          <w:rFonts w:ascii="仿宋_GB2312" w:hAnsi="仿宋_GB2312" w:cs="仿宋_GB2312"/>
          <w:bCs/>
          <w:sz w:val="32"/>
          <w:szCs w:val="32"/>
        </w:rPr>
      </w:pPr>
      <w:r>
        <w:rPr>
          <w:rFonts w:hint="eastAsia" w:ascii="仿宋_GB2312" w:hAnsi="仿宋_GB2312" w:cs="仿宋_GB2312"/>
          <w:bCs/>
          <w:sz w:val="32"/>
          <w:szCs w:val="32"/>
        </w:rPr>
        <w:t>　3、保护社会主义的全民所有的财产和劳动群众集体所有的财产，保护公民私人所有的合法财产，维护社会秩序，保障公民的人身权利、民主权利和其他权利;</w:t>
      </w:r>
    </w:p>
    <w:p>
      <w:pPr>
        <w:pStyle w:val="2"/>
        <w:spacing w:line="580" w:lineRule="exact"/>
        <w:ind w:firstLine="640"/>
        <w:rPr>
          <w:rFonts w:ascii="仿宋_GB2312" w:hAnsi="仿宋_GB2312" w:cs="仿宋_GB2312"/>
          <w:bCs/>
          <w:sz w:val="32"/>
          <w:szCs w:val="32"/>
        </w:rPr>
      </w:pPr>
      <w:r>
        <w:rPr>
          <w:rFonts w:hint="eastAsia" w:ascii="仿宋_GB2312" w:hAnsi="仿宋_GB2312" w:cs="仿宋_GB2312"/>
          <w:bCs/>
          <w:sz w:val="32"/>
          <w:szCs w:val="32"/>
        </w:rPr>
        <w:t>4、保护各种经济组织的合法权益;</w:t>
      </w:r>
    </w:p>
    <w:p>
      <w:pPr>
        <w:pStyle w:val="2"/>
        <w:spacing w:line="580" w:lineRule="exact"/>
        <w:ind w:firstLine="640"/>
        <w:rPr>
          <w:rFonts w:ascii="仿宋_GB2312" w:hAnsi="仿宋_GB2312" w:cs="仿宋_GB2312"/>
          <w:bCs/>
          <w:sz w:val="32"/>
          <w:szCs w:val="32"/>
        </w:rPr>
      </w:pPr>
      <w:r>
        <w:rPr>
          <w:rFonts w:hint="eastAsia" w:ascii="仿宋_GB2312" w:hAnsi="仿宋_GB2312" w:cs="仿宋_GB2312"/>
          <w:bCs/>
          <w:sz w:val="32"/>
          <w:szCs w:val="32"/>
        </w:rPr>
        <w:t>5、保障少数民族的权利和尊重少数民族的风俗习惯;</w:t>
      </w:r>
    </w:p>
    <w:p>
      <w:pPr>
        <w:pStyle w:val="2"/>
        <w:spacing w:line="580" w:lineRule="exact"/>
        <w:ind w:firstLine="640"/>
        <w:rPr>
          <w:rFonts w:ascii="仿宋_GB2312" w:hAnsi="仿宋_GB2312" w:cs="仿宋_GB2312"/>
          <w:bCs/>
          <w:sz w:val="32"/>
          <w:szCs w:val="32"/>
        </w:rPr>
      </w:pPr>
      <w:r>
        <w:rPr>
          <w:rFonts w:hint="eastAsia" w:ascii="仿宋_GB2312" w:hAnsi="仿宋_GB2312" w:cs="仿宋_GB2312"/>
          <w:bCs/>
          <w:sz w:val="32"/>
          <w:szCs w:val="32"/>
        </w:rPr>
        <w:t>6、办理上级县委、县政府政府交办的其他事项。</w:t>
      </w:r>
    </w:p>
    <w:p>
      <w:pPr>
        <w:pStyle w:val="4"/>
        <w:outlineLvl w:val="1"/>
        <w:rPr>
          <w:rFonts w:ascii="仿宋" w:hAnsi="仿宋" w:eastAsia="仿宋" w:cstheme="minorBidi"/>
          <w:b/>
          <w:kern w:val="2"/>
          <w:sz w:val="32"/>
          <w:szCs w:val="32"/>
          <w:lang w:eastAsia="zh-CN"/>
        </w:rPr>
      </w:pPr>
      <w:bookmarkStart w:id="25" w:name="_Toc25893_WPSOffice_Level2"/>
      <w:r>
        <w:rPr>
          <w:rFonts w:hint="eastAsia" w:ascii="仿宋" w:hAnsi="仿宋" w:eastAsia="仿宋" w:cstheme="minorBidi"/>
          <w:b/>
          <w:kern w:val="2"/>
          <w:sz w:val="32"/>
          <w:szCs w:val="32"/>
          <w:lang w:eastAsia="zh-CN"/>
        </w:rPr>
        <w:t>二、部门预算单位构成</w:t>
      </w:r>
      <w:bookmarkEnd w:id="25"/>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从预算单位构成看，上杭县蓝溪镇人民政府编制共计60个（</w:t>
      </w:r>
      <w:r>
        <w:rPr>
          <w:rFonts w:hint="eastAsia" w:ascii="仿宋" w:hAnsi="仿宋" w:eastAsia="仿宋"/>
          <w:sz w:val="32"/>
          <w:szCs w:val="32"/>
        </w:rPr>
        <w:t>行政编制23个，事业编制37个</w:t>
      </w:r>
      <w:r>
        <w:rPr>
          <w:rFonts w:hint="eastAsia" w:ascii="仿宋" w:hAnsi="仿宋" w:eastAsia="仿宋" w:cs="仿宋_GB2312"/>
          <w:sz w:val="32"/>
          <w:szCs w:val="32"/>
        </w:rPr>
        <w:t>）</w:t>
      </w:r>
      <w:r>
        <w:rPr>
          <w:rFonts w:hint="eastAsia" w:ascii="仿宋" w:hAnsi="仿宋" w:eastAsia="仿宋"/>
          <w:sz w:val="32"/>
          <w:szCs w:val="32"/>
        </w:rPr>
        <w:t>，详细情况见下表:</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30"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131"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人员编制数</w:t>
            </w:r>
          </w:p>
        </w:tc>
        <w:tc>
          <w:tcPr>
            <w:tcW w:w="2131"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2130" w:type="dxa"/>
            <w:shd w:val="clear" w:color="auto" w:fill="auto"/>
          </w:tcPr>
          <w:p>
            <w:pPr>
              <w:tabs>
                <w:tab w:val="left" w:pos="7513"/>
              </w:tabs>
              <w:adjustRightInd w:val="0"/>
              <w:snapToGrid w:val="0"/>
              <w:spacing w:line="360" w:lineRule="auto"/>
              <w:rPr>
                <w:rFonts w:ascii="仿宋" w:hAnsi="仿宋" w:eastAsia="仿宋"/>
                <w:sz w:val="32"/>
                <w:szCs w:val="32"/>
              </w:rPr>
            </w:pPr>
            <w:r>
              <w:rPr>
                <w:rFonts w:hint="eastAsia" w:ascii="仿宋" w:hAnsi="仿宋" w:eastAsia="仿宋" w:cs="仿宋_GB2312"/>
                <w:sz w:val="32"/>
                <w:szCs w:val="32"/>
              </w:rPr>
              <w:t>上杭县蓝溪镇人民政府（行政编制）</w:t>
            </w:r>
          </w:p>
        </w:tc>
        <w:tc>
          <w:tcPr>
            <w:tcW w:w="2130" w:type="dxa"/>
            <w:shd w:val="clear" w:color="auto" w:fill="auto"/>
          </w:tcPr>
          <w:p>
            <w:pPr>
              <w:tabs>
                <w:tab w:val="left" w:pos="7513"/>
              </w:tabs>
              <w:adjustRightInd w:val="0"/>
              <w:snapToGrid w:val="0"/>
              <w:spacing w:line="360" w:lineRule="auto"/>
              <w:ind w:left="420"/>
              <w:rPr>
                <w:rFonts w:ascii="仿宋" w:hAnsi="仿宋" w:eastAsia="仿宋"/>
                <w:sz w:val="32"/>
                <w:szCs w:val="32"/>
              </w:rPr>
            </w:pPr>
            <w:r>
              <w:rPr>
                <w:rFonts w:hint="eastAsia" w:ascii="仿宋" w:hAnsi="仿宋" w:eastAsia="仿宋" w:cs="仿宋_GB2312"/>
                <w:sz w:val="32"/>
                <w:szCs w:val="32"/>
              </w:rPr>
              <w:t>财政核拨</w:t>
            </w:r>
          </w:p>
        </w:tc>
        <w:tc>
          <w:tcPr>
            <w:tcW w:w="2131" w:type="dxa"/>
            <w:shd w:val="clear" w:color="auto" w:fill="auto"/>
          </w:tcPr>
          <w:p>
            <w:pPr>
              <w:tabs>
                <w:tab w:val="left" w:pos="7513"/>
              </w:tabs>
              <w:adjustRightInd w:val="0"/>
              <w:snapToGrid w:val="0"/>
              <w:spacing w:line="360" w:lineRule="auto"/>
              <w:rPr>
                <w:rFonts w:ascii="仿宋" w:hAnsi="仿宋" w:eastAsia="仿宋"/>
                <w:sz w:val="32"/>
                <w:szCs w:val="32"/>
              </w:rPr>
            </w:pPr>
            <w:r>
              <w:rPr>
                <w:rFonts w:hint="eastAsia" w:ascii="仿宋" w:hAnsi="仿宋" w:eastAsia="仿宋" w:cs="仿宋_GB2312"/>
                <w:sz w:val="32"/>
                <w:szCs w:val="32"/>
              </w:rPr>
              <w:t>23</w:t>
            </w:r>
          </w:p>
        </w:tc>
        <w:tc>
          <w:tcPr>
            <w:tcW w:w="2131" w:type="dxa"/>
            <w:shd w:val="clear" w:color="auto" w:fill="auto"/>
          </w:tcPr>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130" w:type="dxa"/>
            <w:shd w:val="clear" w:color="auto" w:fill="auto"/>
          </w:tcPr>
          <w:p>
            <w:pPr>
              <w:tabs>
                <w:tab w:val="left" w:pos="7513"/>
              </w:tabs>
              <w:adjustRightInd w:val="0"/>
              <w:snapToGrid w:val="0"/>
              <w:spacing w:line="360" w:lineRule="auto"/>
              <w:rPr>
                <w:rFonts w:ascii="仿宋" w:hAnsi="仿宋" w:eastAsia="仿宋"/>
                <w:sz w:val="32"/>
                <w:szCs w:val="32"/>
              </w:rPr>
            </w:pPr>
            <w:r>
              <w:rPr>
                <w:rFonts w:hint="eastAsia" w:ascii="仿宋" w:hAnsi="仿宋" w:eastAsia="仿宋" w:cs="仿宋_GB2312"/>
                <w:sz w:val="32"/>
                <w:szCs w:val="32"/>
              </w:rPr>
              <w:t>上杭县蓝溪镇人民政府（事业编制）</w:t>
            </w:r>
          </w:p>
        </w:tc>
        <w:tc>
          <w:tcPr>
            <w:tcW w:w="2130" w:type="dxa"/>
            <w:shd w:val="clear" w:color="auto" w:fill="auto"/>
          </w:tcPr>
          <w:p>
            <w:pPr>
              <w:tabs>
                <w:tab w:val="left" w:pos="7513"/>
              </w:tabs>
              <w:adjustRightInd w:val="0"/>
              <w:snapToGrid w:val="0"/>
              <w:spacing w:line="360" w:lineRule="auto"/>
              <w:ind w:left="420"/>
              <w:rPr>
                <w:rFonts w:ascii="仿宋" w:hAnsi="仿宋" w:eastAsia="仿宋"/>
                <w:sz w:val="32"/>
                <w:szCs w:val="32"/>
              </w:rPr>
            </w:pPr>
            <w:r>
              <w:rPr>
                <w:rFonts w:hint="eastAsia" w:ascii="仿宋" w:hAnsi="仿宋" w:eastAsia="仿宋" w:cs="仿宋_GB2312"/>
                <w:sz w:val="32"/>
                <w:szCs w:val="32"/>
              </w:rPr>
              <w:t>财政核拨</w:t>
            </w:r>
          </w:p>
        </w:tc>
        <w:tc>
          <w:tcPr>
            <w:tcW w:w="2131" w:type="dxa"/>
            <w:shd w:val="clear" w:color="auto" w:fill="auto"/>
          </w:tcPr>
          <w:p>
            <w:pPr>
              <w:tabs>
                <w:tab w:val="left" w:pos="7513"/>
              </w:tabs>
              <w:adjustRightInd w:val="0"/>
              <w:snapToGrid w:val="0"/>
              <w:spacing w:line="360" w:lineRule="auto"/>
              <w:rPr>
                <w:rFonts w:ascii="仿宋" w:hAnsi="仿宋" w:eastAsia="仿宋"/>
                <w:sz w:val="32"/>
                <w:szCs w:val="32"/>
              </w:rPr>
            </w:pPr>
            <w:r>
              <w:rPr>
                <w:rFonts w:hint="eastAsia" w:ascii="仿宋" w:hAnsi="仿宋" w:eastAsia="仿宋"/>
                <w:sz w:val="32"/>
                <w:szCs w:val="32"/>
              </w:rPr>
              <w:t>37</w:t>
            </w:r>
          </w:p>
        </w:tc>
        <w:tc>
          <w:tcPr>
            <w:tcW w:w="2131" w:type="dxa"/>
            <w:shd w:val="clear" w:color="auto" w:fill="auto"/>
          </w:tcPr>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21</w:t>
            </w:r>
          </w:p>
        </w:tc>
      </w:tr>
    </w:tbl>
    <w:p>
      <w:pPr>
        <w:tabs>
          <w:tab w:val="left" w:pos="7513"/>
        </w:tabs>
        <w:adjustRightInd w:val="0"/>
        <w:snapToGrid w:val="0"/>
        <w:spacing w:line="600" w:lineRule="exact"/>
        <w:rPr>
          <w:rFonts w:cs="Times New Roman" w:asciiTheme="majorEastAsia" w:hAnsiTheme="majorEastAsia" w:eastAsiaTheme="majorEastAsia"/>
          <w:kern w:val="0"/>
          <w:sz w:val="36"/>
          <w:szCs w:val="20"/>
        </w:rPr>
      </w:pPr>
    </w:p>
    <w:p>
      <w:pPr>
        <w:tabs>
          <w:tab w:val="left" w:pos="7513"/>
        </w:tabs>
        <w:adjustRightInd w:val="0"/>
        <w:snapToGrid w:val="0"/>
        <w:spacing w:line="600" w:lineRule="exact"/>
        <w:outlineLvl w:val="1"/>
        <w:rPr>
          <w:rFonts w:ascii="仿宋" w:hAnsi="仿宋" w:eastAsia="仿宋"/>
          <w:b/>
          <w:sz w:val="32"/>
          <w:szCs w:val="32"/>
        </w:rPr>
      </w:pPr>
      <w:bookmarkStart w:id="26" w:name="_Toc29228_WPSOffice_Level2"/>
      <w:r>
        <w:rPr>
          <w:rFonts w:hint="eastAsia" w:ascii="仿宋" w:hAnsi="仿宋" w:eastAsia="仿宋"/>
          <w:b/>
          <w:sz w:val="32"/>
          <w:szCs w:val="32"/>
        </w:rPr>
        <w:t>三、部门主要工作任务</w:t>
      </w:r>
      <w:bookmarkEnd w:id="26"/>
    </w:p>
    <w:p>
      <w:pPr>
        <w:pStyle w:val="2"/>
        <w:spacing w:line="580" w:lineRule="exact"/>
        <w:ind w:firstLine="640"/>
        <w:rPr>
          <w:rFonts w:ascii="仿宋_GB2312" w:hAnsi="仿宋_GB2312" w:cs="仿宋_GB2312"/>
          <w:bCs/>
          <w:sz w:val="32"/>
          <w:szCs w:val="32"/>
        </w:rPr>
      </w:pPr>
      <w:r>
        <w:rPr>
          <w:rFonts w:hint="eastAsia" w:ascii="仿宋_GB2312" w:hAnsi="仿宋_GB2312" w:cs="仿宋_GB2312"/>
          <w:bCs/>
          <w:sz w:val="32"/>
          <w:szCs w:val="32"/>
        </w:rPr>
        <w:t>2023年，上杭县蓝溪镇人民政府主要任务是：贯彻执行党和国家的有关方针、政策、法律和法规。围绕上述任务，重点抓好以下工作：</w:t>
      </w:r>
    </w:p>
    <w:p>
      <w:pPr>
        <w:pBdr>
          <w:bottom w:val="single" w:color="FFFFFF" w:sz="4" w:space="31"/>
        </w:pBdr>
        <w:tabs>
          <w:tab w:val="left" w:pos="1440"/>
        </w:tabs>
        <w:adjustRightInd w:val="0"/>
        <w:snapToGrid w:val="0"/>
        <w:spacing w:line="540" w:lineRule="exact"/>
        <w:ind w:firstLine="643" w:firstLineChars="200"/>
        <w:rPr>
          <w:rFonts w:ascii="Times New Roman" w:hAnsi="Times New Roman" w:eastAsia="楷体_GB2312" w:cs="Times New Roman"/>
          <w:b/>
          <w:bCs/>
          <w:sz w:val="32"/>
          <w:szCs w:val="32"/>
          <w:shd w:val="clear" w:color="auto" w:fill="FFFFFF"/>
        </w:rPr>
      </w:pPr>
      <w:r>
        <w:rPr>
          <w:rFonts w:hint="eastAsia" w:ascii="Times New Roman" w:hAnsi="Times New Roman" w:eastAsia="楷体_GB2312" w:cs="Times New Roman"/>
          <w:b/>
          <w:bCs/>
          <w:sz w:val="32"/>
          <w:szCs w:val="32"/>
          <w:shd w:val="clear" w:color="auto" w:fill="FFFFFF"/>
        </w:rPr>
        <w:t>(一)、立足资源禀赋，坚持产业向优发展做示范</w:t>
      </w:r>
    </w:p>
    <w:p>
      <w:pPr>
        <w:pBdr>
          <w:bottom w:val="single" w:color="FFFFFF" w:sz="4" w:space="31"/>
        </w:pBdr>
        <w:tabs>
          <w:tab w:val="left" w:pos="1440"/>
        </w:tabs>
        <w:adjustRightInd w:val="0"/>
        <w:snapToGrid w:val="0"/>
        <w:spacing w:line="540" w:lineRule="exact"/>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1.壮大优势产业。</w:t>
      </w:r>
      <w:r>
        <w:rPr>
          <w:rFonts w:hint="eastAsia" w:ascii="仿宋_GB2312" w:hAnsi="仿宋_GB2312" w:eastAsia="仿宋_GB2312" w:cs="仿宋_GB2312"/>
          <w:sz w:val="32"/>
          <w:szCs w:val="32"/>
          <w:shd w:val="clear" w:color="auto" w:fill="FFFFFF"/>
        </w:rPr>
        <w:t>瞄准定位，在稳产稳粮基础上，以烟稳粮，以烟养田，</w:t>
      </w:r>
      <w:r>
        <w:rPr>
          <w:rFonts w:ascii="仿宋_GB2312" w:hAnsi="仿宋_GB2312" w:eastAsia="仿宋_GB2312" w:cs="仿宋_GB2312"/>
          <w:sz w:val="32"/>
          <w:szCs w:val="32"/>
          <w:shd w:val="clear" w:color="auto" w:fill="FFFFFF"/>
        </w:rPr>
        <w:t>重点推进</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烟后稻</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模式，鼓励引导农户烟叶管护摘烤后，扩面种植水稻，既增加收入，又促进粮食增产</w:t>
      </w:r>
      <w:r>
        <w:rPr>
          <w:rFonts w:hint="eastAsia" w:ascii="仿宋_GB2312" w:hAnsi="仿宋_GB2312" w:eastAsia="仿宋_GB2312" w:cs="仿宋_GB2312"/>
          <w:sz w:val="32"/>
          <w:szCs w:val="32"/>
          <w:shd w:val="clear" w:color="auto" w:fill="FFFFFF"/>
        </w:rPr>
        <w:t>。加大农业支持保护力度，依托现有优势企业，不断做大特色农业产业。</w:t>
      </w:r>
    </w:p>
    <w:p>
      <w:pPr>
        <w:pBdr>
          <w:bottom w:val="single" w:color="FFFFFF" w:sz="4" w:space="31"/>
        </w:pBdr>
        <w:tabs>
          <w:tab w:val="left" w:pos="1440"/>
        </w:tabs>
        <w:adjustRightInd w:val="0"/>
        <w:snapToGrid w:val="0"/>
        <w:spacing w:line="540" w:lineRule="exact"/>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2.强化招商引资。</w:t>
      </w:r>
      <w:r>
        <w:rPr>
          <w:rFonts w:hint="eastAsia" w:ascii="仿宋_GB2312" w:hAnsi="仿宋_GB2312" w:eastAsia="仿宋_GB2312" w:cs="仿宋_GB2312"/>
          <w:sz w:val="32"/>
          <w:szCs w:val="32"/>
          <w:shd w:val="clear" w:color="auto" w:fill="FFFFFF"/>
        </w:rPr>
        <w:t>不断增强工业化思维，深入坚持“大抓招商、大抓产业、大抓项目”，持续</w:t>
      </w:r>
      <w:r>
        <w:rPr>
          <w:rFonts w:ascii="仿宋_GB2312" w:hAnsi="仿宋_GB2312" w:eastAsia="仿宋_GB2312" w:cs="仿宋_GB2312"/>
          <w:sz w:val="32"/>
          <w:szCs w:val="32"/>
          <w:shd w:val="clear" w:color="auto" w:fill="FFFFFF"/>
        </w:rPr>
        <w:t>抓好限上企业入库工作，不断培育和壮大准限上企业规模，加大</w:t>
      </w:r>
      <w:r>
        <w:rPr>
          <w:rFonts w:hint="eastAsia" w:ascii="仿宋_GB2312" w:hAnsi="仿宋_GB2312" w:eastAsia="仿宋_GB2312" w:cs="仿宋_GB2312"/>
          <w:sz w:val="32"/>
          <w:szCs w:val="32"/>
          <w:shd w:val="clear" w:color="auto" w:fill="FFFFFF"/>
        </w:rPr>
        <w:t>对工业化企业、项目的</w:t>
      </w:r>
      <w:r>
        <w:rPr>
          <w:rFonts w:ascii="仿宋_GB2312" w:hAnsi="仿宋_GB2312" w:eastAsia="仿宋_GB2312" w:cs="仿宋_GB2312"/>
          <w:sz w:val="32"/>
          <w:szCs w:val="32"/>
          <w:shd w:val="clear" w:color="auto" w:fill="FFFFFF"/>
        </w:rPr>
        <w:t>招商引资力度，争取项目落地，增加财政收入。</w:t>
      </w:r>
    </w:p>
    <w:p>
      <w:pPr>
        <w:pBdr>
          <w:bottom w:val="single" w:color="FFFFFF" w:sz="4" w:space="31"/>
        </w:pBdr>
        <w:tabs>
          <w:tab w:val="left" w:pos="1440"/>
        </w:tabs>
        <w:adjustRightInd w:val="0"/>
        <w:snapToGrid w:val="0"/>
        <w:spacing w:line="540" w:lineRule="exact"/>
        <w:ind w:firstLine="643" w:firstLineChars="200"/>
        <w:rPr>
          <w:rFonts w:ascii="Times New Roman" w:hAnsi="Times New Roman" w:eastAsia="楷体_GB2312" w:cs="Times New Roman"/>
          <w:b/>
          <w:bCs/>
          <w:sz w:val="32"/>
          <w:szCs w:val="32"/>
          <w:shd w:val="clear" w:color="auto" w:fill="FFFFFF"/>
        </w:rPr>
      </w:pPr>
      <w:r>
        <w:rPr>
          <w:rFonts w:hint="eastAsia" w:ascii="Times New Roman" w:hAnsi="Times New Roman" w:eastAsia="楷体_GB2312" w:cs="Times New Roman"/>
          <w:b/>
          <w:bCs/>
          <w:sz w:val="32"/>
          <w:szCs w:val="32"/>
          <w:shd w:val="clear" w:color="auto" w:fill="FFFFFF"/>
        </w:rPr>
        <w:t>(二)、提升民生福祉，坚持民生服务保障做示范</w:t>
      </w:r>
    </w:p>
    <w:p>
      <w:pPr>
        <w:pBdr>
          <w:bottom w:val="single" w:color="FFFFFF" w:sz="4" w:space="31"/>
        </w:pBdr>
        <w:tabs>
          <w:tab w:val="left" w:pos="1440"/>
        </w:tabs>
        <w:adjustRightInd w:val="0"/>
        <w:snapToGrid w:val="0"/>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坚持民生为本，共建共享，对照民生需求，办理民生实事，落实民生项目，加大财政力度，加快基础设施补短板，深入推进农村违法乱占耕地及建房整治，推进区域性道路、水利设施建设，打通制约瓶颈。</w:t>
      </w:r>
    </w:p>
    <w:p>
      <w:pPr>
        <w:pBdr>
          <w:bottom w:val="single" w:color="FFFFFF" w:sz="4" w:space="31"/>
        </w:pBdr>
        <w:tabs>
          <w:tab w:val="left" w:pos="1440"/>
        </w:tabs>
        <w:adjustRightInd w:val="0"/>
        <w:snapToGrid w:val="0"/>
        <w:spacing w:line="540" w:lineRule="exact"/>
        <w:ind w:firstLine="643" w:firstLineChars="200"/>
      </w:pPr>
      <w:r>
        <w:rPr>
          <w:rFonts w:hint="eastAsia" w:ascii="仿宋_GB2312" w:hAnsi="仿宋_GB2312" w:eastAsia="仿宋_GB2312" w:cs="仿宋_GB2312"/>
          <w:b/>
          <w:bCs/>
          <w:sz w:val="32"/>
          <w:szCs w:val="32"/>
          <w:shd w:val="clear" w:color="auto" w:fill="FFFFFF"/>
        </w:rPr>
        <w:t>(</w:t>
      </w:r>
      <w:r>
        <w:rPr>
          <w:rFonts w:hint="eastAsia" w:ascii="Times New Roman" w:hAnsi="Times New Roman" w:eastAsia="楷体_GB2312" w:cs="Times New Roman"/>
          <w:b/>
          <w:bCs/>
          <w:sz w:val="32"/>
          <w:szCs w:val="32"/>
          <w:shd w:val="clear" w:color="auto" w:fill="FFFFFF"/>
        </w:rPr>
        <w:t>三</w:t>
      </w:r>
      <w:r>
        <w:rPr>
          <w:rFonts w:hint="eastAsia" w:ascii="仿宋_GB2312" w:hAnsi="仿宋_GB2312" w:eastAsia="仿宋_GB2312" w:cs="仿宋_GB2312"/>
          <w:b/>
          <w:bCs/>
          <w:sz w:val="32"/>
          <w:szCs w:val="32"/>
          <w:shd w:val="clear" w:color="auto" w:fill="FFFFFF"/>
        </w:rPr>
        <w:t>)</w:t>
      </w:r>
      <w:r>
        <w:rPr>
          <w:rFonts w:hint="eastAsia" w:ascii="Times New Roman" w:hAnsi="Times New Roman" w:eastAsia="楷体_GB2312" w:cs="Times New Roman"/>
          <w:b/>
          <w:bCs/>
          <w:sz w:val="32"/>
          <w:szCs w:val="32"/>
          <w:shd w:val="clear" w:color="auto" w:fill="FFFFFF"/>
        </w:rPr>
        <w:t>、共享发展成果，坚持共同富裕做示范</w:t>
      </w:r>
    </w:p>
    <w:p>
      <w:pPr>
        <w:pBdr>
          <w:bottom w:val="single" w:color="FFFFFF" w:sz="4" w:space="31"/>
        </w:pBdr>
        <w:tabs>
          <w:tab w:val="left" w:pos="1440"/>
        </w:tabs>
        <w:adjustRightInd w:val="0"/>
        <w:snapToGrid w:val="0"/>
        <w:spacing w:line="540" w:lineRule="exact"/>
        <w:ind w:firstLine="643" w:firstLineChars="200"/>
        <w:rPr>
          <w:rFonts w:ascii="仿宋_GB2312" w:hAnsi="仿宋_GB2312" w:eastAsia="仿宋_GB2312" w:cs="仿宋_GB2312"/>
          <w:sz w:val="32"/>
          <w:szCs w:val="32"/>
          <w:shd w:val="clear" w:color="auto" w:fill="FFFFFF"/>
        </w:rPr>
      </w:pPr>
      <w:r>
        <w:rPr>
          <w:rFonts w:hint="eastAsia" w:ascii="Times New Roman" w:hAnsi="Times New Roman" w:eastAsia="楷体_GB2312" w:cs="Times New Roman"/>
          <w:b/>
          <w:bCs/>
          <w:sz w:val="32"/>
          <w:szCs w:val="32"/>
          <w:shd w:val="clear" w:color="auto" w:fill="FFFFFF"/>
        </w:rPr>
        <w:t>1.乡村振兴纵深推进。</w:t>
      </w:r>
      <w:r>
        <w:rPr>
          <w:rFonts w:ascii="Times New Roman" w:hAnsi="Times New Roman" w:eastAsia="仿宋_GB2312" w:cs="Times New Roman"/>
          <w:sz w:val="32"/>
          <w:szCs w:val="32"/>
        </w:rPr>
        <w:t>牢固树立和践行“绿水青山就是金山银山”的发展理念，推动“生产、生活、生态”三生互动融合。规范农村建房行为，完善审批流程，加大镇域内占用耕地建房的巡查整改；创新工作机制，整合镇村力量，高标准高质量推进</w:t>
      </w:r>
      <w:r>
        <w:rPr>
          <w:rFonts w:hint="eastAsia" w:ascii="Times New Roman" w:hAnsi="Times New Roman" w:eastAsia="仿宋_GB2312" w:cs="Times New Roman"/>
          <w:sz w:val="32"/>
          <w:szCs w:val="32"/>
        </w:rPr>
        <w:t>乡村振兴试点示范任务，</w:t>
      </w:r>
      <w:r>
        <w:rPr>
          <w:rFonts w:ascii="Times New Roman" w:hAnsi="Times New Roman" w:eastAsia="仿宋_GB2312" w:cs="Times New Roman"/>
          <w:sz w:val="32"/>
          <w:szCs w:val="32"/>
        </w:rPr>
        <w:t>持续开展“两治一拆”、裸房专项整治工作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加快推进集镇环境整治提升建设，积极探索农村环境卫生治理长效机制，整治镇容镇貌突出问题，不断改善农村人居环境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全力推动乡村振兴工作迈上新台阶</w:t>
      </w:r>
      <w:r>
        <w:rPr>
          <w:rFonts w:ascii="仿宋_GB2312" w:hAnsi="仿宋_GB2312" w:eastAsia="仿宋_GB2312" w:cs="仿宋_GB2312"/>
          <w:color w:val="0000FF"/>
          <w:sz w:val="32"/>
          <w:szCs w:val="32"/>
          <w:shd w:val="clear" w:color="auto" w:fill="FFFFFF"/>
        </w:rPr>
        <w:t>。</w:t>
      </w:r>
    </w:p>
    <w:p>
      <w:pPr>
        <w:pBdr>
          <w:bottom w:val="single" w:color="FFFFFF" w:sz="4" w:space="31"/>
        </w:pBdr>
        <w:tabs>
          <w:tab w:val="left" w:pos="1440"/>
        </w:tabs>
        <w:adjustRightInd w:val="0"/>
        <w:snapToGrid w:val="0"/>
        <w:spacing w:line="540" w:lineRule="exact"/>
        <w:ind w:firstLine="643" w:firstLineChars="200"/>
        <w:rPr>
          <w:rFonts w:ascii="仿宋_GB2312" w:hAnsi="仿宋_GB2312" w:eastAsia="仿宋_GB2312" w:cs="仿宋_GB2312"/>
          <w:sz w:val="32"/>
          <w:szCs w:val="32"/>
          <w:shd w:val="clear" w:color="auto" w:fill="FFFFFF"/>
        </w:rPr>
      </w:pPr>
      <w:r>
        <w:rPr>
          <w:rFonts w:hint="eastAsia" w:ascii="Times New Roman" w:hAnsi="Times New Roman" w:eastAsia="楷体_GB2312" w:cs="Times New Roman"/>
          <w:b/>
          <w:bCs/>
          <w:sz w:val="32"/>
          <w:szCs w:val="32"/>
          <w:shd w:val="clear" w:color="auto" w:fill="FFFFFF"/>
        </w:rPr>
        <w:t>2.安全防线坚强有力。</w:t>
      </w:r>
      <w:r>
        <w:rPr>
          <w:rFonts w:ascii="仿宋_GB2312" w:hAnsi="仿宋_GB2312" w:eastAsia="仿宋_GB2312" w:cs="仿宋_GB2312"/>
          <w:sz w:val="32"/>
          <w:szCs w:val="32"/>
          <w:shd w:val="clear" w:color="auto" w:fill="FFFFFF"/>
        </w:rPr>
        <w:t>持续强化安全生产隐患排查机制，联合多部门常态化对辖区内工贸企业、超市、液化气配送点以及经营性自建房进行风险隐患排查治理，</w:t>
      </w:r>
      <w:r>
        <w:rPr>
          <w:rFonts w:hint="eastAsia" w:ascii="仿宋_GB2312" w:hAnsi="仿宋_GB2312" w:eastAsia="仿宋_GB2312" w:cs="仿宋_GB2312"/>
          <w:sz w:val="32"/>
          <w:szCs w:val="32"/>
          <w:shd w:val="clear" w:color="auto" w:fill="FFFFFF"/>
        </w:rPr>
        <w:t>不断</w:t>
      </w:r>
      <w:r>
        <w:rPr>
          <w:rFonts w:ascii="仿宋_GB2312" w:hAnsi="仿宋_GB2312" w:eastAsia="仿宋_GB2312" w:cs="仿宋_GB2312"/>
          <w:sz w:val="32"/>
          <w:szCs w:val="32"/>
          <w:shd w:val="clear" w:color="auto" w:fill="FFFFFF"/>
        </w:rPr>
        <w:t>加大安全知识宣传教育，</w:t>
      </w:r>
      <w:r>
        <w:rPr>
          <w:rFonts w:hint="eastAsia" w:ascii="仿宋_GB2312" w:hAnsi="仿宋_GB2312" w:eastAsia="仿宋_GB2312" w:cs="仿宋_GB2312"/>
          <w:sz w:val="32"/>
          <w:szCs w:val="32"/>
          <w:shd w:val="clear" w:color="auto" w:fill="FFFFFF"/>
        </w:rPr>
        <w:t>保障食品、药品、道安、消防等各项领域安全，</w:t>
      </w:r>
      <w:r>
        <w:rPr>
          <w:rFonts w:ascii="仿宋_GB2312" w:hAnsi="仿宋_GB2312" w:eastAsia="仿宋_GB2312" w:cs="仿宋_GB2312"/>
          <w:sz w:val="32"/>
          <w:szCs w:val="32"/>
          <w:shd w:val="clear" w:color="auto" w:fill="FFFFFF"/>
        </w:rPr>
        <w:t>全力抓好安全生产工作，营造和谐稳定的安全环境。</w:t>
      </w:r>
    </w:p>
    <w:p>
      <w:pPr>
        <w:pStyle w:val="4"/>
        <w:jc w:val="center"/>
        <w:outlineLvl w:val="0"/>
        <w:rPr>
          <w:rFonts w:hint="eastAsia" w:ascii="黑体" w:hAnsi="黑体" w:eastAsia="黑体"/>
          <w:sz w:val="36"/>
          <w:szCs w:val="36"/>
          <w:lang w:eastAsia="zh-CN"/>
        </w:rPr>
      </w:pPr>
      <w:bookmarkStart w:id="27" w:name="_Toc24052_WPSOffice_Level1"/>
      <w:r>
        <w:rPr>
          <w:rFonts w:hint="eastAsia" w:ascii="黑体" w:hAnsi="黑体" w:eastAsia="黑体"/>
          <w:sz w:val="36"/>
          <w:szCs w:val="36"/>
          <w:lang w:eastAsia="zh-CN"/>
        </w:rPr>
        <w:t>第二部分 2023年度部门预算表</w:t>
      </w:r>
      <w:bookmarkEnd w:id="27"/>
    </w:p>
    <w:p>
      <w:pPr>
        <w:pStyle w:val="4"/>
        <w:jc w:val="center"/>
        <w:outlineLvl w:val="0"/>
        <w:rPr>
          <w:rFonts w:ascii="黑体" w:hAnsi="黑体" w:eastAsia="黑体"/>
          <w:sz w:val="36"/>
          <w:szCs w:val="36"/>
          <w:lang w:eastAsia="zh-CN"/>
        </w:rPr>
      </w:pPr>
    </w:p>
    <w:p>
      <w:pPr>
        <w:tabs>
          <w:tab w:val="left" w:pos="7513"/>
        </w:tabs>
        <w:adjustRightInd w:val="0"/>
        <w:snapToGrid w:val="0"/>
        <w:spacing w:line="600" w:lineRule="exact"/>
        <w:outlineLvl w:val="1"/>
        <w:rPr>
          <w:rFonts w:ascii="仿宋" w:hAnsi="仿宋" w:eastAsia="仿宋"/>
          <w:sz w:val="32"/>
          <w:szCs w:val="32"/>
        </w:rPr>
      </w:pPr>
      <w:bookmarkStart w:id="28" w:name="_Toc3896_WPSOffice_Level2"/>
      <w:r>
        <w:rPr>
          <w:rFonts w:hint="eastAsia" w:ascii="仿宋" w:hAnsi="仿宋" w:eastAsia="仿宋"/>
          <w:sz w:val="32"/>
          <w:szCs w:val="32"/>
        </w:rPr>
        <w:t>一、收支预算总表</w:t>
      </w:r>
      <w:bookmarkEnd w:id="28"/>
    </w:p>
    <w:tbl>
      <w:tblPr>
        <w:tblStyle w:val="8"/>
        <w:tblW w:w="8431" w:type="dxa"/>
        <w:tblInd w:w="0" w:type="dxa"/>
        <w:tblLayout w:type="fixed"/>
        <w:tblCellMar>
          <w:top w:w="0" w:type="dxa"/>
          <w:left w:w="0" w:type="dxa"/>
          <w:bottom w:w="0" w:type="dxa"/>
          <w:right w:w="0" w:type="dxa"/>
        </w:tblCellMar>
      </w:tblPr>
      <w:tblGrid>
        <w:gridCol w:w="1376"/>
        <w:gridCol w:w="961"/>
        <w:gridCol w:w="1812"/>
        <w:gridCol w:w="2147"/>
        <w:gridCol w:w="2135"/>
      </w:tblGrid>
      <w:tr>
        <w:tblPrEx>
          <w:tblCellMar>
            <w:top w:w="0" w:type="dxa"/>
            <w:left w:w="0" w:type="dxa"/>
            <w:bottom w:w="0" w:type="dxa"/>
            <w:right w:w="0" w:type="dxa"/>
          </w:tblCellMar>
        </w:tblPrEx>
        <w:trPr>
          <w:trHeight w:val="405" w:hRule="atLeast"/>
        </w:trPr>
        <w:tc>
          <w:tcPr>
            <w:tcW w:w="6296" w:type="dxa"/>
            <w:gridSpan w:val="4"/>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年度收支预算总表</w:t>
            </w:r>
          </w:p>
        </w:tc>
        <w:tc>
          <w:tcPr>
            <w:tcW w:w="213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kern w:val="0"/>
                <w:sz w:val="32"/>
                <w:szCs w:val="32"/>
              </w:rPr>
            </w:pPr>
          </w:p>
        </w:tc>
      </w:tr>
      <w:tr>
        <w:tblPrEx>
          <w:tblCellMar>
            <w:top w:w="0" w:type="dxa"/>
            <w:left w:w="0" w:type="dxa"/>
            <w:bottom w:w="0" w:type="dxa"/>
            <w:right w:w="0" w:type="dxa"/>
          </w:tblCellMar>
        </w:tblPrEx>
        <w:trPr>
          <w:trHeight w:val="285" w:hRule="atLeast"/>
        </w:trPr>
        <w:tc>
          <w:tcPr>
            <w:tcW w:w="1376"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961"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1812"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2147" w:type="dxa"/>
            <w:tcBorders>
              <w:top w:val="nil"/>
              <w:left w:val="nil"/>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单位：万元</w:t>
            </w:r>
          </w:p>
        </w:tc>
        <w:tc>
          <w:tcPr>
            <w:tcW w:w="2135" w:type="dxa"/>
            <w:tcBorders>
              <w:top w:val="nil"/>
              <w:left w:val="nil"/>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kern w:val="0"/>
                <w:sz w:val="24"/>
                <w:szCs w:val="24"/>
              </w:rPr>
            </w:pPr>
          </w:p>
        </w:tc>
      </w:tr>
      <w:tr>
        <w:tblPrEx>
          <w:tblCellMar>
            <w:top w:w="0" w:type="dxa"/>
            <w:left w:w="0" w:type="dxa"/>
            <w:bottom w:w="0" w:type="dxa"/>
            <w:right w:w="0" w:type="dxa"/>
          </w:tblCellMar>
        </w:tblPrEx>
        <w:trPr>
          <w:trHeight w:val="402" w:hRule="atLeast"/>
        </w:trPr>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b/>
                <w:color w:val="000000"/>
                <w:sz w:val="22"/>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c>
          <w:tcPr>
            <w:tcW w:w="21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b/>
                <w:color w:val="000000"/>
                <w:sz w:val="22"/>
              </w:rPr>
            </w:pP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收入项目类别</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支出项目类别</w:t>
            </w:r>
          </w:p>
        </w:tc>
        <w:tc>
          <w:tcPr>
            <w:tcW w:w="21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kern w:val="0"/>
                <w:sz w:val="22"/>
              </w:rPr>
            </w:pPr>
          </w:p>
        </w:tc>
      </w:tr>
      <w:tr>
        <w:tblPrEx>
          <w:tblCellMar>
            <w:top w:w="0" w:type="dxa"/>
            <w:left w:w="0" w:type="dxa"/>
            <w:bottom w:w="0" w:type="dxa"/>
            <w:right w:w="0" w:type="dxa"/>
          </w:tblCellMar>
        </w:tblPrEx>
        <w:trPr>
          <w:trHeight w:val="402" w:hRule="atLeast"/>
        </w:trPr>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一、一般公共预算拨款</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1148.64 </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一、基本支出</w:t>
            </w:r>
          </w:p>
        </w:tc>
        <w:tc>
          <w:tcPr>
            <w:tcW w:w="21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709.12</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kern w:val="0"/>
                <w:sz w:val="22"/>
              </w:rPr>
            </w:pPr>
          </w:p>
        </w:tc>
      </w:tr>
      <w:tr>
        <w:tblPrEx>
          <w:tblCellMar>
            <w:top w:w="0" w:type="dxa"/>
            <w:left w:w="0" w:type="dxa"/>
            <w:bottom w:w="0" w:type="dxa"/>
            <w:right w:w="0" w:type="dxa"/>
          </w:tblCellMar>
        </w:tblPrEx>
        <w:trPr>
          <w:trHeight w:val="402" w:hRule="atLeast"/>
        </w:trPr>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二、基金预算财政拨款</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人员支出</w:t>
            </w:r>
          </w:p>
        </w:tc>
        <w:tc>
          <w:tcPr>
            <w:tcW w:w="2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410.5 </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kern w:val="0"/>
                <w:sz w:val="22"/>
              </w:rPr>
            </w:pPr>
          </w:p>
        </w:tc>
      </w:tr>
      <w:tr>
        <w:tblPrEx>
          <w:tblCellMar>
            <w:top w:w="0" w:type="dxa"/>
            <w:left w:w="0" w:type="dxa"/>
            <w:bottom w:w="0" w:type="dxa"/>
            <w:right w:w="0" w:type="dxa"/>
          </w:tblCellMar>
        </w:tblPrEx>
        <w:trPr>
          <w:trHeight w:val="402" w:hRule="atLeast"/>
        </w:trPr>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三、财政专户拨款</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对个人和家庭补助支出</w:t>
            </w:r>
          </w:p>
        </w:tc>
        <w:tc>
          <w:tcPr>
            <w:tcW w:w="2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232.43</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kern w:val="0"/>
                <w:sz w:val="22"/>
              </w:rPr>
            </w:pPr>
          </w:p>
        </w:tc>
      </w:tr>
      <w:tr>
        <w:tblPrEx>
          <w:tblCellMar>
            <w:top w:w="0" w:type="dxa"/>
            <w:left w:w="0" w:type="dxa"/>
            <w:bottom w:w="0" w:type="dxa"/>
            <w:right w:w="0" w:type="dxa"/>
          </w:tblCellMar>
        </w:tblPrEx>
        <w:trPr>
          <w:trHeight w:val="402" w:hRule="atLeast"/>
        </w:trPr>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四、单位其他收入</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公用支出</w:t>
            </w:r>
          </w:p>
        </w:tc>
        <w:tc>
          <w:tcPr>
            <w:tcW w:w="2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66.19</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kern w:val="0"/>
                <w:sz w:val="22"/>
              </w:rPr>
            </w:pPr>
          </w:p>
        </w:tc>
      </w:tr>
      <w:tr>
        <w:tblPrEx>
          <w:tblCellMar>
            <w:top w:w="0" w:type="dxa"/>
            <w:left w:w="0" w:type="dxa"/>
            <w:bottom w:w="0" w:type="dxa"/>
            <w:right w:w="0" w:type="dxa"/>
          </w:tblCellMar>
        </w:tblPrEx>
        <w:trPr>
          <w:trHeight w:val="402" w:hRule="atLeast"/>
        </w:trPr>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五、单位结余结转资金</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二、项目支出</w:t>
            </w:r>
          </w:p>
        </w:tc>
        <w:tc>
          <w:tcPr>
            <w:tcW w:w="2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r>
              <w:rPr>
                <w:rFonts w:hint="eastAsia" w:ascii="宋体" w:hAnsi="宋体" w:eastAsia="宋体" w:cs="宋体"/>
                <w:color w:val="000000"/>
                <w:sz w:val="22"/>
              </w:rPr>
              <w:t>437</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收入合计</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696.88 </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支出合计</w:t>
            </w:r>
          </w:p>
        </w:tc>
        <w:tc>
          <w:tcPr>
            <w:tcW w:w="2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1146.12 </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kern w:val="0"/>
                <w:sz w:val="22"/>
              </w:rPr>
            </w:pPr>
          </w:p>
        </w:tc>
      </w:tr>
    </w:tbl>
    <w:p>
      <w:pPr>
        <w:tabs>
          <w:tab w:val="left" w:pos="7513"/>
        </w:tabs>
        <w:adjustRightInd w:val="0"/>
        <w:snapToGrid w:val="0"/>
        <w:spacing w:line="600" w:lineRule="exact"/>
        <w:outlineLvl w:val="1"/>
        <w:rPr>
          <w:rFonts w:ascii="仿宋" w:hAnsi="仿宋" w:eastAsia="仿宋"/>
          <w:sz w:val="32"/>
          <w:szCs w:val="32"/>
        </w:rPr>
      </w:pPr>
      <w:bookmarkStart w:id="29" w:name="_Toc10208_WPSOffice_Level2"/>
      <w:r>
        <w:rPr>
          <w:rFonts w:hint="eastAsia" w:ascii="仿宋" w:hAnsi="仿宋" w:eastAsia="仿宋"/>
          <w:sz w:val="32"/>
          <w:szCs w:val="32"/>
        </w:rPr>
        <w:t>二、收入预算总表</w:t>
      </w:r>
      <w:bookmarkEnd w:id="29"/>
    </w:p>
    <w:tbl>
      <w:tblPr>
        <w:tblStyle w:val="8"/>
        <w:tblW w:w="8430" w:type="dxa"/>
        <w:tblInd w:w="0" w:type="dxa"/>
        <w:tblLayout w:type="fixed"/>
        <w:tblCellMar>
          <w:top w:w="0" w:type="dxa"/>
          <w:left w:w="0" w:type="dxa"/>
          <w:bottom w:w="0" w:type="dxa"/>
          <w:right w:w="0" w:type="dxa"/>
        </w:tblCellMar>
      </w:tblPr>
      <w:tblGrid>
        <w:gridCol w:w="902"/>
        <w:gridCol w:w="1641"/>
        <w:gridCol w:w="881"/>
        <w:gridCol w:w="838"/>
        <w:gridCol w:w="835"/>
        <w:gridCol w:w="835"/>
        <w:gridCol w:w="837"/>
        <w:gridCol w:w="837"/>
        <w:gridCol w:w="824"/>
      </w:tblGrid>
      <w:tr>
        <w:tblPrEx>
          <w:tblCellMar>
            <w:top w:w="0" w:type="dxa"/>
            <w:left w:w="0" w:type="dxa"/>
            <w:bottom w:w="0" w:type="dxa"/>
            <w:right w:w="0" w:type="dxa"/>
          </w:tblCellMar>
        </w:tblPrEx>
        <w:trPr>
          <w:trHeight w:val="582" w:hRule="atLeast"/>
        </w:trPr>
        <w:tc>
          <w:tcPr>
            <w:tcW w:w="7606" w:type="dxa"/>
            <w:gridSpan w:val="8"/>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年度收入预算总表</w:t>
            </w:r>
          </w:p>
        </w:tc>
        <w:tc>
          <w:tcPr>
            <w:tcW w:w="824" w:type="dxa"/>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kern w:val="0"/>
                <w:sz w:val="32"/>
                <w:szCs w:val="32"/>
              </w:rPr>
            </w:pPr>
          </w:p>
        </w:tc>
      </w:tr>
      <w:tr>
        <w:tblPrEx>
          <w:tblCellMar>
            <w:top w:w="0" w:type="dxa"/>
            <w:left w:w="0" w:type="dxa"/>
            <w:bottom w:w="0" w:type="dxa"/>
            <w:right w:w="0" w:type="dxa"/>
          </w:tblCellMar>
        </w:tblPrEx>
        <w:trPr>
          <w:trHeight w:val="510" w:hRule="atLeast"/>
        </w:trPr>
        <w:tc>
          <w:tcPr>
            <w:tcW w:w="902"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1641"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881" w:type="dxa"/>
            <w:tcBorders>
              <w:top w:val="nil"/>
              <w:left w:val="nil"/>
              <w:bottom w:val="nil"/>
              <w:right w:val="nil"/>
            </w:tcBorders>
            <w:shd w:val="clear" w:color="auto" w:fill="auto"/>
            <w:tcMar>
              <w:top w:w="15" w:type="dxa"/>
              <w:left w:w="15" w:type="dxa"/>
              <w:right w:w="15" w:type="dxa"/>
            </w:tcMar>
            <w:vAlign w:val="center"/>
          </w:tcPr>
          <w:p>
            <w:pPr>
              <w:jc w:val="center"/>
              <w:rPr>
                <w:rFonts w:ascii="黑体" w:hAnsi="宋体" w:eastAsia="黑体" w:cs="黑体"/>
                <w:color w:val="000000"/>
                <w:sz w:val="40"/>
                <w:szCs w:val="40"/>
              </w:rPr>
            </w:pPr>
          </w:p>
        </w:tc>
        <w:tc>
          <w:tcPr>
            <w:tcW w:w="838"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eastAsia="宋体" w:cs="宋体"/>
                <w:color w:val="000000"/>
                <w:sz w:val="24"/>
                <w:szCs w:val="24"/>
              </w:rPr>
            </w:pPr>
          </w:p>
        </w:tc>
        <w:tc>
          <w:tcPr>
            <w:tcW w:w="835"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eastAsia="宋体" w:cs="宋体"/>
                <w:color w:val="000000"/>
                <w:sz w:val="24"/>
                <w:szCs w:val="24"/>
              </w:rPr>
            </w:pPr>
          </w:p>
        </w:tc>
        <w:tc>
          <w:tcPr>
            <w:tcW w:w="835" w:type="dxa"/>
            <w:tcBorders>
              <w:top w:val="nil"/>
              <w:left w:val="nil"/>
              <w:bottom w:val="nil"/>
              <w:right w:val="nil"/>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1674"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c>
          <w:tcPr>
            <w:tcW w:w="824"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kern w:val="0"/>
                <w:sz w:val="22"/>
              </w:rPr>
            </w:pPr>
          </w:p>
        </w:tc>
      </w:tr>
      <w:tr>
        <w:tblPrEx>
          <w:tblCellMar>
            <w:top w:w="0" w:type="dxa"/>
            <w:left w:w="0" w:type="dxa"/>
            <w:bottom w:w="0" w:type="dxa"/>
            <w:right w:w="0" w:type="dxa"/>
          </w:tblCellMar>
        </w:tblPrEx>
        <w:trPr>
          <w:trHeight w:val="285" w:hRule="atLeast"/>
        </w:trPr>
        <w:tc>
          <w:tcPr>
            <w:tcW w:w="9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1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w:t>
            </w:r>
          </w:p>
        </w:tc>
        <w:tc>
          <w:tcPr>
            <w:tcW w:w="50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资金来源</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kern w:val="0"/>
                <w:sz w:val="22"/>
              </w:rPr>
            </w:pPr>
          </w:p>
        </w:tc>
      </w:tr>
      <w:tr>
        <w:tblPrEx>
          <w:tblCellMar>
            <w:top w:w="0" w:type="dxa"/>
            <w:left w:w="0" w:type="dxa"/>
            <w:bottom w:w="0" w:type="dxa"/>
            <w:right w:w="0" w:type="dxa"/>
          </w:tblCellMar>
        </w:tblPrEx>
        <w:trPr>
          <w:trHeight w:val="1200" w:hRule="atLeast"/>
        </w:trPr>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1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基金预算拨款</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财政专户拨款</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单位结余结转资金</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单位其它收入</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kern w:val="0"/>
                <w:sz w:val="22"/>
              </w:rPr>
            </w:pPr>
          </w:p>
        </w:tc>
      </w:tr>
      <w:tr>
        <w:tblPrEx>
          <w:tblCellMar>
            <w:top w:w="0" w:type="dxa"/>
            <w:left w:w="0" w:type="dxa"/>
            <w:bottom w:w="0" w:type="dxa"/>
            <w:right w:w="0" w:type="dxa"/>
          </w:tblCellMar>
        </w:tblPrEx>
        <w:trPr>
          <w:trHeight w:val="402" w:hRule="atLeast"/>
        </w:trPr>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70401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上杭县蓝溪镇人民政府</w:t>
            </w:r>
          </w:p>
        </w:tc>
        <w:tc>
          <w:tcPr>
            <w:tcW w:w="8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1148.64</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1148.64</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r>
    </w:tbl>
    <w:p>
      <w:pPr>
        <w:tabs>
          <w:tab w:val="left" w:pos="7513"/>
        </w:tabs>
        <w:adjustRightInd w:val="0"/>
        <w:snapToGrid w:val="0"/>
        <w:spacing w:line="600" w:lineRule="exact"/>
        <w:rPr>
          <w:rFonts w:ascii="仿宋" w:hAnsi="仿宋" w:eastAsia="仿宋"/>
          <w:sz w:val="32"/>
          <w:szCs w:val="32"/>
        </w:rPr>
      </w:pPr>
    </w:p>
    <w:p>
      <w:pPr>
        <w:numPr>
          <w:ilvl w:val="0"/>
          <w:numId w:val="1"/>
        </w:numPr>
        <w:tabs>
          <w:tab w:val="left" w:pos="7513"/>
        </w:tabs>
        <w:adjustRightInd w:val="0"/>
        <w:snapToGrid w:val="0"/>
        <w:spacing w:line="600" w:lineRule="exact"/>
        <w:rPr>
          <w:rFonts w:ascii="仿宋" w:hAnsi="仿宋" w:eastAsia="仿宋"/>
          <w:sz w:val="32"/>
          <w:szCs w:val="32"/>
        </w:rPr>
        <w:sectPr>
          <w:footerReference r:id="rId5" w:type="default"/>
          <w:pgSz w:w="11906" w:h="16838"/>
          <w:pgMar w:top="1440" w:right="1800" w:bottom="1440" w:left="1800" w:header="851" w:footer="992" w:gutter="0"/>
          <w:cols w:space="425" w:num="1"/>
          <w:docGrid w:type="lines" w:linePitch="312" w:charSpace="0"/>
        </w:sectPr>
      </w:pPr>
    </w:p>
    <w:p>
      <w:pPr>
        <w:numPr>
          <w:ilvl w:val="0"/>
          <w:numId w:val="1"/>
        </w:numPr>
        <w:tabs>
          <w:tab w:val="left" w:pos="7513"/>
        </w:tabs>
        <w:adjustRightInd w:val="0"/>
        <w:snapToGrid w:val="0"/>
        <w:spacing w:line="600" w:lineRule="exact"/>
        <w:outlineLvl w:val="1"/>
        <w:rPr>
          <w:rFonts w:ascii="仿宋" w:hAnsi="仿宋" w:eastAsia="仿宋"/>
          <w:sz w:val="32"/>
          <w:szCs w:val="32"/>
        </w:rPr>
      </w:pPr>
      <w:bookmarkStart w:id="30" w:name="_Toc6643_WPSOffice_Level2"/>
      <w:r>
        <w:rPr>
          <w:rFonts w:hint="eastAsia" w:ascii="仿宋" w:hAnsi="仿宋" w:eastAsia="仿宋"/>
          <w:sz w:val="32"/>
          <w:szCs w:val="32"/>
        </w:rPr>
        <w:t>支出预算总表</w:t>
      </w:r>
      <w:bookmarkEnd w:id="30"/>
    </w:p>
    <w:tbl>
      <w:tblPr>
        <w:tblStyle w:val="8"/>
        <w:tblW w:w="13734" w:type="dxa"/>
        <w:tblInd w:w="0" w:type="dxa"/>
        <w:tblLayout w:type="fixed"/>
        <w:tblCellMar>
          <w:top w:w="0" w:type="dxa"/>
          <w:left w:w="0" w:type="dxa"/>
          <w:bottom w:w="0" w:type="dxa"/>
          <w:right w:w="0" w:type="dxa"/>
        </w:tblCellMar>
      </w:tblPr>
      <w:tblGrid>
        <w:gridCol w:w="825"/>
        <w:gridCol w:w="720"/>
        <w:gridCol w:w="945"/>
        <w:gridCol w:w="1651"/>
        <w:gridCol w:w="704"/>
        <w:gridCol w:w="900"/>
        <w:gridCol w:w="780"/>
        <w:gridCol w:w="780"/>
        <w:gridCol w:w="600"/>
        <w:gridCol w:w="999"/>
        <w:gridCol w:w="765"/>
        <w:gridCol w:w="960"/>
        <w:gridCol w:w="1065"/>
        <w:gridCol w:w="1080"/>
        <w:gridCol w:w="960"/>
      </w:tblGrid>
      <w:tr>
        <w:tblPrEx>
          <w:tblCellMar>
            <w:top w:w="0" w:type="dxa"/>
            <w:left w:w="0" w:type="dxa"/>
            <w:bottom w:w="0" w:type="dxa"/>
            <w:right w:w="0" w:type="dxa"/>
          </w:tblCellMar>
        </w:tblPrEx>
        <w:trPr>
          <w:trHeight w:val="405" w:hRule="atLeast"/>
        </w:trPr>
        <w:tc>
          <w:tcPr>
            <w:tcW w:w="13734" w:type="dxa"/>
            <w:gridSpan w:val="15"/>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年度支出预算总表</w:t>
            </w:r>
          </w:p>
        </w:tc>
      </w:tr>
      <w:tr>
        <w:tblPrEx>
          <w:tblCellMar>
            <w:top w:w="0" w:type="dxa"/>
            <w:left w:w="0" w:type="dxa"/>
            <w:bottom w:w="0" w:type="dxa"/>
            <w:right w:w="0" w:type="dxa"/>
          </w:tblCellMar>
        </w:tblPrEx>
        <w:trPr>
          <w:trHeight w:val="285" w:hRule="atLeast"/>
        </w:trPr>
        <w:tc>
          <w:tcPr>
            <w:tcW w:w="82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651" w:type="dxa"/>
            <w:tcBorders>
              <w:top w:val="nil"/>
              <w:left w:val="nil"/>
              <w:bottom w:val="nil"/>
              <w:right w:val="nil"/>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0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0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60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9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2040"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270" w:hRule="atLeast"/>
        </w:trPr>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6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人员支出</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对个人和家庭的补助支出</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公用支出</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9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资金来源</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b/>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b/>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b/>
                <w:color w:val="000000"/>
                <w:sz w:val="22"/>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b/>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b/>
                <w:color w:val="000000"/>
                <w:sz w:val="22"/>
              </w:rPr>
            </w:pPr>
          </w:p>
        </w:tc>
      </w:tr>
      <w:tr>
        <w:tblPrEx>
          <w:tblCellMar>
            <w:top w:w="0" w:type="dxa"/>
            <w:left w:w="0" w:type="dxa"/>
            <w:bottom w:w="0" w:type="dxa"/>
            <w:right w:w="0" w:type="dxa"/>
          </w:tblCellMar>
        </w:tblPrEx>
        <w:trPr>
          <w:trHeight w:val="863"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16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9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基金预算拨款</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财政专户拨款</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单位结余结转资金</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单位其它收入</w:t>
            </w:r>
          </w:p>
        </w:tc>
      </w:tr>
      <w:tr>
        <w:tblPrEx>
          <w:tblCellMar>
            <w:top w:w="0" w:type="dxa"/>
            <w:left w:w="0" w:type="dxa"/>
            <w:bottom w:w="0" w:type="dxa"/>
            <w:right w:w="0" w:type="dxa"/>
          </w:tblCellMar>
        </w:tblPrEx>
        <w:trPr>
          <w:trHeight w:val="367"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16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9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rPr>
            </w:pPr>
          </w:p>
        </w:tc>
      </w:tr>
      <w:tr>
        <w:tblPrEx>
          <w:tblCellMar>
            <w:top w:w="0" w:type="dxa"/>
            <w:left w:w="0" w:type="dxa"/>
            <w:bottom w:w="0" w:type="dxa"/>
            <w:right w:w="0" w:type="dxa"/>
          </w:tblCellMar>
        </w:tblPrEx>
        <w:trPr>
          <w:trHeight w:val="1935"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70401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上杭县蓝溪镇人民政府</w:t>
            </w:r>
          </w:p>
        </w:tc>
        <w:tc>
          <w:tcPr>
            <w:tcW w:w="9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2010301</w:t>
            </w:r>
          </w:p>
        </w:tc>
        <w:tc>
          <w:tcPr>
            <w:tcW w:w="16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政府办公厅（室）及相关机构事务-行政运行</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eastAsia="宋体" w:cs="宋体"/>
                <w:color w:val="000000"/>
                <w:sz w:val="22"/>
              </w:rPr>
            </w:pPr>
            <w:r>
              <w:rPr>
                <w:rFonts w:hint="eastAsia" w:ascii="宋体" w:hAnsi="宋体" w:eastAsia="宋体" w:cs="宋体"/>
                <w:color w:val="000000"/>
                <w:sz w:val="22"/>
              </w:rPr>
              <w:t>285.2</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210.21</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eastAsia="宋体" w:cs="宋体"/>
                <w:color w:val="000000"/>
                <w:sz w:val="22"/>
              </w:rPr>
            </w:pPr>
            <w:r>
              <w:rPr>
                <w:rFonts w:hint="eastAsia" w:ascii="宋体" w:hAnsi="宋体" w:eastAsia="宋体" w:cs="宋体"/>
                <w:color w:val="000000"/>
                <w:kern w:val="0"/>
                <w:sz w:val="22"/>
              </w:rPr>
              <w:t>30.26</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44.73</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122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rPr>
            </w:pPr>
          </w:p>
        </w:tc>
        <w:tc>
          <w:tcPr>
            <w:tcW w:w="9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2010350</w:t>
            </w:r>
          </w:p>
        </w:tc>
        <w:tc>
          <w:tcPr>
            <w:tcW w:w="16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政府办公厅（室）及相关机构事务-事业运行</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221.75</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xml:space="preserve">200.29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xml:space="preserve">21.46 </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1614"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2130705</w:t>
            </w:r>
          </w:p>
        </w:tc>
        <w:tc>
          <w:tcPr>
            <w:tcW w:w="1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农林水支出/农村综合改革/对村民委员会和村党支部的补助</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202.17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2"/>
              </w:rPr>
              <w:t xml:space="preserve">202.17 </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56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2299901</w:t>
            </w:r>
          </w:p>
        </w:tc>
        <w:tc>
          <w:tcPr>
            <w:tcW w:w="1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其他支出/其他支出/其他支出</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r>
              <w:rPr>
                <w:rFonts w:hint="eastAsia" w:ascii="宋体" w:hAnsi="宋体" w:eastAsia="宋体" w:cs="宋体"/>
                <w:color w:val="000000"/>
                <w:sz w:val="24"/>
                <w:szCs w:val="24"/>
              </w:rPr>
              <w:t>437</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0"/>
                <w:szCs w:val="20"/>
              </w:rPr>
            </w:pPr>
          </w:p>
        </w:tc>
        <w:tc>
          <w:tcPr>
            <w:tcW w:w="1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0"/>
                <w:szCs w:val="20"/>
              </w:rPr>
            </w:pPr>
          </w:p>
        </w:tc>
        <w:tc>
          <w:tcPr>
            <w:tcW w:w="1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0"/>
                <w:szCs w:val="20"/>
              </w:rPr>
            </w:pPr>
          </w:p>
        </w:tc>
        <w:tc>
          <w:tcPr>
            <w:tcW w:w="1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402"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4"/>
                <w:szCs w:val="24"/>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1298" w:hRule="atLeast"/>
        </w:trPr>
        <w:tc>
          <w:tcPr>
            <w:tcW w:w="13734" w:type="dxa"/>
            <w:gridSpan w:val="15"/>
            <w:tcBorders>
              <w:top w:val="single" w:color="000000" w:sz="4" w:space="0"/>
              <w:left w:val="nil"/>
              <w:bottom w:val="nil"/>
              <w:right w:val="nil"/>
            </w:tcBorders>
            <w:shd w:val="clear" w:color="auto" w:fill="auto"/>
            <w:tcMar>
              <w:top w:w="15" w:type="dxa"/>
              <w:left w:w="15" w:type="dxa"/>
              <w:right w:w="15" w:type="dxa"/>
            </w:tcMar>
            <w:vAlign w:val="center"/>
          </w:tcPr>
          <w:p>
            <w:pPr>
              <w:widowControl/>
              <w:jc w:val="left"/>
              <w:textAlignment w:val="center"/>
              <w:rPr>
                <w:rFonts w:ascii="楷体" w:hAnsi="楷体" w:eastAsia="楷体" w:cs="楷体"/>
                <w:color w:val="000000"/>
                <w:sz w:val="22"/>
              </w:rPr>
            </w:pPr>
            <w:r>
              <w:rPr>
                <w:rFonts w:ascii="楷体" w:hAnsi="楷体" w:eastAsia="楷体" w:cs="楷体"/>
                <w:color w:val="000000"/>
                <w:kern w:val="0"/>
                <w:sz w:val="22"/>
              </w:rPr>
              <w:t>备注：1.本表公开到功能分类科目的项级科目。2.各部门在依法公开部门预决算时，对涉密信息不予公开。部分内容涉密的，在确保安全的前提下，按照以下原则处理：（一）同一功能分类款级科目下，大部分项级科目涉密的，仅公开到该款级科目；（二）同一功能分类类级科目下，大部分款级科目涉密的，仅公开到该类级科目；（三）个别功能分类款级科目或项级科目涉密的，除不公开该涉密科目外，同一级次的“其他支出”科目也不公开。</w:t>
            </w:r>
          </w:p>
        </w:tc>
      </w:tr>
    </w:tbl>
    <w:p>
      <w:pPr>
        <w:tabs>
          <w:tab w:val="left" w:pos="7513"/>
        </w:tabs>
        <w:adjustRightInd w:val="0"/>
        <w:snapToGrid w:val="0"/>
        <w:spacing w:line="600" w:lineRule="exact"/>
        <w:rPr>
          <w:rFonts w:ascii="仿宋" w:hAnsi="仿宋" w:eastAsia="仿宋"/>
          <w:sz w:val="32"/>
          <w:szCs w:val="32"/>
        </w:rPr>
      </w:pPr>
    </w:p>
    <w:p>
      <w:pPr>
        <w:numPr>
          <w:ilvl w:val="0"/>
          <w:numId w:val="1"/>
        </w:numPr>
        <w:tabs>
          <w:tab w:val="left" w:pos="7513"/>
        </w:tabs>
        <w:adjustRightInd w:val="0"/>
        <w:snapToGrid w:val="0"/>
        <w:spacing w:line="600" w:lineRule="exact"/>
        <w:outlineLvl w:val="1"/>
        <w:rPr>
          <w:rFonts w:ascii="仿宋" w:hAnsi="仿宋" w:eastAsia="仿宋"/>
          <w:sz w:val="32"/>
          <w:szCs w:val="32"/>
        </w:rPr>
      </w:pPr>
      <w:bookmarkStart w:id="31" w:name="_Toc11592_WPSOffice_Level2"/>
      <w:r>
        <w:rPr>
          <w:rFonts w:hint="eastAsia" w:ascii="仿宋" w:hAnsi="仿宋" w:eastAsia="仿宋"/>
          <w:sz w:val="32"/>
          <w:szCs w:val="32"/>
        </w:rPr>
        <w:t>财政拨款收支预算总表</w:t>
      </w:r>
      <w:bookmarkEnd w:id="31"/>
    </w:p>
    <w:tbl>
      <w:tblPr>
        <w:tblStyle w:val="8"/>
        <w:tblW w:w="10650" w:type="dxa"/>
        <w:tblInd w:w="0" w:type="dxa"/>
        <w:tblLayout w:type="fixed"/>
        <w:tblCellMar>
          <w:top w:w="0" w:type="dxa"/>
          <w:left w:w="0" w:type="dxa"/>
          <w:bottom w:w="0" w:type="dxa"/>
          <w:right w:w="0" w:type="dxa"/>
        </w:tblCellMar>
      </w:tblPr>
      <w:tblGrid>
        <w:gridCol w:w="2451"/>
        <w:gridCol w:w="1585"/>
        <w:gridCol w:w="2934"/>
        <w:gridCol w:w="3680"/>
      </w:tblGrid>
      <w:tr>
        <w:tblPrEx>
          <w:tblCellMar>
            <w:top w:w="0" w:type="dxa"/>
            <w:left w:w="0" w:type="dxa"/>
            <w:bottom w:w="0" w:type="dxa"/>
            <w:right w:w="0" w:type="dxa"/>
          </w:tblCellMar>
        </w:tblPrEx>
        <w:trPr>
          <w:trHeight w:val="405" w:hRule="atLeast"/>
        </w:trPr>
        <w:tc>
          <w:tcPr>
            <w:tcW w:w="10650" w:type="dxa"/>
            <w:gridSpan w:val="4"/>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年度财政拨款收支预算总表</w:t>
            </w:r>
          </w:p>
        </w:tc>
      </w:tr>
      <w:tr>
        <w:tblPrEx>
          <w:tblCellMar>
            <w:top w:w="0" w:type="dxa"/>
            <w:left w:w="0" w:type="dxa"/>
            <w:bottom w:w="0" w:type="dxa"/>
            <w:right w:w="0" w:type="dxa"/>
          </w:tblCellMar>
        </w:tblPrEx>
        <w:trPr>
          <w:trHeight w:val="285" w:hRule="atLeast"/>
        </w:trPr>
        <w:tc>
          <w:tcPr>
            <w:tcW w:w="2451"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1585"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2934"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3680" w:type="dxa"/>
            <w:tcBorders>
              <w:top w:val="nil"/>
              <w:left w:val="nil"/>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1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b/>
                <w:color w:val="000000"/>
                <w:sz w:val="22"/>
              </w:rPr>
            </w:pP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c>
          <w:tcPr>
            <w:tcW w:w="3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收入项目类别</w:t>
            </w:r>
          </w:p>
        </w:tc>
        <w:tc>
          <w:tcPr>
            <w:tcW w:w="1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支出项目类别</w:t>
            </w:r>
          </w:p>
        </w:tc>
        <w:tc>
          <w:tcPr>
            <w:tcW w:w="3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一、一般公共预算拨款</w:t>
            </w:r>
          </w:p>
        </w:tc>
        <w:tc>
          <w:tcPr>
            <w:tcW w:w="1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1148.64 </w:t>
            </w: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一、基本支出</w:t>
            </w:r>
          </w:p>
        </w:tc>
        <w:tc>
          <w:tcPr>
            <w:tcW w:w="3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709.12</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二、基金预算财政拨款</w:t>
            </w:r>
          </w:p>
        </w:tc>
        <w:tc>
          <w:tcPr>
            <w:tcW w:w="1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人员支出</w:t>
            </w:r>
          </w:p>
        </w:tc>
        <w:tc>
          <w:tcPr>
            <w:tcW w:w="3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410.5 </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对个人和家庭补助支出</w:t>
            </w:r>
          </w:p>
        </w:tc>
        <w:tc>
          <w:tcPr>
            <w:tcW w:w="3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232.43 </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公用支出</w:t>
            </w:r>
          </w:p>
        </w:tc>
        <w:tc>
          <w:tcPr>
            <w:tcW w:w="3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66.19</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二、项目支出</w:t>
            </w:r>
          </w:p>
        </w:tc>
        <w:tc>
          <w:tcPr>
            <w:tcW w:w="3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437</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3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0.00 </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ascii="宋体" w:hAnsi="宋体" w:eastAsia="宋体" w:cs="宋体"/>
                <w:color w:val="000000"/>
                <w:sz w:val="22"/>
              </w:rPr>
            </w:pP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3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0.00 </w:t>
            </w:r>
          </w:p>
        </w:tc>
      </w:tr>
      <w:tr>
        <w:tblPrEx>
          <w:tblCellMar>
            <w:top w:w="0" w:type="dxa"/>
            <w:left w:w="0" w:type="dxa"/>
            <w:bottom w:w="0" w:type="dxa"/>
            <w:right w:w="0" w:type="dxa"/>
          </w:tblCellMar>
        </w:tblPrEx>
        <w:trPr>
          <w:trHeight w:val="402" w:hRule="atLeast"/>
        </w:trPr>
        <w:tc>
          <w:tcPr>
            <w:tcW w:w="2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收入合计</w:t>
            </w:r>
          </w:p>
        </w:tc>
        <w:tc>
          <w:tcPr>
            <w:tcW w:w="1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1148.64</w:t>
            </w:r>
          </w:p>
        </w:tc>
        <w:tc>
          <w:tcPr>
            <w:tcW w:w="29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支出合计</w:t>
            </w:r>
          </w:p>
        </w:tc>
        <w:tc>
          <w:tcPr>
            <w:tcW w:w="3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1146.12 </w:t>
            </w:r>
          </w:p>
        </w:tc>
      </w:tr>
    </w:tbl>
    <w:p>
      <w:pPr>
        <w:tabs>
          <w:tab w:val="left" w:pos="7513"/>
        </w:tabs>
        <w:adjustRightInd w:val="0"/>
        <w:snapToGrid w:val="0"/>
        <w:spacing w:line="600" w:lineRule="exact"/>
        <w:rPr>
          <w:rFonts w:ascii="仿宋" w:hAnsi="仿宋" w:eastAsia="仿宋"/>
          <w:sz w:val="32"/>
          <w:szCs w:val="32"/>
        </w:rPr>
      </w:pPr>
    </w:p>
    <w:p>
      <w:pPr>
        <w:tabs>
          <w:tab w:val="left" w:pos="7513"/>
        </w:tabs>
        <w:adjustRightInd w:val="0"/>
        <w:snapToGrid w:val="0"/>
        <w:spacing w:line="600" w:lineRule="exact"/>
        <w:outlineLvl w:val="1"/>
        <w:rPr>
          <w:rFonts w:ascii="仿宋" w:hAnsi="仿宋" w:eastAsia="仿宋"/>
          <w:sz w:val="32"/>
          <w:szCs w:val="32"/>
        </w:rPr>
      </w:pPr>
      <w:bookmarkStart w:id="32" w:name="_Toc7570_WPSOffice_Level2"/>
      <w:r>
        <w:rPr>
          <w:rFonts w:hint="eastAsia" w:ascii="仿宋" w:hAnsi="仿宋" w:eastAsia="仿宋"/>
          <w:sz w:val="32"/>
          <w:szCs w:val="32"/>
        </w:rPr>
        <w:t>五、一般公共预算拨款支出预算表</w:t>
      </w:r>
      <w:bookmarkEnd w:id="32"/>
    </w:p>
    <w:tbl>
      <w:tblPr>
        <w:tblStyle w:val="8"/>
        <w:tblW w:w="13734" w:type="dxa"/>
        <w:tblInd w:w="0" w:type="dxa"/>
        <w:tblLayout w:type="fixed"/>
        <w:tblCellMar>
          <w:top w:w="0" w:type="dxa"/>
          <w:left w:w="0" w:type="dxa"/>
          <w:bottom w:w="0" w:type="dxa"/>
          <w:right w:w="0" w:type="dxa"/>
        </w:tblCellMar>
      </w:tblPr>
      <w:tblGrid>
        <w:gridCol w:w="2559"/>
        <w:gridCol w:w="5265"/>
        <w:gridCol w:w="1230"/>
        <w:gridCol w:w="2025"/>
        <w:gridCol w:w="2655"/>
      </w:tblGrid>
      <w:tr>
        <w:tblPrEx>
          <w:tblCellMar>
            <w:top w:w="0" w:type="dxa"/>
            <w:left w:w="0" w:type="dxa"/>
            <w:bottom w:w="0" w:type="dxa"/>
            <w:right w:w="0" w:type="dxa"/>
          </w:tblCellMar>
        </w:tblPrEx>
        <w:trPr>
          <w:trHeight w:val="405" w:hRule="atLeast"/>
        </w:trPr>
        <w:tc>
          <w:tcPr>
            <w:tcW w:w="13734" w:type="dxa"/>
            <w:gridSpan w:val="5"/>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年度一般公共预算拨款支出预算表</w:t>
            </w:r>
          </w:p>
        </w:tc>
      </w:tr>
      <w:tr>
        <w:tblPrEx>
          <w:tblCellMar>
            <w:top w:w="0" w:type="dxa"/>
            <w:left w:w="0" w:type="dxa"/>
            <w:bottom w:w="0" w:type="dxa"/>
            <w:right w:w="0" w:type="dxa"/>
          </w:tblCellMar>
        </w:tblPrEx>
        <w:trPr>
          <w:trHeight w:val="285" w:hRule="atLeast"/>
        </w:trPr>
        <w:tc>
          <w:tcPr>
            <w:tcW w:w="2559"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5265"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123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4"/>
                <w:szCs w:val="24"/>
              </w:rPr>
            </w:pPr>
          </w:p>
        </w:tc>
        <w:tc>
          <w:tcPr>
            <w:tcW w:w="2025"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2655" w:type="dxa"/>
            <w:tcBorders>
              <w:top w:val="nil"/>
              <w:left w:val="nil"/>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402" w:hRule="atLeast"/>
        </w:trPr>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52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46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其中：</w:t>
            </w:r>
          </w:p>
        </w:tc>
      </w:tr>
      <w:tr>
        <w:tblPrEx>
          <w:tblCellMar>
            <w:top w:w="0" w:type="dxa"/>
            <w:left w:w="0" w:type="dxa"/>
            <w:bottom w:w="0" w:type="dxa"/>
            <w:right w:w="0" w:type="dxa"/>
          </w:tblCellMar>
        </w:tblPrEx>
        <w:trPr>
          <w:trHeight w:val="402" w:hRule="atLeast"/>
        </w:trPr>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rPr>
            </w:pPr>
          </w:p>
        </w:tc>
        <w:tc>
          <w:tcPr>
            <w:tcW w:w="52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CellMar>
            <w:top w:w="0" w:type="dxa"/>
            <w:left w:w="0" w:type="dxa"/>
            <w:bottom w:w="0" w:type="dxa"/>
            <w:right w:w="0" w:type="dxa"/>
          </w:tblCellMar>
        </w:tblPrEx>
        <w:trPr>
          <w:trHeight w:val="402" w:hRule="atLeast"/>
        </w:trPr>
        <w:tc>
          <w:tcPr>
            <w:tcW w:w="2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5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2</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3</w:t>
            </w:r>
          </w:p>
        </w:tc>
      </w:tr>
      <w:tr>
        <w:tblPrEx>
          <w:tblCellMar>
            <w:top w:w="0" w:type="dxa"/>
            <w:left w:w="0" w:type="dxa"/>
            <w:bottom w:w="0" w:type="dxa"/>
            <w:right w:w="0" w:type="dxa"/>
          </w:tblCellMar>
        </w:tblPrEx>
        <w:trPr>
          <w:trHeight w:val="402" w:hRule="atLeast"/>
        </w:trPr>
        <w:tc>
          <w:tcPr>
            <w:tcW w:w="25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2010301</w:t>
            </w:r>
          </w:p>
        </w:tc>
        <w:tc>
          <w:tcPr>
            <w:tcW w:w="52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政府办公厅（室）及相关机构事务-行政运行</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285.2</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285.2</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5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2010350</w:t>
            </w:r>
          </w:p>
        </w:tc>
        <w:tc>
          <w:tcPr>
            <w:tcW w:w="52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政府办公厅（室）及相关机构事务-事业运行</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221.75</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221.75</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jc w:val="center"/>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2130705</w:t>
            </w:r>
          </w:p>
        </w:tc>
        <w:tc>
          <w:tcPr>
            <w:tcW w:w="5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农林水支出/农村综合改革/对村民委员会和村党支部的补助</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202.17</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202.17</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5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2299901</w:t>
            </w:r>
          </w:p>
        </w:tc>
        <w:tc>
          <w:tcPr>
            <w:tcW w:w="5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其他支出/其他支出/其他支出</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437</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437</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270" w:hRule="atLeast"/>
        </w:trPr>
        <w:tc>
          <w:tcPr>
            <w:tcW w:w="13734" w:type="dxa"/>
            <w:gridSpan w:val="5"/>
            <w:tcBorders>
              <w:top w:val="nil"/>
              <w:left w:val="nil"/>
              <w:bottom w:val="nil"/>
              <w:right w:val="nil"/>
            </w:tcBorders>
            <w:shd w:val="clear" w:color="auto" w:fill="auto"/>
            <w:noWrap/>
            <w:tcMar>
              <w:top w:w="15" w:type="dxa"/>
              <w:left w:w="15" w:type="dxa"/>
              <w:right w:w="15" w:type="dxa"/>
            </w:tcMar>
            <w:vAlign w:val="bottom"/>
          </w:tcPr>
          <w:p>
            <w:pPr>
              <w:widowControl/>
              <w:jc w:val="left"/>
              <w:textAlignment w:val="bottom"/>
              <w:rPr>
                <w:rFonts w:ascii="华文楷体" w:hAnsi="华文楷体" w:eastAsia="华文楷体" w:cs="华文楷体"/>
                <w:color w:val="000000"/>
                <w:sz w:val="22"/>
              </w:rPr>
            </w:pPr>
            <w:r>
              <w:rPr>
                <w:rFonts w:ascii="华文楷体" w:hAnsi="华文楷体" w:eastAsia="华文楷体" w:cs="华文楷体"/>
                <w:color w:val="000000"/>
                <w:kern w:val="0"/>
                <w:sz w:val="22"/>
              </w:rPr>
              <w:t>备注：本表公开到政府支出功能分类项级科目。</w:t>
            </w:r>
          </w:p>
        </w:tc>
      </w:tr>
    </w:tbl>
    <w:p>
      <w:pPr>
        <w:tabs>
          <w:tab w:val="left" w:pos="7513"/>
        </w:tabs>
        <w:adjustRightInd w:val="0"/>
        <w:snapToGrid w:val="0"/>
        <w:spacing w:line="600" w:lineRule="exact"/>
        <w:rPr>
          <w:rFonts w:ascii="仿宋" w:hAnsi="仿宋" w:eastAsia="仿宋"/>
          <w:sz w:val="32"/>
          <w:szCs w:val="32"/>
        </w:rPr>
      </w:pPr>
    </w:p>
    <w:p>
      <w:pPr>
        <w:tabs>
          <w:tab w:val="left" w:pos="7513"/>
        </w:tabs>
        <w:adjustRightInd w:val="0"/>
        <w:snapToGrid w:val="0"/>
        <w:spacing w:line="600" w:lineRule="exact"/>
        <w:outlineLvl w:val="1"/>
        <w:rPr>
          <w:rFonts w:ascii="仿宋" w:hAnsi="仿宋" w:eastAsia="仿宋"/>
          <w:sz w:val="32"/>
          <w:szCs w:val="32"/>
        </w:rPr>
      </w:pPr>
      <w:bookmarkStart w:id="33" w:name="_Toc22793_WPSOffice_Level2"/>
      <w:r>
        <w:rPr>
          <w:rFonts w:hint="eastAsia" w:ascii="仿宋" w:hAnsi="仿宋" w:eastAsia="仿宋"/>
          <w:sz w:val="32"/>
          <w:szCs w:val="32"/>
        </w:rPr>
        <w:t>六、政府性基金拨款支出预算表</w:t>
      </w:r>
      <w:bookmarkEnd w:id="33"/>
    </w:p>
    <w:tbl>
      <w:tblPr>
        <w:tblStyle w:val="8"/>
        <w:tblW w:w="12714" w:type="dxa"/>
        <w:tblInd w:w="0" w:type="dxa"/>
        <w:tblLayout w:type="fixed"/>
        <w:tblCellMar>
          <w:top w:w="0" w:type="dxa"/>
          <w:left w:w="0" w:type="dxa"/>
          <w:bottom w:w="0" w:type="dxa"/>
          <w:right w:w="0" w:type="dxa"/>
        </w:tblCellMar>
      </w:tblPr>
      <w:tblGrid>
        <w:gridCol w:w="2149"/>
        <w:gridCol w:w="2149"/>
        <w:gridCol w:w="1110"/>
        <w:gridCol w:w="2149"/>
        <w:gridCol w:w="5157"/>
      </w:tblGrid>
      <w:tr>
        <w:trPr>
          <w:trHeight w:val="529" w:hRule="atLeast"/>
        </w:trPr>
        <w:tc>
          <w:tcPr>
            <w:tcW w:w="12714" w:type="dxa"/>
            <w:gridSpan w:val="5"/>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年度政府性基金拨款支出预算表</w:t>
            </w:r>
          </w:p>
        </w:tc>
      </w:tr>
      <w:tr>
        <w:tblPrEx>
          <w:tblCellMar>
            <w:top w:w="0" w:type="dxa"/>
            <w:left w:w="0" w:type="dxa"/>
            <w:bottom w:w="0" w:type="dxa"/>
            <w:right w:w="0" w:type="dxa"/>
          </w:tblCellMar>
        </w:tblPrEx>
        <w:trPr>
          <w:trHeight w:val="285" w:hRule="atLeast"/>
        </w:trPr>
        <w:tc>
          <w:tcPr>
            <w:tcW w:w="2149"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2149"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1110"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2149" w:type="dxa"/>
            <w:tcBorders>
              <w:top w:val="nil"/>
              <w:left w:val="nil"/>
              <w:bottom w:val="nil"/>
              <w:right w:val="nil"/>
            </w:tcBorders>
            <w:shd w:val="clear" w:color="auto" w:fill="auto"/>
            <w:noWrap/>
            <w:tcMar>
              <w:top w:w="15" w:type="dxa"/>
              <w:left w:w="15" w:type="dxa"/>
              <w:right w:w="15" w:type="dxa"/>
            </w:tcMar>
            <w:vAlign w:val="bottom"/>
          </w:tcPr>
          <w:p>
            <w:pPr>
              <w:rPr>
                <w:rFonts w:ascii="宋体" w:hAnsi="宋体" w:eastAsia="宋体" w:cs="宋体"/>
                <w:color w:val="000000"/>
                <w:sz w:val="24"/>
                <w:szCs w:val="24"/>
              </w:rPr>
            </w:pPr>
          </w:p>
        </w:tc>
        <w:tc>
          <w:tcPr>
            <w:tcW w:w="5157" w:type="dxa"/>
            <w:tcBorders>
              <w:top w:val="nil"/>
              <w:left w:val="nil"/>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402" w:hRule="atLeast"/>
        </w:trPr>
        <w:tc>
          <w:tcPr>
            <w:tcW w:w="214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214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73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其中：</w:t>
            </w:r>
          </w:p>
        </w:tc>
      </w:tr>
      <w:tr>
        <w:tblPrEx>
          <w:tblCellMar>
            <w:top w:w="0" w:type="dxa"/>
            <w:left w:w="0" w:type="dxa"/>
            <w:bottom w:w="0" w:type="dxa"/>
            <w:right w:w="0" w:type="dxa"/>
          </w:tblCellMar>
        </w:tblPrEx>
        <w:trPr>
          <w:trHeight w:val="402" w:hRule="atLeast"/>
        </w:trPr>
        <w:tc>
          <w:tcPr>
            <w:tcW w:w="214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rPr>
            </w:pPr>
          </w:p>
        </w:tc>
        <w:tc>
          <w:tcPr>
            <w:tcW w:w="214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CellMar>
            <w:top w:w="0" w:type="dxa"/>
            <w:left w:w="0" w:type="dxa"/>
            <w:bottom w:w="0" w:type="dxa"/>
            <w:right w:w="0" w:type="dxa"/>
          </w:tblCellMar>
        </w:tblPrEx>
        <w:trPr>
          <w:trHeight w:val="402" w:hRule="atLeast"/>
        </w:trPr>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2</w:t>
            </w: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3</w:t>
            </w:r>
          </w:p>
        </w:tc>
      </w:tr>
      <w:tr>
        <w:tblPrEx>
          <w:tblCellMar>
            <w:top w:w="0" w:type="dxa"/>
            <w:left w:w="0" w:type="dxa"/>
            <w:bottom w:w="0" w:type="dxa"/>
            <w:right w:w="0" w:type="dxa"/>
          </w:tblCellMar>
        </w:tblPrEx>
        <w:trPr>
          <w:trHeight w:val="402" w:hRule="atLeast"/>
        </w:trPr>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c>
          <w:tcPr>
            <w:tcW w:w="51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ascii="宋体" w:hAnsi="宋体" w:eastAsia="宋体" w:cs="宋体"/>
                <w:color w:val="000000"/>
                <w:sz w:val="22"/>
              </w:rPr>
            </w:pPr>
          </w:p>
        </w:tc>
      </w:tr>
      <w:tr>
        <w:tblPrEx>
          <w:tblCellMar>
            <w:top w:w="0" w:type="dxa"/>
            <w:left w:w="0" w:type="dxa"/>
            <w:bottom w:w="0" w:type="dxa"/>
            <w:right w:w="0" w:type="dxa"/>
          </w:tblCellMar>
        </w:tblPrEx>
        <w:trPr>
          <w:trHeight w:val="372" w:hRule="atLeast"/>
        </w:trPr>
        <w:tc>
          <w:tcPr>
            <w:tcW w:w="7557" w:type="dxa"/>
            <w:gridSpan w:val="4"/>
            <w:tcBorders>
              <w:top w:val="nil"/>
              <w:left w:val="nil"/>
              <w:bottom w:val="nil"/>
              <w:right w:val="nil"/>
            </w:tcBorders>
            <w:shd w:val="clear" w:color="auto" w:fill="auto"/>
            <w:noWrap/>
            <w:tcMar>
              <w:top w:w="15" w:type="dxa"/>
              <w:left w:w="15" w:type="dxa"/>
              <w:right w:w="15" w:type="dxa"/>
            </w:tcMar>
            <w:vAlign w:val="bottom"/>
          </w:tcPr>
          <w:p>
            <w:pPr>
              <w:widowControl/>
              <w:jc w:val="left"/>
              <w:textAlignment w:val="bottom"/>
              <w:rPr>
                <w:rFonts w:ascii="楷体" w:hAnsi="楷体" w:eastAsia="楷体" w:cs="楷体"/>
                <w:color w:val="000000"/>
                <w:sz w:val="22"/>
              </w:rPr>
            </w:pPr>
            <w:r>
              <w:rPr>
                <w:rFonts w:ascii="楷体" w:hAnsi="楷体" w:eastAsia="楷体" w:cs="楷体"/>
                <w:color w:val="000000"/>
                <w:kern w:val="0"/>
                <w:sz w:val="22"/>
              </w:rPr>
              <w:t>备注：1.本表公开到政府支出功能分类项级科目。</w:t>
            </w:r>
          </w:p>
        </w:tc>
        <w:tc>
          <w:tcPr>
            <w:tcW w:w="5157"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372" w:hRule="atLeast"/>
        </w:trPr>
        <w:tc>
          <w:tcPr>
            <w:tcW w:w="7557" w:type="dxa"/>
            <w:gridSpan w:val="4"/>
            <w:tcBorders>
              <w:top w:val="nil"/>
              <w:left w:val="nil"/>
              <w:bottom w:val="nil"/>
              <w:right w:val="nil"/>
            </w:tcBorders>
            <w:shd w:val="clear" w:color="auto" w:fill="auto"/>
            <w:tcMar>
              <w:top w:w="15" w:type="dxa"/>
              <w:left w:w="15" w:type="dxa"/>
              <w:right w:w="15" w:type="dxa"/>
            </w:tcMar>
            <w:vAlign w:val="bottom"/>
          </w:tcPr>
          <w:p>
            <w:pPr>
              <w:widowControl/>
              <w:jc w:val="left"/>
              <w:textAlignment w:val="bottom"/>
              <w:rPr>
                <w:rFonts w:ascii="楷体" w:hAnsi="楷体" w:eastAsia="楷体" w:cs="楷体"/>
                <w:color w:val="000000"/>
                <w:sz w:val="22"/>
              </w:rPr>
            </w:pPr>
            <w:r>
              <w:rPr>
                <w:rFonts w:ascii="楷体" w:hAnsi="楷体" w:eastAsia="楷体" w:cs="楷体"/>
                <w:color w:val="000000"/>
                <w:kern w:val="0"/>
                <w:sz w:val="22"/>
              </w:rPr>
              <w:t xml:space="preserve">      2.没有数据的单位应当列出空表并说明。</w:t>
            </w:r>
          </w:p>
        </w:tc>
        <w:tc>
          <w:tcPr>
            <w:tcW w:w="5157"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bl>
    <w:p>
      <w:pPr>
        <w:tabs>
          <w:tab w:val="left" w:pos="7513"/>
        </w:tabs>
        <w:adjustRightInd w:val="0"/>
        <w:snapToGrid w:val="0"/>
        <w:spacing w:line="600" w:lineRule="exact"/>
        <w:rPr>
          <w:rFonts w:hint="eastAsia" w:ascii="仿宋" w:hAnsi="仿宋" w:eastAsia="仿宋"/>
          <w:sz w:val="32"/>
          <w:szCs w:val="32"/>
        </w:rPr>
      </w:pPr>
    </w:p>
    <w:p>
      <w:pPr>
        <w:pStyle w:val="2"/>
        <w:ind w:firstLine="560"/>
        <w:rPr>
          <w:rFonts w:hint="eastAsia"/>
        </w:rPr>
      </w:pPr>
    </w:p>
    <w:p>
      <w:pPr>
        <w:pStyle w:val="2"/>
        <w:ind w:firstLine="560"/>
      </w:pPr>
    </w:p>
    <w:p>
      <w:pPr>
        <w:tabs>
          <w:tab w:val="left" w:pos="7513"/>
        </w:tabs>
        <w:adjustRightInd w:val="0"/>
        <w:snapToGrid w:val="0"/>
        <w:spacing w:line="600" w:lineRule="exact"/>
        <w:outlineLvl w:val="1"/>
        <w:rPr>
          <w:rFonts w:ascii="仿宋" w:hAnsi="仿宋" w:eastAsia="仿宋"/>
          <w:sz w:val="32"/>
          <w:szCs w:val="32"/>
        </w:rPr>
      </w:pPr>
      <w:bookmarkStart w:id="34" w:name="_Toc8213_WPSOffice_Level2"/>
      <w:r>
        <w:rPr>
          <w:rFonts w:hint="eastAsia" w:ascii="仿宋" w:hAnsi="仿宋" w:eastAsia="仿宋"/>
          <w:sz w:val="32"/>
          <w:szCs w:val="32"/>
        </w:rPr>
        <w:t>七、一般公共预算支出经济分类情况表</w:t>
      </w:r>
      <w:bookmarkEnd w:id="34"/>
    </w:p>
    <w:tbl>
      <w:tblPr>
        <w:tblStyle w:val="8"/>
        <w:tblW w:w="10080" w:type="dxa"/>
        <w:tblInd w:w="0" w:type="dxa"/>
        <w:tblLayout w:type="fixed"/>
        <w:tblCellMar>
          <w:top w:w="0" w:type="dxa"/>
          <w:left w:w="0" w:type="dxa"/>
          <w:bottom w:w="0" w:type="dxa"/>
          <w:right w:w="0" w:type="dxa"/>
        </w:tblCellMar>
      </w:tblPr>
      <w:tblGrid>
        <w:gridCol w:w="2055"/>
        <w:gridCol w:w="4350"/>
        <w:gridCol w:w="3675"/>
      </w:tblGrid>
      <w:tr>
        <w:tblPrEx>
          <w:tblCellMar>
            <w:top w:w="0" w:type="dxa"/>
            <w:left w:w="0" w:type="dxa"/>
            <w:bottom w:w="0" w:type="dxa"/>
            <w:right w:w="0" w:type="dxa"/>
          </w:tblCellMar>
        </w:tblPrEx>
        <w:trPr>
          <w:trHeight w:val="743" w:hRule="atLeast"/>
        </w:trPr>
        <w:tc>
          <w:tcPr>
            <w:tcW w:w="10080" w:type="dxa"/>
            <w:gridSpan w:val="3"/>
            <w:tcBorders>
              <w:top w:val="nil"/>
              <w:left w:val="nil"/>
              <w:bottom w:val="nil"/>
              <w:right w:val="nil"/>
            </w:tcBorders>
            <w:shd w:val="clear" w:color="auto" w:fill="FFFFFF"/>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年度一般公共预算支出经济分类情况表</w:t>
            </w:r>
          </w:p>
        </w:tc>
      </w:tr>
      <w:tr>
        <w:tblPrEx>
          <w:tblCellMar>
            <w:top w:w="0" w:type="dxa"/>
            <w:left w:w="0" w:type="dxa"/>
            <w:bottom w:w="0" w:type="dxa"/>
            <w:right w:w="0" w:type="dxa"/>
          </w:tblCellMar>
        </w:tblPrEx>
        <w:trPr>
          <w:trHeight w:val="360" w:hRule="atLeast"/>
        </w:trPr>
        <w:tc>
          <w:tcPr>
            <w:tcW w:w="2055" w:type="dxa"/>
            <w:tcBorders>
              <w:top w:val="nil"/>
              <w:left w:val="nil"/>
              <w:bottom w:val="nil"/>
              <w:right w:val="nil"/>
            </w:tcBorders>
            <w:shd w:val="clear" w:color="auto" w:fill="FFFFFF"/>
            <w:noWrap/>
            <w:tcMar>
              <w:top w:w="15" w:type="dxa"/>
              <w:left w:w="15" w:type="dxa"/>
              <w:right w:w="15" w:type="dxa"/>
            </w:tcMar>
            <w:vAlign w:val="center"/>
          </w:tcPr>
          <w:p>
            <w:pPr>
              <w:jc w:val="left"/>
              <w:rPr>
                <w:rFonts w:ascii="宋体" w:hAnsi="宋体" w:eastAsia="宋体" w:cs="宋体"/>
                <w:color w:val="000000"/>
                <w:sz w:val="20"/>
                <w:szCs w:val="20"/>
              </w:rPr>
            </w:pPr>
          </w:p>
        </w:tc>
        <w:tc>
          <w:tcPr>
            <w:tcW w:w="4350" w:type="dxa"/>
            <w:tcBorders>
              <w:top w:val="nil"/>
              <w:left w:val="nil"/>
              <w:bottom w:val="nil"/>
              <w:right w:val="nil"/>
            </w:tcBorders>
            <w:shd w:val="clear" w:color="auto" w:fill="auto"/>
            <w:noWrap/>
            <w:tcMar>
              <w:top w:w="15" w:type="dxa"/>
              <w:left w:w="15" w:type="dxa"/>
              <w:right w:w="15" w:type="dxa"/>
            </w:tcMar>
            <w:vAlign w:val="bottom"/>
          </w:tcPr>
          <w:p>
            <w:pPr>
              <w:jc w:val="right"/>
              <w:rPr>
                <w:rFonts w:ascii="宋体" w:hAnsi="宋体" w:eastAsia="宋体" w:cs="宋体"/>
                <w:color w:val="000000"/>
                <w:sz w:val="20"/>
                <w:szCs w:val="20"/>
              </w:rPr>
            </w:pPr>
          </w:p>
        </w:tc>
        <w:tc>
          <w:tcPr>
            <w:tcW w:w="3675" w:type="dxa"/>
            <w:tcBorders>
              <w:top w:val="nil"/>
              <w:left w:val="nil"/>
              <w:bottom w:val="nil"/>
              <w:right w:val="nil"/>
            </w:tcBorders>
            <w:shd w:val="clear" w:color="auto" w:fill="FFFFFF"/>
            <w:noWrap/>
            <w:tcMar>
              <w:top w:w="15" w:type="dxa"/>
              <w:left w:w="15" w:type="dxa"/>
              <w:right w:w="15" w:type="dxa"/>
            </w:tcMar>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0" w:type="dxa"/>
            <w:bottom w:w="0" w:type="dxa"/>
            <w:right w:w="0" w:type="dxa"/>
          </w:tblCellMar>
        </w:tblPrEx>
        <w:trPr>
          <w:trHeight w:val="63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3675"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2" w:hRule="atLeast"/>
        </w:trPr>
        <w:tc>
          <w:tcPr>
            <w:tcW w:w="64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sz w:val="22"/>
              </w:rPr>
              <w:t>709.12</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工资福利支出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410.5 </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商品和服务支出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66.19</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对个人和家庭的补助</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232.43 </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债务利息及费用支出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309</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资本性支出（基本建设）</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资本性支出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311</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对企业补助（基本建设）</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312</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对企业补助</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313</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对社会保障基金补助</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0</w:t>
            </w:r>
          </w:p>
        </w:tc>
      </w:tr>
      <w:tr>
        <w:tblPrEx>
          <w:tblCellMar>
            <w:top w:w="0" w:type="dxa"/>
            <w:left w:w="0" w:type="dxa"/>
            <w:bottom w:w="0" w:type="dxa"/>
            <w:right w:w="0" w:type="dxa"/>
          </w:tblCellMar>
        </w:tblPrEx>
        <w:trPr>
          <w:trHeight w:val="402"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其他支出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4"/>
                <w:szCs w:val="24"/>
              </w:rPr>
            </w:pPr>
            <w:r>
              <w:rPr>
                <w:rFonts w:hint="eastAsia" w:ascii="宋体" w:hAnsi="宋体" w:eastAsia="宋体" w:cs="宋体"/>
                <w:color w:val="000000"/>
                <w:sz w:val="24"/>
                <w:szCs w:val="24"/>
              </w:rPr>
              <w:t>0</w:t>
            </w:r>
          </w:p>
        </w:tc>
      </w:tr>
    </w:tbl>
    <w:p>
      <w:pPr>
        <w:tabs>
          <w:tab w:val="left" w:pos="7513"/>
        </w:tabs>
        <w:adjustRightInd w:val="0"/>
        <w:snapToGrid w:val="0"/>
        <w:spacing w:line="600" w:lineRule="exact"/>
        <w:rPr>
          <w:rFonts w:ascii="仿宋" w:hAnsi="仿宋" w:eastAsia="仿宋"/>
          <w:sz w:val="32"/>
          <w:szCs w:val="32"/>
        </w:rPr>
        <w:sectPr>
          <w:pgSz w:w="16838" w:h="11906" w:orient="landscape"/>
          <w:pgMar w:top="1134" w:right="1134" w:bottom="1134" w:left="1134" w:header="851" w:footer="992" w:gutter="0"/>
          <w:cols w:space="0" w:num="1"/>
          <w:docGrid w:type="lines" w:linePitch="319" w:charSpace="0"/>
        </w:sectPr>
      </w:pPr>
    </w:p>
    <w:p>
      <w:pPr>
        <w:tabs>
          <w:tab w:val="left" w:pos="7513"/>
        </w:tabs>
        <w:adjustRightInd w:val="0"/>
        <w:snapToGrid w:val="0"/>
        <w:spacing w:line="600" w:lineRule="exact"/>
        <w:outlineLvl w:val="1"/>
        <w:rPr>
          <w:rFonts w:ascii="仿宋" w:hAnsi="仿宋" w:eastAsia="仿宋"/>
          <w:sz w:val="32"/>
          <w:szCs w:val="32"/>
        </w:rPr>
      </w:pPr>
      <w:bookmarkStart w:id="35" w:name="_Toc17227_WPSOffice_Level2"/>
      <w:r>
        <w:rPr>
          <w:rFonts w:hint="eastAsia" w:ascii="仿宋" w:hAnsi="仿宋" w:eastAsia="仿宋"/>
          <w:sz w:val="32"/>
          <w:szCs w:val="32"/>
        </w:rPr>
        <w:t>八、一般公共预算基本支出经济分类情况表</w:t>
      </w:r>
      <w:bookmarkEnd w:id="35"/>
    </w:p>
    <w:tbl>
      <w:tblPr>
        <w:tblStyle w:val="8"/>
        <w:tblW w:w="7455" w:type="dxa"/>
        <w:tblInd w:w="0" w:type="dxa"/>
        <w:tblLayout w:type="fixed"/>
        <w:tblCellMar>
          <w:top w:w="0" w:type="dxa"/>
          <w:left w:w="0" w:type="dxa"/>
          <w:bottom w:w="0" w:type="dxa"/>
          <w:right w:w="0" w:type="dxa"/>
        </w:tblCellMar>
      </w:tblPr>
      <w:tblGrid>
        <w:gridCol w:w="2115"/>
        <w:gridCol w:w="3990"/>
        <w:gridCol w:w="1350"/>
      </w:tblGrid>
      <w:tr>
        <w:tblPrEx>
          <w:tblCellMar>
            <w:top w:w="0" w:type="dxa"/>
            <w:left w:w="0" w:type="dxa"/>
            <w:bottom w:w="0" w:type="dxa"/>
            <w:right w:w="0" w:type="dxa"/>
          </w:tblCellMar>
        </w:tblPrEx>
        <w:trPr>
          <w:trHeight w:val="675" w:hRule="atLeast"/>
        </w:trPr>
        <w:tc>
          <w:tcPr>
            <w:tcW w:w="7455" w:type="dxa"/>
            <w:gridSpan w:val="3"/>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年度一般公共预算基本支出经济分类情况表</w:t>
            </w:r>
          </w:p>
        </w:tc>
      </w:tr>
      <w:tr>
        <w:tblPrEx>
          <w:tblCellMar>
            <w:top w:w="0" w:type="dxa"/>
            <w:left w:w="0" w:type="dxa"/>
            <w:bottom w:w="0" w:type="dxa"/>
            <w:right w:w="0" w:type="dxa"/>
          </w:tblCellMar>
        </w:tblPrEx>
        <w:trPr>
          <w:trHeight w:val="420" w:hRule="atLeast"/>
        </w:trPr>
        <w:tc>
          <w:tcPr>
            <w:tcW w:w="2115" w:type="dxa"/>
            <w:tcBorders>
              <w:top w:val="nil"/>
              <w:left w:val="nil"/>
              <w:bottom w:val="nil"/>
              <w:right w:val="nil"/>
            </w:tcBorders>
            <w:shd w:val="clear" w:color="auto" w:fill="auto"/>
            <w:noWrap/>
            <w:tcMar>
              <w:top w:w="15" w:type="dxa"/>
              <w:left w:w="15" w:type="dxa"/>
              <w:right w:w="15" w:type="dxa"/>
            </w:tcMar>
            <w:vAlign w:val="center"/>
          </w:tcPr>
          <w:p>
            <w:pPr>
              <w:rPr>
                <w:rFonts w:ascii="Arial" w:hAnsi="Arial" w:eastAsia="宋体" w:cs="Arial"/>
                <w:color w:val="000000"/>
                <w:sz w:val="20"/>
                <w:szCs w:val="20"/>
              </w:rPr>
            </w:pPr>
          </w:p>
        </w:tc>
        <w:tc>
          <w:tcPr>
            <w:tcW w:w="5340" w:type="dxa"/>
            <w:gridSpan w:val="2"/>
            <w:tcBorders>
              <w:top w:val="nil"/>
              <w:left w:val="nil"/>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 编码</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科目名称</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2" w:hRule="atLeast"/>
        </w:trPr>
        <w:tc>
          <w:tcPr>
            <w:tcW w:w="61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1146.12</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工资福利支出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410.5</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基本工资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160.26</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津贴补贴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128.95</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奖金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伙食补助费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绩效工资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43.78</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职业年金缴费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职工基本医疗保险缴费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23.14</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公务员医疗补助缴费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17.35</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其他社会保障缴费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2.31</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34.71</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其他工资福利支出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商品和服务支出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66.19</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办公费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60.71</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印刷费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咨询费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3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手续费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电费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邮电费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取暖费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物业管理费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差旅费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因公出国（境）费用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维修(护)费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租赁费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会议费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培训费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专用材料费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被装购置费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专用燃料费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劳务费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委托业务费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工会经费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5.48</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福利费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公务用车运行维护费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其他交通费用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税金及附加费用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其他商品和服务支出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对个人和家庭的补助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color w:val="000000"/>
                <w:kern w:val="0"/>
                <w:sz w:val="22"/>
              </w:rPr>
              <w:t>30.26</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离休费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退休费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退职(役)费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生活补助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救济费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医疗费补助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助学金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奖励金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个人农业生产补贴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其他对个人和家庭的补助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30.26</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债务利息及费用支出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国内债务付息</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国外债务付息</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国内债务发行费用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国外债务发行费用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309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资本性支出（基本建设）</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房屋建筑物购建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办公设备购置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专用设备购置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基础设施建设</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大型修缮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信息网络及软件购置更新</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30908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物资储备</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公务用车购置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30919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其他交通工具购置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30921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文物和陈列品购置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30922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无形资产购置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30999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其他基本建设支出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资本性支出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房屋建筑物购建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办公设备购置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专用设备购置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基础设施建设</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大型修缮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信息网络及软件购置更新</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物资储备</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土地补偿</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安置补助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地上附着物和青苗补偿</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3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拆迁补偿</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公务用车购置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其他交通工具购置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文物和陈列品购置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无形资产购置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其他资本性支出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对企业补助（基本建设）</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31101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资本金注入</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31199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其他对企业补助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对企业补助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31201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资本金注入</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政府投资基金股权投资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31204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费用补贴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31205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利息补贴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31299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其他对企业补助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对社会保障基金补助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b/>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31302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对社会保险基金补助</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31303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补充全国社会保障基金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399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其他支出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639.17</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赠与</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国家赔偿费用支出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对民间非营利组织和群众性自治组织补贴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202.17</w:t>
            </w:r>
          </w:p>
        </w:tc>
      </w:tr>
      <w:tr>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437</w:t>
            </w:r>
          </w:p>
        </w:tc>
      </w:tr>
    </w:tbl>
    <w:p>
      <w:pPr>
        <w:tabs>
          <w:tab w:val="left" w:pos="7513"/>
        </w:tabs>
        <w:adjustRightInd w:val="0"/>
        <w:snapToGrid w:val="0"/>
        <w:spacing w:line="600" w:lineRule="exact"/>
        <w:rPr>
          <w:rFonts w:ascii="仿宋" w:hAnsi="仿宋" w:eastAsia="仿宋"/>
          <w:sz w:val="32"/>
          <w:szCs w:val="32"/>
        </w:rPr>
      </w:pPr>
    </w:p>
    <w:p>
      <w:pPr>
        <w:tabs>
          <w:tab w:val="left" w:pos="7513"/>
        </w:tabs>
        <w:adjustRightInd w:val="0"/>
        <w:snapToGrid w:val="0"/>
        <w:spacing w:line="600" w:lineRule="exact"/>
        <w:rPr>
          <w:rFonts w:ascii="仿宋" w:hAnsi="仿宋" w:eastAsia="仿宋"/>
          <w:sz w:val="32"/>
          <w:szCs w:val="32"/>
        </w:rPr>
      </w:pPr>
    </w:p>
    <w:p>
      <w:pPr>
        <w:numPr>
          <w:ilvl w:val="0"/>
          <w:numId w:val="2"/>
        </w:numPr>
        <w:tabs>
          <w:tab w:val="left" w:pos="7513"/>
        </w:tabs>
        <w:adjustRightInd w:val="0"/>
        <w:snapToGrid w:val="0"/>
        <w:spacing w:line="600" w:lineRule="exact"/>
        <w:outlineLvl w:val="1"/>
        <w:rPr>
          <w:rFonts w:ascii="仿宋" w:hAnsi="仿宋" w:eastAsia="仿宋"/>
          <w:sz w:val="32"/>
          <w:szCs w:val="32"/>
        </w:rPr>
      </w:pPr>
      <w:bookmarkStart w:id="36" w:name="_Toc646_WPSOffice_Level2"/>
      <w:r>
        <w:rPr>
          <w:rFonts w:hint="eastAsia" w:ascii="仿宋" w:hAnsi="仿宋" w:eastAsia="仿宋"/>
          <w:sz w:val="32"/>
          <w:szCs w:val="32"/>
        </w:rPr>
        <w:t>一般公共预算“三公”经费支出预算表</w:t>
      </w:r>
      <w:bookmarkEnd w:id="36"/>
    </w:p>
    <w:p>
      <w:pPr>
        <w:tabs>
          <w:tab w:val="left" w:pos="7513"/>
        </w:tabs>
        <w:adjustRightInd w:val="0"/>
        <w:snapToGrid w:val="0"/>
        <w:spacing w:line="600" w:lineRule="exact"/>
        <w:rPr>
          <w:rFonts w:ascii="仿宋" w:hAnsi="仿宋" w:eastAsia="仿宋"/>
          <w:sz w:val="32"/>
          <w:szCs w:val="32"/>
        </w:rPr>
      </w:pPr>
    </w:p>
    <w:tbl>
      <w:tblPr>
        <w:tblStyle w:val="8"/>
        <w:tblW w:w="9660" w:type="dxa"/>
        <w:tblInd w:w="0" w:type="dxa"/>
        <w:tblLayout w:type="fixed"/>
        <w:tblCellMar>
          <w:top w:w="0" w:type="dxa"/>
          <w:left w:w="0" w:type="dxa"/>
          <w:bottom w:w="0" w:type="dxa"/>
          <w:right w:w="0" w:type="dxa"/>
        </w:tblCellMar>
      </w:tblPr>
      <w:tblGrid>
        <w:gridCol w:w="6090"/>
        <w:gridCol w:w="3570"/>
      </w:tblGrid>
      <w:tr>
        <w:tblPrEx>
          <w:tblCellMar>
            <w:top w:w="0" w:type="dxa"/>
            <w:left w:w="0" w:type="dxa"/>
            <w:bottom w:w="0" w:type="dxa"/>
            <w:right w:w="0" w:type="dxa"/>
          </w:tblCellMar>
        </w:tblPrEx>
        <w:trPr>
          <w:trHeight w:val="570" w:hRule="atLeast"/>
        </w:trPr>
        <w:tc>
          <w:tcPr>
            <w:tcW w:w="9660" w:type="dxa"/>
            <w:gridSpan w:val="2"/>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color w:val="000000"/>
                <w:sz w:val="32"/>
                <w:szCs w:val="32"/>
              </w:rPr>
            </w:pPr>
            <w:r>
              <w:rPr>
                <w:rFonts w:ascii="方正小标宋_GBK" w:hAnsi="方正小标宋_GBK" w:eastAsia="方正小标宋_GBK" w:cs="方正小标宋_GBK"/>
                <w:color w:val="000000"/>
                <w:kern w:val="0"/>
                <w:sz w:val="32"/>
                <w:szCs w:val="32"/>
              </w:rPr>
              <w:t>202</w:t>
            </w:r>
            <w:r>
              <w:rPr>
                <w:rFonts w:hint="eastAsia" w:ascii="方正小标宋_GBK" w:hAnsi="方正小标宋_GBK" w:eastAsia="方正小标宋_GBK" w:cs="方正小标宋_GBK"/>
                <w:color w:val="000000"/>
                <w:kern w:val="0"/>
                <w:sz w:val="32"/>
                <w:szCs w:val="32"/>
              </w:rPr>
              <w:t>3</w:t>
            </w:r>
            <w:r>
              <w:rPr>
                <w:rFonts w:ascii="方正小标宋_GBK" w:hAnsi="方正小标宋_GBK" w:eastAsia="方正小标宋_GBK" w:cs="方正小标宋_GBK"/>
                <w:color w:val="000000"/>
                <w:kern w:val="0"/>
                <w:sz w:val="32"/>
                <w:szCs w:val="32"/>
              </w:rPr>
              <w:t>年度一般公共预算“三公”经费支出预算表</w:t>
            </w:r>
          </w:p>
        </w:tc>
      </w:tr>
      <w:tr>
        <w:tblPrEx>
          <w:tblCellMar>
            <w:top w:w="0" w:type="dxa"/>
            <w:left w:w="0" w:type="dxa"/>
            <w:bottom w:w="0" w:type="dxa"/>
            <w:right w:w="0" w:type="dxa"/>
          </w:tblCellMar>
        </w:tblPrEx>
        <w:trPr>
          <w:trHeight w:val="360" w:hRule="atLeast"/>
        </w:trPr>
        <w:tc>
          <w:tcPr>
            <w:tcW w:w="6090" w:type="dxa"/>
            <w:tcBorders>
              <w:top w:val="nil"/>
              <w:left w:val="nil"/>
              <w:bottom w:val="nil"/>
              <w:right w:val="nil"/>
            </w:tcBorders>
            <w:shd w:val="clear" w:color="auto" w:fill="auto"/>
            <w:noWrap/>
            <w:tcMar>
              <w:top w:w="15" w:type="dxa"/>
              <w:left w:w="15" w:type="dxa"/>
              <w:right w:w="15" w:type="dxa"/>
            </w:tcMar>
            <w:vAlign w:val="center"/>
          </w:tcPr>
          <w:p>
            <w:pPr>
              <w:rPr>
                <w:rFonts w:ascii="楷体_GB2312" w:hAnsi="宋体" w:eastAsia="楷体_GB2312" w:cs="楷体_GB2312"/>
                <w:color w:val="000000"/>
                <w:sz w:val="24"/>
                <w:szCs w:val="24"/>
              </w:rPr>
            </w:pPr>
          </w:p>
        </w:tc>
        <w:tc>
          <w:tcPr>
            <w:tcW w:w="3570" w:type="dxa"/>
            <w:tcBorders>
              <w:top w:val="nil"/>
              <w:left w:val="nil"/>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402" w:hRule="atLeast"/>
        </w:trPr>
        <w:tc>
          <w:tcPr>
            <w:tcW w:w="60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CellMar>
            <w:top w:w="0" w:type="dxa"/>
            <w:left w:w="0" w:type="dxa"/>
            <w:bottom w:w="0" w:type="dxa"/>
            <w:right w:w="0" w:type="dxa"/>
          </w:tblCellMar>
        </w:tblPrEx>
        <w:trPr>
          <w:trHeight w:val="402" w:hRule="atLeast"/>
        </w:trPr>
        <w:tc>
          <w:tcPr>
            <w:tcW w:w="60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w:t>
            </w:r>
          </w:p>
        </w:tc>
      </w:tr>
      <w:tr>
        <w:tblPrEx>
          <w:tblCellMar>
            <w:top w:w="0" w:type="dxa"/>
            <w:left w:w="0" w:type="dxa"/>
            <w:bottom w:w="0" w:type="dxa"/>
            <w:right w:w="0" w:type="dxa"/>
          </w:tblCellMar>
        </w:tblPrEx>
        <w:trPr>
          <w:trHeight w:val="402" w:hRule="atLeast"/>
        </w:trPr>
        <w:tc>
          <w:tcPr>
            <w:tcW w:w="60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1、因公出国（境）费用</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r>
      <w:tr>
        <w:tblPrEx>
          <w:tblCellMar>
            <w:top w:w="0" w:type="dxa"/>
            <w:left w:w="0" w:type="dxa"/>
            <w:bottom w:w="0" w:type="dxa"/>
            <w:right w:w="0" w:type="dxa"/>
          </w:tblCellMar>
        </w:tblPrEx>
        <w:trPr>
          <w:trHeight w:val="402" w:hRule="atLeast"/>
        </w:trPr>
        <w:tc>
          <w:tcPr>
            <w:tcW w:w="60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2、公务接待费</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w:t>
            </w:r>
          </w:p>
        </w:tc>
      </w:tr>
      <w:tr>
        <w:tblPrEx>
          <w:tblCellMar>
            <w:top w:w="0" w:type="dxa"/>
            <w:left w:w="0" w:type="dxa"/>
            <w:bottom w:w="0" w:type="dxa"/>
            <w:right w:w="0" w:type="dxa"/>
          </w:tblCellMar>
        </w:tblPrEx>
        <w:trPr>
          <w:trHeight w:val="402" w:hRule="atLeast"/>
        </w:trPr>
        <w:tc>
          <w:tcPr>
            <w:tcW w:w="60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3、公务用车购置及运行费</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w:t>
            </w:r>
          </w:p>
        </w:tc>
      </w:tr>
      <w:tr>
        <w:tblPrEx>
          <w:tblCellMar>
            <w:top w:w="0" w:type="dxa"/>
            <w:left w:w="0" w:type="dxa"/>
            <w:bottom w:w="0" w:type="dxa"/>
            <w:right w:w="0" w:type="dxa"/>
          </w:tblCellMar>
        </w:tblPrEx>
        <w:trPr>
          <w:trHeight w:val="402" w:hRule="atLeast"/>
        </w:trPr>
        <w:tc>
          <w:tcPr>
            <w:tcW w:w="60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其中：（1）公务用车运行费</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w:t>
            </w:r>
          </w:p>
        </w:tc>
      </w:tr>
      <w:tr>
        <w:tblPrEx>
          <w:tblCellMar>
            <w:top w:w="0" w:type="dxa"/>
            <w:left w:w="0" w:type="dxa"/>
            <w:bottom w:w="0" w:type="dxa"/>
            <w:right w:w="0" w:type="dxa"/>
          </w:tblCellMar>
        </w:tblPrEx>
        <w:trPr>
          <w:trHeight w:val="402" w:hRule="atLeast"/>
        </w:trPr>
        <w:tc>
          <w:tcPr>
            <w:tcW w:w="60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（2）公务用车购置费</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w:t>
            </w:r>
          </w:p>
        </w:tc>
      </w:tr>
      <w:tr>
        <w:tblPrEx>
          <w:tblCellMar>
            <w:top w:w="0" w:type="dxa"/>
            <w:left w:w="0" w:type="dxa"/>
            <w:bottom w:w="0" w:type="dxa"/>
            <w:right w:w="0" w:type="dxa"/>
          </w:tblCellMar>
        </w:tblPrEx>
        <w:trPr>
          <w:trHeight w:val="930" w:hRule="atLeast"/>
        </w:trPr>
        <w:tc>
          <w:tcPr>
            <w:tcW w:w="9660" w:type="dxa"/>
            <w:gridSpan w:val="2"/>
            <w:tcBorders>
              <w:top w:val="single" w:color="000000" w:sz="4" w:space="0"/>
              <w:left w:val="nil"/>
              <w:bottom w:val="nil"/>
              <w:right w:val="nil"/>
            </w:tcBorders>
            <w:shd w:val="clear" w:color="auto" w:fill="auto"/>
            <w:tcMar>
              <w:top w:w="15" w:type="dxa"/>
              <w:left w:w="15" w:type="dxa"/>
              <w:right w:w="15" w:type="dxa"/>
            </w:tcMar>
            <w:vAlign w:val="center"/>
          </w:tcPr>
          <w:p>
            <w:pPr>
              <w:widowControl/>
              <w:jc w:val="left"/>
              <w:textAlignment w:val="center"/>
              <w:rPr>
                <w:rFonts w:ascii="华文楷体" w:hAnsi="华文楷体" w:eastAsia="华文楷体" w:cs="华文楷体"/>
                <w:color w:val="000000"/>
                <w:sz w:val="22"/>
              </w:rPr>
            </w:pPr>
            <w:r>
              <w:rPr>
                <w:rFonts w:ascii="华文楷体" w:hAnsi="华文楷体" w:eastAsia="华文楷体" w:cs="华文楷体"/>
                <w:color w:val="000000"/>
                <w:kern w:val="0"/>
                <w:sz w:val="22"/>
              </w:rPr>
              <w:t>备注：本表不能留空，没有金额必须标零或写无，并备注说明“本单位无一般公共预算安排的三公经费支出”。</w:t>
            </w:r>
          </w:p>
        </w:tc>
      </w:tr>
    </w:tbl>
    <w:p>
      <w:pPr>
        <w:tabs>
          <w:tab w:val="left" w:pos="7513"/>
        </w:tabs>
        <w:adjustRightInd w:val="0"/>
        <w:snapToGrid w:val="0"/>
        <w:spacing w:line="600" w:lineRule="exact"/>
        <w:rPr>
          <w:rFonts w:ascii="仿宋" w:hAnsi="仿宋" w:eastAsia="仿宋"/>
          <w:sz w:val="32"/>
          <w:szCs w:val="32"/>
        </w:rPr>
      </w:pPr>
    </w:p>
    <w:p>
      <w:pPr>
        <w:pStyle w:val="4"/>
        <w:jc w:val="center"/>
        <w:outlineLvl w:val="0"/>
        <w:rPr>
          <w:rFonts w:ascii="黑体" w:hAnsi="黑体" w:eastAsia="黑体"/>
          <w:sz w:val="36"/>
          <w:szCs w:val="36"/>
          <w:lang w:eastAsia="zh-CN"/>
        </w:rPr>
      </w:pPr>
      <w:bookmarkStart w:id="37" w:name="_Toc25893_WPSOffice_Level1"/>
      <w:r>
        <w:rPr>
          <w:rFonts w:hint="eastAsia" w:ascii="黑体" w:hAnsi="黑体" w:eastAsia="黑体"/>
          <w:sz w:val="36"/>
          <w:szCs w:val="36"/>
          <w:lang w:eastAsia="zh-CN"/>
        </w:rPr>
        <w:t>第三部分 2023年度部门预算情况说明</w:t>
      </w:r>
      <w:bookmarkEnd w:id="37"/>
    </w:p>
    <w:p>
      <w:pPr>
        <w:ind w:firstLine="640" w:firstLineChars="200"/>
        <w:rPr>
          <w:rFonts w:ascii="仿宋" w:hAnsi="仿宋" w:eastAsia="仿宋" w:cs="仿宋_GB2312"/>
          <w:sz w:val="32"/>
          <w:szCs w:val="32"/>
        </w:rPr>
      </w:pPr>
    </w:p>
    <w:p>
      <w:pPr>
        <w:tabs>
          <w:tab w:val="left" w:pos="7513"/>
        </w:tabs>
        <w:adjustRightInd w:val="0"/>
        <w:snapToGrid w:val="0"/>
        <w:spacing w:line="600" w:lineRule="exact"/>
        <w:outlineLvl w:val="1"/>
        <w:rPr>
          <w:rFonts w:ascii="仿宋" w:hAnsi="仿宋" w:eastAsia="仿宋"/>
          <w:b/>
          <w:sz w:val="32"/>
          <w:szCs w:val="32"/>
        </w:rPr>
      </w:pPr>
      <w:bookmarkStart w:id="38" w:name="_Toc21616_WPSOffice_Level2"/>
      <w:r>
        <w:rPr>
          <w:rFonts w:hint="eastAsia" w:ascii="仿宋" w:hAnsi="仿宋" w:eastAsia="仿宋"/>
          <w:b/>
          <w:sz w:val="32"/>
          <w:szCs w:val="32"/>
        </w:rPr>
        <w:t>一、预算收支总体情况</w:t>
      </w:r>
      <w:bookmarkEnd w:id="38"/>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按照综合预算的原则，部门所有收入和支出均纳入部门预算管理。2023年,</w:t>
      </w:r>
      <w:r>
        <w:rPr>
          <w:rFonts w:hint="eastAsia" w:ascii="仿宋" w:hAnsi="仿宋" w:eastAsia="仿宋" w:cs="仿宋_GB2312"/>
          <w:sz w:val="32"/>
          <w:szCs w:val="32"/>
        </w:rPr>
        <w:t>上杭县蓝溪镇人民政府</w:t>
      </w:r>
      <w:r>
        <w:rPr>
          <w:rFonts w:hint="eastAsia" w:ascii="仿宋" w:hAnsi="仿宋" w:eastAsia="仿宋"/>
          <w:sz w:val="32"/>
          <w:szCs w:val="32"/>
        </w:rPr>
        <w:t>收入预算为</w:t>
      </w:r>
      <w:r>
        <w:rPr>
          <w:rFonts w:hint="eastAsia" w:ascii="仿宋" w:hAnsi="仿宋" w:eastAsia="仿宋" w:cs="仿宋_GB2312"/>
          <w:sz w:val="32"/>
          <w:szCs w:val="32"/>
        </w:rPr>
        <w:t>1148.64</w:t>
      </w:r>
      <w:r>
        <w:rPr>
          <w:rFonts w:hint="eastAsia" w:ascii="仿宋" w:hAnsi="仿宋" w:eastAsia="仿宋"/>
          <w:sz w:val="32"/>
          <w:szCs w:val="32"/>
        </w:rPr>
        <w:t>万元，比上年增加</w:t>
      </w:r>
      <w:r>
        <w:rPr>
          <w:rFonts w:hint="eastAsia" w:ascii="仿宋" w:hAnsi="仿宋" w:eastAsia="仿宋" w:cs="仿宋_GB2312"/>
          <w:sz w:val="32"/>
          <w:szCs w:val="32"/>
        </w:rPr>
        <w:t>451.76</w:t>
      </w:r>
      <w:r>
        <w:rPr>
          <w:rFonts w:hint="eastAsia" w:ascii="仿宋" w:hAnsi="仿宋" w:eastAsia="仿宋"/>
          <w:sz w:val="32"/>
          <w:szCs w:val="32"/>
        </w:rPr>
        <w:t>万元，主要原因是</w:t>
      </w:r>
      <w:r>
        <w:rPr>
          <w:rFonts w:hint="eastAsia" w:ascii="仿宋" w:hAnsi="仿宋" w:eastAsia="仿宋" w:cs="仿宋_GB2312"/>
          <w:sz w:val="32"/>
          <w:szCs w:val="32"/>
        </w:rPr>
        <w:t>人员变动及项目支出增加。</w:t>
      </w:r>
      <w:r>
        <w:rPr>
          <w:rFonts w:hint="eastAsia" w:ascii="仿宋" w:hAnsi="仿宋" w:eastAsia="仿宋"/>
          <w:sz w:val="32"/>
          <w:szCs w:val="32"/>
        </w:rPr>
        <w:t>其中：一般公共预算拨款</w:t>
      </w:r>
      <w:r>
        <w:rPr>
          <w:rFonts w:hint="eastAsia" w:ascii="仿宋" w:hAnsi="仿宋" w:eastAsia="仿宋" w:cs="仿宋_GB2312"/>
          <w:sz w:val="32"/>
          <w:szCs w:val="32"/>
        </w:rPr>
        <w:t>1148.64</w:t>
      </w:r>
      <w:r>
        <w:rPr>
          <w:rFonts w:hint="eastAsia" w:ascii="仿宋" w:hAnsi="仿宋" w:eastAsia="仿宋"/>
          <w:sz w:val="32"/>
          <w:szCs w:val="32"/>
        </w:rPr>
        <w:t>万元，基金预算财政拨款</w:t>
      </w:r>
      <w:r>
        <w:rPr>
          <w:rFonts w:hint="eastAsia" w:ascii="仿宋" w:hAnsi="仿宋" w:eastAsia="仿宋" w:cs="仿宋_GB2312"/>
          <w:sz w:val="32"/>
          <w:szCs w:val="32"/>
        </w:rPr>
        <w:t>0</w:t>
      </w:r>
      <w:r>
        <w:rPr>
          <w:rFonts w:hint="eastAsia" w:ascii="仿宋" w:hAnsi="仿宋" w:eastAsia="仿宋"/>
          <w:sz w:val="32"/>
          <w:szCs w:val="32"/>
        </w:rPr>
        <w:t>万元,财政专户拨款</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万元,单位结余结转资金</w:t>
      </w:r>
      <w:r>
        <w:rPr>
          <w:rFonts w:hint="eastAsia" w:ascii="仿宋" w:hAnsi="仿宋" w:eastAsia="仿宋" w:cs="仿宋_GB2312"/>
          <w:sz w:val="32"/>
          <w:szCs w:val="32"/>
        </w:rPr>
        <w:t>0</w:t>
      </w:r>
      <w:r>
        <w:rPr>
          <w:rFonts w:hint="eastAsia" w:ascii="仿宋" w:hAnsi="仿宋" w:eastAsia="仿宋"/>
          <w:sz w:val="32"/>
          <w:szCs w:val="32"/>
        </w:rPr>
        <w:t>万元。相应安排支出预算</w:t>
      </w:r>
      <w:r>
        <w:rPr>
          <w:rFonts w:hint="eastAsia" w:ascii="仿宋" w:hAnsi="仿宋" w:eastAsia="仿宋" w:cs="仿宋_GB2312"/>
          <w:sz w:val="32"/>
          <w:szCs w:val="32"/>
        </w:rPr>
        <w:t>1146.12</w:t>
      </w:r>
      <w:r>
        <w:rPr>
          <w:rFonts w:hint="eastAsia" w:ascii="仿宋" w:hAnsi="仿宋" w:eastAsia="仿宋"/>
          <w:sz w:val="32"/>
          <w:szCs w:val="32"/>
        </w:rPr>
        <w:t>万元，比上年增加</w:t>
      </w:r>
      <w:r>
        <w:rPr>
          <w:rFonts w:hint="eastAsia" w:ascii="仿宋" w:hAnsi="仿宋" w:eastAsia="仿宋" w:cs="仿宋_GB2312"/>
          <w:sz w:val="32"/>
          <w:szCs w:val="32"/>
        </w:rPr>
        <w:t>452.29</w:t>
      </w:r>
      <w:r>
        <w:rPr>
          <w:rFonts w:hint="eastAsia" w:ascii="仿宋" w:hAnsi="仿宋" w:eastAsia="仿宋"/>
          <w:sz w:val="32"/>
          <w:szCs w:val="32"/>
        </w:rPr>
        <w:t>万元，其中：人员支出</w:t>
      </w:r>
      <w:r>
        <w:rPr>
          <w:rFonts w:hint="eastAsia" w:ascii="仿宋" w:hAnsi="仿宋" w:eastAsia="仿宋" w:cs="仿宋_GB2312"/>
          <w:sz w:val="32"/>
          <w:szCs w:val="32"/>
        </w:rPr>
        <w:t>410.5</w:t>
      </w:r>
      <w:r>
        <w:rPr>
          <w:rFonts w:hint="eastAsia" w:ascii="仿宋" w:hAnsi="仿宋" w:eastAsia="仿宋"/>
          <w:sz w:val="32"/>
          <w:szCs w:val="32"/>
        </w:rPr>
        <w:t>万元，对个人和家庭补助支出</w:t>
      </w:r>
      <w:r>
        <w:rPr>
          <w:rFonts w:hint="eastAsia" w:ascii="仿宋" w:hAnsi="仿宋" w:eastAsia="仿宋" w:cs="仿宋_GB2312"/>
          <w:sz w:val="32"/>
          <w:szCs w:val="32"/>
        </w:rPr>
        <w:t>232.43</w:t>
      </w:r>
      <w:r>
        <w:rPr>
          <w:rFonts w:hint="eastAsia" w:ascii="仿宋" w:hAnsi="仿宋" w:eastAsia="仿宋"/>
          <w:sz w:val="32"/>
          <w:szCs w:val="32"/>
        </w:rPr>
        <w:t>万元，公用支出</w:t>
      </w:r>
      <w:r>
        <w:rPr>
          <w:rFonts w:hint="eastAsia" w:ascii="仿宋" w:hAnsi="仿宋" w:eastAsia="仿宋" w:cs="仿宋_GB2312"/>
          <w:sz w:val="32"/>
          <w:szCs w:val="32"/>
        </w:rPr>
        <w:t>66.19</w:t>
      </w:r>
      <w:r>
        <w:rPr>
          <w:rFonts w:hint="eastAsia" w:ascii="仿宋" w:hAnsi="仿宋" w:eastAsia="仿宋"/>
          <w:sz w:val="32"/>
          <w:szCs w:val="32"/>
        </w:rPr>
        <w:t>万元，项目支出</w:t>
      </w:r>
      <w:r>
        <w:rPr>
          <w:rFonts w:hint="eastAsia" w:ascii="仿宋" w:hAnsi="仿宋" w:eastAsia="仿宋" w:cs="仿宋_GB2312"/>
          <w:sz w:val="32"/>
          <w:szCs w:val="32"/>
        </w:rPr>
        <w:t>437</w:t>
      </w:r>
      <w:r>
        <w:rPr>
          <w:rFonts w:hint="eastAsia" w:ascii="仿宋" w:hAnsi="仿宋" w:eastAsia="仿宋"/>
          <w:sz w:val="32"/>
          <w:szCs w:val="32"/>
        </w:rPr>
        <w:t>万元。</w:t>
      </w:r>
    </w:p>
    <w:p>
      <w:pPr>
        <w:tabs>
          <w:tab w:val="left" w:pos="7513"/>
        </w:tabs>
        <w:adjustRightInd w:val="0"/>
        <w:snapToGrid w:val="0"/>
        <w:spacing w:line="600" w:lineRule="exact"/>
        <w:outlineLvl w:val="1"/>
        <w:rPr>
          <w:rFonts w:ascii="仿宋" w:hAnsi="仿宋" w:eastAsia="仿宋"/>
          <w:b/>
          <w:sz w:val="32"/>
          <w:szCs w:val="32"/>
        </w:rPr>
      </w:pPr>
      <w:bookmarkStart w:id="39" w:name="_Toc20821_WPSOffice_Level2"/>
      <w:r>
        <w:rPr>
          <w:rFonts w:hint="eastAsia" w:ascii="仿宋" w:hAnsi="仿宋" w:eastAsia="仿宋"/>
          <w:b/>
          <w:sz w:val="32"/>
          <w:szCs w:val="32"/>
        </w:rPr>
        <w:t>二、一般公共预算拨款支出情况</w:t>
      </w:r>
      <w:bookmarkEnd w:id="39"/>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bCs/>
          <w:sz w:val="32"/>
          <w:szCs w:val="32"/>
        </w:rPr>
        <w:t>2023</w:t>
      </w:r>
      <w:r>
        <w:rPr>
          <w:rFonts w:hint="eastAsia" w:ascii="仿宋" w:hAnsi="仿宋" w:eastAsia="仿宋" w:cs="仿宋_GB2312"/>
          <w:sz w:val="32"/>
          <w:szCs w:val="32"/>
        </w:rPr>
        <w:t>年度一般公共预算拨款支出1146.12万元</w:t>
      </w:r>
      <w:r>
        <w:rPr>
          <w:rFonts w:hint="eastAsia" w:ascii="仿宋" w:hAnsi="仿宋" w:eastAsia="仿宋"/>
          <w:sz w:val="32"/>
          <w:szCs w:val="32"/>
        </w:rPr>
        <w:t>，比上年增加452.29万元，主要原因是</w:t>
      </w:r>
      <w:r>
        <w:rPr>
          <w:rFonts w:hint="eastAsia" w:ascii="仿宋" w:hAnsi="仿宋" w:eastAsia="仿宋" w:cs="仿宋_GB2312"/>
          <w:sz w:val="32"/>
          <w:szCs w:val="32"/>
        </w:rPr>
        <w:t>人员调动及项目支出增加，主要支出项目(按项级科目分类统计)包括：</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（一）工资福利支出410.5万元。主要用于在职人员工资、社保缴费、养老保险、工伤险、生育险等支出。</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（二）商品和服务支出66.19万元。主要用于公用经费支出。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（三）对个人和家庭支出30.26万元。主要用于离休人员公务费、退休人员安置费、遗属补助、医疗补助、住房公积金等支出。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（四）转移性支出202.17万元。主要用于村级组织运转、各大员补助支出等。</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（五）其他支出437万元。</w:t>
      </w:r>
    </w:p>
    <w:p>
      <w:pPr>
        <w:tabs>
          <w:tab w:val="left" w:pos="7513"/>
        </w:tabs>
        <w:adjustRightInd w:val="0"/>
        <w:snapToGrid w:val="0"/>
        <w:spacing w:line="600" w:lineRule="exact"/>
        <w:outlineLvl w:val="1"/>
        <w:rPr>
          <w:rFonts w:ascii="仿宋" w:hAnsi="仿宋" w:eastAsia="仿宋"/>
          <w:b/>
          <w:sz w:val="32"/>
          <w:szCs w:val="32"/>
        </w:rPr>
      </w:pPr>
      <w:bookmarkStart w:id="40" w:name="_Toc24172_WPSOffice_Level2"/>
      <w:r>
        <w:rPr>
          <w:rFonts w:hint="eastAsia" w:ascii="仿宋" w:hAnsi="仿宋" w:eastAsia="仿宋"/>
          <w:b/>
          <w:sz w:val="32"/>
          <w:szCs w:val="32"/>
        </w:rPr>
        <w:t>三、政府性基金预算拨款支出情况</w:t>
      </w:r>
      <w:bookmarkEnd w:id="40"/>
    </w:p>
    <w:p>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宋体"/>
          <w:bCs/>
          <w:sz w:val="32"/>
          <w:szCs w:val="32"/>
        </w:rPr>
        <w:t>2023</w:t>
      </w:r>
      <w:r>
        <w:rPr>
          <w:rFonts w:hint="eastAsia" w:ascii="仿宋" w:hAnsi="仿宋" w:eastAsia="仿宋" w:cs="仿宋_GB2312"/>
          <w:sz w:val="32"/>
          <w:szCs w:val="32"/>
        </w:rPr>
        <w:t>年度政府性基金支出0万元。</w:t>
      </w:r>
      <w:r>
        <w:rPr>
          <w:rFonts w:hint="eastAsia" w:ascii="楷体" w:hAnsi="楷体" w:eastAsia="楷体" w:cs="仿宋_GB2312"/>
          <w:sz w:val="32"/>
          <w:szCs w:val="32"/>
        </w:rPr>
        <w:t>本单位2023年度没有使用政府性基金预算拨款安排的支出。</w:t>
      </w:r>
    </w:p>
    <w:p>
      <w:pPr>
        <w:tabs>
          <w:tab w:val="left" w:pos="7513"/>
        </w:tabs>
        <w:adjustRightInd w:val="0"/>
        <w:snapToGrid w:val="0"/>
        <w:spacing w:line="600" w:lineRule="exact"/>
        <w:outlineLvl w:val="1"/>
        <w:rPr>
          <w:rFonts w:ascii="仿宋" w:hAnsi="仿宋" w:eastAsia="仿宋"/>
          <w:b/>
          <w:sz w:val="32"/>
          <w:szCs w:val="32"/>
        </w:rPr>
      </w:pPr>
      <w:bookmarkStart w:id="41" w:name="_Toc22722_WPSOffice_Level2"/>
      <w:r>
        <w:rPr>
          <w:rFonts w:hint="eastAsia" w:ascii="仿宋" w:hAnsi="仿宋" w:eastAsia="仿宋"/>
          <w:b/>
          <w:sz w:val="32"/>
          <w:szCs w:val="32"/>
        </w:rPr>
        <w:t>四、财政拨款预算基本支出情况</w:t>
      </w:r>
      <w:bookmarkEnd w:id="41"/>
    </w:p>
    <w:p>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2023</w:t>
      </w:r>
      <w:r>
        <w:rPr>
          <w:rFonts w:hint="eastAsia" w:ascii="仿宋" w:hAnsi="仿宋" w:eastAsia="仿宋" w:cs="仿宋_GB2312"/>
          <w:sz w:val="32"/>
          <w:szCs w:val="32"/>
        </w:rPr>
        <w:t>年度财政拨款基本支出476.48万元，其中：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440.76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66.19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outlineLvl w:val="1"/>
        <w:rPr>
          <w:rFonts w:ascii="仿宋" w:hAnsi="仿宋" w:eastAsia="仿宋"/>
          <w:b/>
          <w:sz w:val="32"/>
          <w:szCs w:val="32"/>
        </w:rPr>
      </w:pPr>
      <w:bookmarkStart w:id="42" w:name="_Toc15900_WPSOffice_Level2"/>
      <w:r>
        <w:rPr>
          <w:rFonts w:hint="eastAsia" w:ascii="仿宋" w:hAnsi="仿宋" w:eastAsia="仿宋"/>
          <w:b/>
          <w:sz w:val="32"/>
          <w:szCs w:val="32"/>
        </w:rPr>
        <w:t>五、一般公共预算“三公”经费支出情况</w:t>
      </w:r>
      <w:bookmarkEnd w:id="42"/>
    </w:p>
    <w:p>
      <w:pPr>
        <w:widowControl/>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pPr>
        <w:widowControl/>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宋体"/>
          <w:kern w:val="0"/>
          <w:sz w:val="32"/>
          <w:szCs w:val="32"/>
        </w:rPr>
        <w:t>2023年预算安排</w:t>
      </w:r>
      <w:r>
        <w:rPr>
          <w:rFonts w:hint="eastAsia" w:ascii="仿宋" w:hAnsi="仿宋" w:eastAsia="仿宋" w:cs="仿宋_GB2312"/>
          <w:kern w:val="0"/>
          <w:sz w:val="32"/>
          <w:szCs w:val="32"/>
        </w:rPr>
        <w:t>36</w:t>
      </w:r>
      <w:r>
        <w:rPr>
          <w:rFonts w:hint="eastAsia" w:ascii="仿宋" w:hAnsi="仿宋" w:eastAsia="仿宋" w:cs="宋体"/>
          <w:kern w:val="0"/>
          <w:sz w:val="32"/>
          <w:szCs w:val="32"/>
        </w:rPr>
        <w:t>万元。</w:t>
      </w:r>
      <w:r>
        <w:rPr>
          <w:rFonts w:hint="eastAsia" w:ascii="仿宋" w:hAnsi="仿宋" w:eastAsia="仿宋" w:cs="仿宋_GB2312"/>
          <w:sz w:val="32"/>
          <w:szCs w:val="32"/>
        </w:rPr>
        <w:t>比上年减少2万元。</w:t>
      </w:r>
    </w:p>
    <w:p>
      <w:pPr>
        <w:widowControl/>
        <w:adjustRightInd w:val="0"/>
        <w:snapToGrid w:val="0"/>
        <w:spacing w:line="600" w:lineRule="exact"/>
        <w:ind w:firstLine="643" w:firstLineChars="200"/>
        <w:rPr>
          <w:rFonts w:ascii="仿宋" w:hAnsi="仿宋" w:eastAsia="仿宋" w:cs="仿宋_GB2312"/>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r>
        <w:rPr>
          <w:rFonts w:hint="eastAsia" w:ascii="楷体" w:hAnsi="楷体" w:eastAsia="楷体" w:cs="宋体"/>
          <w:b/>
          <w:bCs/>
          <w:kern w:val="0"/>
          <w:sz w:val="32"/>
          <w:szCs w:val="32"/>
        </w:rPr>
        <w:br w:type="textWrapping"/>
      </w:r>
      <w:r>
        <w:rPr>
          <w:rFonts w:hint="eastAsia" w:ascii="仿宋" w:hAnsi="仿宋" w:eastAsia="仿宋" w:cs="宋体"/>
          <w:kern w:val="0"/>
          <w:sz w:val="32"/>
          <w:szCs w:val="32"/>
        </w:rPr>
        <w:t>　　2023年预算安排</w:t>
      </w:r>
      <w:r>
        <w:rPr>
          <w:rFonts w:hint="eastAsia" w:ascii="仿宋" w:hAnsi="仿宋" w:eastAsia="仿宋" w:cs="仿宋_GB2312"/>
          <w:kern w:val="0"/>
          <w:sz w:val="32"/>
          <w:szCs w:val="32"/>
        </w:rPr>
        <w:t>28</w:t>
      </w:r>
      <w:r>
        <w:rPr>
          <w:rFonts w:hint="eastAsia" w:ascii="仿宋" w:hAnsi="仿宋" w:eastAsia="仿宋" w:cs="宋体"/>
          <w:kern w:val="0"/>
          <w:sz w:val="32"/>
          <w:szCs w:val="32"/>
        </w:rPr>
        <w:t>万元。主要用于主要用于上级检查，业务开展等方面的接待活动。</w:t>
      </w:r>
      <w:r>
        <w:rPr>
          <w:rFonts w:hint="eastAsia" w:ascii="仿宋" w:hAnsi="仿宋" w:eastAsia="仿宋" w:cs="仿宋_GB2312"/>
          <w:sz w:val="32"/>
          <w:szCs w:val="32"/>
        </w:rPr>
        <w:t>与</w:t>
      </w:r>
      <w:r>
        <w:rPr>
          <w:rFonts w:hint="eastAsia" w:ascii="仿宋" w:hAnsi="仿宋" w:eastAsia="仿宋" w:cs="宋体"/>
          <w:bCs/>
          <w:sz w:val="32"/>
          <w:szCs w:val="32"/>
        </w:rPr>
        <w:t>上</w:t>
      </w:r>
      <w:r>
        <w:rPr>
          <w:rFonts w:hint="eastAsia" w:ascii="仿宋" w:hAnsi="仿宋" w:eastAsia="仿宋" w:cs="仿宋_GB2312"/>
          <w:sz w:val="32"/>
          <w:szCs w:val="32"/>
        </w:rPr>
        <w:t>年持平。</w:t>
      </w:r>
    </w:p>
    <w:p>
      <w:pPr>
        <w:spacing w:line="600" w:lineRule="exact"/>
        <w:ind w:firstLine="643" w:firstLineChars="200"/>
        <w:rPr>
          <w:rFonts w:ascii="仿宋" w:hAnsi="仿宋" w:eastAsia="仿宋" w:cs="仿宋_GB2312"/>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r>
        <w:rPr>
          <w:rFonts w:hint="eastAsia" w:ascii="仿宋" w:hAnsi="仿宋" w:eastAsia="仿宋" w:cs="宋体"/>
          <w:bCs/>
          <w:kern w:val="0"/>
          <w:sz w:val="32"/>
          <w:szCs w:val="32"/>
        </w:rPr>
        <w:br w:type="textWrapping"/>
      </w:r>
      <w:r>
        <w:rPr>
          <w:rFonts w:hint="eastAsia" w:ascii="仿宋" w:hAnsi="仿宋" w:eastAsia="仿宋" w:cs="宋体"/>
          <w:color w:val="FF0000"/>
          <w:kern w:val="0"/>
          <w:sz w:val="32"/>
          <w:szCs w:val="32"/>
        </w:rPr>
        <w:t>　</w:t>
      </w:r>
      <w:r>
        <w:rPr>
          <w:rFonts w:hint="eastAsia" w:ascii="仿宋" w:hAnsi="仿宋" w:eastAsia="仿宋" w:cs="宋体"/>
          <w:kern w:val="0"/>
          <w:sz w:val="32"/>
          <w:szCs w:val="32"/>
        </w:rPr>
        <w:t>2023年预算安排</w:t>
      </w:r>
      <w:r>
        <w:rPr>
          <w:rFonts w:hint="eastAsia" w:ascii="仿宋" w:hAnsi="仿宋" w:eastAsia="仿宋" w:cs="仿宋_GB2312"/>
          <w:kern w:val="0"/>
          <w:sz w:val="32"/>
          <w:szCs w:val="32"/>
        </w:rPr>
        <w:t>8</w:t>
      </w:r>
      <w:r>
        <w:rPr>
          <w:rFonts w:hint="eastAsia" w:ascii="仿宋" w:hAnsi="仿宋" w:eastAsia="仿宋" w:cs="宋体"/>
          <w:kern w:val="0"/>
          <w:sz w:val="32"/>
          <w:szCs w:val="32"/>
        </w:rPr>
        <w:t>万元，其中：公车运行费</w:t>
      </w:r>
      <w:r>
        <w:rPr>
          <w:rFonts w:hint="eastAsia" w:ascii="仿宋" w:hAnsi="仿宋" w:eastAsia="仿宋" w:cs="仿宋_GB2312"/>
          <w:kern w:val="0"/>
          <w:sz w:val="32"/>
          <w:szCs w:val="32"/>
        </w:rPr>
        <w:t>8</w:t>
      </w:r>
      <w:r>
        <w:rPr>
          <w:rFonts w:hint="eastAsia" w:ascii="仿宋" w:hAnsi="仿宋" w:eastAsia="仿宋" w:cs="宋体"/>
          <w:kern w:val="0"/>
          <w:sz w:val="32"/>
          <w:szCs w:val="32"/>
        </w:rPr>
        <w:t>万元，公车购置费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w:t>
      </w:r>
      <w:r>
        <w:rPr>
          <w:rFonts w:hint="eastAsia" w:ascii="仿宋" w:hAnsi="仿宋" w:eastAsia="仿宋" w:cs="宋体"/>
          <w:bCs/>
          <w:sz w:val="32"/>
          <w:szCs w:val="32"/>
        </w:rPr>
        <w:t>上</w:t>
      </w:r>
      <w:r>
        <w:rPr>
          <w:rFonts w:hint="eastAsia" w:ascii="仿宋" w:hAnsi="仿宋" w:eastAsia="仿宋" w:cs="仿宋_GB2312"/>
          <w:sz w:val="32"/>
          <w:szCs w:val="32"/>
        </w:rPr>
        <w:t>年持平，主要原因是:公车改革，厉行节俭。</w:t>
      </w:r>
    </w:p>
    <w:p>
      <w:pPr>
        <w:spacing w:line="600" w:lineRule="exact"/>
        <w:outlineLvl w:val="1"/>
        <w:rPr>
          <w:rFonts w:ascii="仿宋" w:hAnsi="仿宋" w:eastAsia="仿宋"/>
          <w:b/>
          <w:sz w:val="32"/>
          <w:szCs w:val="32"/>
        </w:rPr>
      </w:pPr>
      <w:bookmarkStart w:id="43" w:name="_Toc9581_WPSOffice_Level2"/>
      <w:r>
        <w:rPr>
          <w:rFonts w:hint="eastAsia" w:ascii="仿宋" w:hAnsi="仿宋" w:eastAsia="仿宋"/>
          <w:b/>
          <w:sz w:val="32"/>
          <w:szCs w:val="32"/>
        </w:rPr>
        <w:t>六、预算绩效目标情况</w:t>
      </w:r>
      <w:bookmarkEnd w:id="43"/>
    </w:p>
    <w:p>
      <w:pPr>
        <w:spacing w:line="60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pPr>
        <w:spacing w:line="600" w:lineRule="exact"/>
        <w:ind w:firstLine="640" w:firstLineChars="200"/>
        <w:rPr>
          <w:rFonts w:ascii="仿宋" w:hAnsi="仿宋" w:eastAsia="仿宋" w:cs="仿宋_GB2312"/>
          <w:kern w:val="0"/>
          <w:sz w:val="32"/>
          <w:szCs w:val="32"/>
        </w:rPr>
      </w:pPr>
      <w:r>
        <w:rPr>
          <w:rFonts w:hint="eastAsia" w:ascii="仿宋" w:hAnsi="仿宋" w:eastAsia="仿宋" w:cs="宋体"/>
          <w:kern w:val="0"/>
          <w:sz w:val="32"/>
          <w:szCs w:val="32"/>
        </w:rPr>
        <w:t>2023年上杭县蓝溪镇人民政府未</w:t>
      </w:r>
      <w:r>
        <w:rPr>
          <w:rFonts w:hint="eastAsia" w:ascii="仿宋" w:hAnsi="仿宋" w:eastAsia="仿宋"/>
          <w:sz w:val="32"/>
          <w:szCs w:val="32"/>
        </w:rPr>
        <w:t>设置绩效目标</w:t>
      </w:r>
      <w:r>
        <w:rPr>
          <w:rFonts w:hint="eastAsia" w:ascii="仿宋" w:hAnsi="仿宋" w:eastAsia="仿宋" w:cs="仿宋_GB2312"/>
          <w:kern w:val="0"/>
          <w:sz w:val="32"/>
          <w:szCs w:val="32"/>
        </w:rPr>
        <w:t>。</w:t>
      </w:r>
    </w:p>
    <w:p>
      <w:pPr>
        <w:spacing w:line="600" w:lineRule="exact"/>
        <w:outlineLvl w:val="1"/>
        <w:rPr>
          <w:rFonts w:ascii="仿宋" w:hAnsi="仿宋" w:eastAsia="仿宋"/>
          <w:b/>
          <w:sz w:val="32"/>
          <w:szCs w:val="32"/>
        </w:rPr>
      </w:pPr>
      <w:bookmarkStart w:id="44" w:name="_Toc11272_WPSOffice_Level2"/>
      <w:r>
        <w:rPr>
          <w:rFonts w:hint="eastAsia" w:ascii="仿宋" w:hAnsi="仿宋" w:eastAsia="仿宋"/>
          <w:b/>
          <w:sz w:val="32"/>
          <w:szCs w:val="32"/>
        </w:rPr>
        <w:t>七、其他重要事项说明</w:t>
      </w:r>
      <w:bookmarkEnd w:id="44"/>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pPr>
        <w:spacing w:line="600" w:lineRule="exact"/>
        <w:ind w:firstLine="640" w:firstLineChars="200"/>
        <w:rPr>
          <w:rFonts w:ascii="黑体" w:hAnsi="黑体" w:eastAsia="黑体"/>
          <w:sz w:val="32"/>
          <w:szCs w:val="32"/>
        </w:rPr>
      </w:pPr>
      <w:r>
        <w:rPr>
          <w:rFonts w:hint="eastAsia" w:ascii="仿宋" w:hAnsi="仿宋" w:eastAsia="仿宋" w:cs="宋体"/>
          <w:kern w:val="0"/>
          <w:sz w:val="32"/>
          <w:szCs w:val="32"/>
        </w:rPr>
        <w:t>2023</w:t>
      </w:r>
      <w:r>
        <w:rPr>
          <w:rFonts w:hint="eastAsia" w:ascii="仿宋" w:hAnsi="仿宋" w:eastAsia="仿宋"/>
          <w:sz w:val="32"/>
          <w:szCs w:val="32"/>
        </w:rPr>
        <w:t>年上杭县蓝溪镇人民政府一般公共预算拨款安排的机关运行经费支出</w:t>
      </w:r>
      <w:r>
        <w:rPr>
          <w:rFonts w:hint="eastAsia" w:ascii="仿宋" w:hAnsi="仿宋" w:eastAsia="仿宋" w:cs="仿宋_GB2312"/>
          <w:kern w:val="0"/>
          <w:sz w:val="32"/>
          <w:szCs w:val="32"/>
        </w:rPr>
        <w:t>66.19</w:t>
      </w:r>
      <w:r>
        <w:rPr>
          <w:rFonts w:hint="eastAsia" w:ascii="仿宋" w:hAnsi="仿宋" w:eastAsia="仿宋"/>
          <w:sz w:val="32"/>
          <w:szCs w:val="32"/>
        </w:rPr>
        <w:t>万元，主要原因是办公及印刷费、邮电费、差旅费、会议费、福利费、日常维修费、专用材料及一般设备购置费、办公用房水电费、办公用房取暖费、办公用房物业管理费、公务用车运行维护费以及其他费用增加</w:t>
      </w:r>
      <w:r>
        <w:rPr>
          <w:rFonts w:hint="eastAsia" w:ascii="仿宋" w:hAnsi="仿宋" w:eastAsia="仿宋" w:cs="仿宋_GB2312"/>
          <w:sz w:val="32"/>
          <w:szCs w:val="32"/>
        </w:rPr>
        <w:t>。</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pPr>
        <w:spacing w:line="600" w:lineRule="exact"/>
        <w:ind w:firstLine="640" w:firstLineChars="200"/>
        <w:rPr>
          <w:rFonts w:ascii="仿宋" w:hAnsi="仿宋" w:eastAsia="仿宋" w:cs="仿宋_GB2312"/>
          <w:kern w:val="0"/>
          <w:sz w:val="32"/>
          <w:szCs w:val="32"/>
        </w:rPr>
      </w:pPr>
      <w:r>
        <w:rPr>
          <w:rFonts w:hint="eastAsia" w:ascii="仿宋" w:hAnsi="仿宋" w:eastAsia="仿宋" w:cs="宋体"/>
          <w:kern w:val="0"/>
          <w:sz w:val="32"/>
          <w:szCs w:val="32"/>
        </w:rPr>
        <w:t>2023</w:t>
      </w:r>
      <w:r>
        <w:rPr>
          <w:rFonts w:hint="eastAsia" w:ascii="仿宋" w:hAnsi="仿宋" w:eastAsia="仿宋"/>
          <w:sz w:val="32"/>
          <w:szCs w:val="32"/>
        </w:rPr>
        <w:t>年上杭县蓝溪镇人民政府采购预算总额</w:t>
      </w:r>
      <w:r>
        <w:rPr>
          <w:rFonts w:hint="eastAsia" w:ascii="仿宋" w:hAnsi="仿宋" w:eastAsia="仿宋" w:cs="仿宋_GB2312"/>
          <w:kern w:val="0"/>
          <w:sz w:val="32"/>
          <w:szCs w:val="32"/>
        </w:rPr>
        <w:t>19.7万元，其中：政府购买服务项目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rPr>
        <w:t>19.7万元。</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截止</w:t>
      </w:r>
      <w:r>
        <w:rPr>
          <w:rFonts w:hint="eastAsia" w:ascii="仿宋" w:hAnsi="仿宋" w:eastAsia="仿宋" w:cs="仿宋_GB2312"/>
          <w:kern w:val="0"/>
          <w:sz w:val="32"/>
          <w:szCs w:val="32"/>
        </w:rPr>
        <w:t>2023年底，</w:t>
      </w:r>
      <w:r>
        <w:rPr>
          <w:rFonts w:hint="eastAsia" w:ascii="仿宋" w:hAnsi="仿宋" w:eastAsia="仿宋"/>
          <w:sz w:val="32"/>
          <w:szCs w:val="32"/>
        </w:rPr>
        <w:t>上杭县蓝溪镇人民政府本级及所属的预算单位共有车辆</w:t>
      </w:r>
      <w:r>
        <w:rPr>
          <w:rFonts w:hint="eastAsia" w:ascii="仿宋" w:hAnsi="仿宋" w:eastAsia="仿宋" w:cs="仿宋_GB2312"/>
          <w:kern w:val="0"/>
          <w:sz w:val="32"/>
          <w:szCs w:val="32"/>
        </w:rPr>
        <w:t>4</w:t>
      </w:r>
      <w:r>
        <w:rPr>
          <w:rFonts w:hint="eastAsia" w:ascii="仿宋" w:hAnsi="仿宋" w:eastAsia="仿宋"/>
          <w:sz w:val="32"/>
          <w:szCs w:val="32"/>
        </w:rPr>
        <w:t>辆，其中：省部级领导干部用车</w:t>
      </w:r>
      <w:r>
        <w:rPr>
          <w:rFonts w:hint="eastAsia" w:ascii="仿宋" w:hAnsi="仿宋" w:eastAsia="仿宋" w:cs="仿宋_GB2312"/>
          <w:kern w:val="0"/>
          <w:sz w:val="32"/>
          <w:szCs w:val="32"/>
        </w:rPr>
        <w:t>0</w:t>
      </w:r>
      <w:r>
        <w:rPr>
          <w:rFonts w:hint="eastAsia" w:ascii="仿宋" w:hAnsi="仿宋" w:eastAsia="仿宋"/>
          <w:sz w:val="32"/>
          <w:szCs w:val="32"/>
        </w:rPr>
        <w:t>辆，一般公务用车</w:t>
      </w:r>
      <w:r>
        <w:rPr>
          <w:rFonts w:hint="eastAsia" w:ascii="仿宋" w:hAnsi="仿宋" w:eastAsia="仿宋" w:cs="仿宋_GB2312"/>
          <w:kern w:val="0"/>
          <w:sz w:val="32"/>
          <w:szCs w:val="32"/>
        </w:rPr>
        <w:t>2</w:t>
      </w:r>
      <w:r>
        <w:rPr>
          <w:rFonts w:hint="eastAsia" w:ascii="仿宋" w:hAnsi="仿宋" w:eastAsia="仿宋"/>
          <w:sz w:val="32"/>
          <w:szCs w:val="32"/>
        </w:rPr>
        <w:t>辆，一般执法执勤用车</w:t>
      </w:r>
      <w:r>
        <w:rPr>
          <w:rFonts w:hint="eastAsia" w:ascii="仿宋" w:hAnsi="仿宋" w:eastAsia="仿宋" w:cs="仿宋_GB2312"/>
          <w:kern w:val="0"/>
          <w:sz w:val="32"/>
          <w:szCs w:val="32"/>
        </w:rPr>
        <w:t>2</w:t>
      </w:r>
      <w:r>
        <w:rPr>
          <w:rFonts w:hint="eastAsia" w:ascii="仿宋" w:hAnsi="仿宋" w:eastAsia="仿宋"/>
          <w:sz w:val="32"/>
          <w:szCs w:val="32"/>
        </w:rPr>
        <w:t>辆，特种专业技术用车</w:t>
      </w:r>
      <w:r>
        <w:rPr>
          <w:rFonts w:hint="eastAsia" w:ascii="仿宋" w:hAnsi="仿宋" w:eastAsia="仿宋" w:cs="仿宋_GB2312"/>
          <w:kern w:val="0"/>
          <w:sz w:val="32"/>
          <w:szCs w:val="32"/>
        </w:rPr>
        <w:t>0</w:t>
      </w:r>
      <w:r>
        <w:rPr>
          <w:rFonts w:hint="eastAsia" w:ascii="仿宋" w:hAnsi="仿宋" w:eastAsia="仿宋"/>
          <w:sz w:val="32"/>
          <w:szCs w:val="32"/>
        </w:rPr>
        <w:t>辆，其他用车</w:t>
      </w:r>
      <w:r>
        <w:rPr>
          <w:rFonts w:hint="eastAsia" w:ascii="仿宋" w:hAnsi="仿宋" w:eastAsia="仿宋" w:cs="仿宋_GB2312"/>
          <w:kern w:val="0"/>
          <w:sz w:val="32"/>
          <w:szCs w:val="32"/>
        </w:rPr>
        <w:t>0</w:t>
      </w:r>
      <w:r>
        <w:rPr>
          <w:rFonts w:hint="eastAsia" w:ascii="仿宋" w:hAnsi="仿宋" w:eastAsia="仿宋"/>
          <w:sz w:val="32"/>
          <w:szCs w:val="32"/>
        </w:rPr>
        <w:t>辆。单位价值50万元以上通用设备</w:t>
      </w:r>
      <w:r>
        <w:rPr>
          <w:rFonts w:hint="eastAsia" w:ascii="仿宋" w:hAnsi="仿宋" w:eastAsia="仿宋" w:cs="仿宋_GB2312"/>
          <w:kern w:val="0"/>
          <w:sz w:val="32"/>
          <w:szCs w:val="32"/>
        </w:rPr>
        <w:t>0台（套），</w:t>
      </w:r>
      <w:r>
        <w:rPr>
          <w:rFonts w:hint="eastAsia" w:ascii="仿宋" w:hAnsi="仿宋" w:eastAsia="仿宋"/>
          <w:sz w:val="32"/>
          <w:szCs w:val="32"/>
        </w:rPr>
        <w:t>单位价值100万元以上专用设备</w:t>
      </w:r>
      <w:r>
        <w:rPr>
          <w:rFonts w:hint="eastAsia" w:ascii="仿宋" w:hAnsi="仿宋" w:eastAsia="仿宋" w:cs="仿宋_GB2312"/>
          <w:kern w:val="0"/>
          <w:sz w:val="32"/>
          <w:szCs w:val="32"/>
        </w:rPr>
        <w:t>0台（套）。</w:t>
      </w:r>
    </w:p>
    <w:p>
      <w:pPr>
        <w:jc w:val="center"/>
        <w:rPr>
          <w:rFonts w:asciiTheme="majorEastAsia" w:hAnsiTheme="majorEastAsia" w:eastAsiaTheme="majorEastAsia"/>
          <w:b/>
          <w:sz w:val="40"/>
        </w:rPr>
      </w:pPr>
    </w:p>
    <w:p>
      <w:pPr>
        <w:jc w:val="center"/>
        <w:outlineLvl w:val="0"/>
        <w:rPr>
          <w:rFonts w:asciiTheme="majorEastAsia" w:hAnsiTheme="majorEastAsia" w:eastAsiaTheme="majorEastAsia"/>
          <w:b/>
          <w:sz w:val="40"/>
        </w:rPr>
      </w:pPr>
      <w:bookmarkStart w:id="45" w:name="_Toc29228_WPSOffice_Level1"/>
      <w:r>
        <w:rPr>
          <w:rFonts w:hint="eastAsia" w:asciiTheme="majorEastAsia" w:hAnsiTheme="majorEastAsia" w:eastAsiaTheme="majorEastAsia"/>
          <w:b/>
          <w:sz w:val="40"/>
        </w:rPr>
        <w:t>第四部分 名词解释</w:t>
      </w:r>
      <w:bookmarkEnd w:id="45"/>
    </w:p>
    <w:p>
      <w:pPr>
        <w:jc w:val="center"/>
        <w:rPr>
          <w:rFonts w:asciiTheme="majorEastAsia" w:hAnsiTheme="majorEastAsia" w:eastAsiaTheme="majorEastAsia"/>
          <w:b/>
          <w:sz w:val="40"/>
        </w:rPr>
      </w:pP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一、财政拨款收入：指财政当年拨付的资金。</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p>
    <w:p>
      <w:pPr>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14"/>
        <w:spacing w:line="600" w:lineRule="exact"/>
        <w:ind w:firstLine="640" w:firstLineChars="200"/>
        <w:rPr>
          <w:rFonts w:hAnsi="仿宋"/>
          <w:sz w:val="32"/>
          <w:szCs w:val="32"/>
        </w:rPr>
      </w:pPr>
      <w:r>
        <w:rPr>
          <w:rFonts w:hint="eastAsia" w:hAnsi="仿宋"/>
          <w:sz w:val="32"/>
          <w:szCs w:val="32"/>
        </w:rPr>
        <w:t>七、结余分配：指事业单位按规定提取的职工福利基金、事业基金和缴纳的所得税，以及建设单位按规定应交回的基本建设竣工项目结余资金。</w:t>
      </w:r>
    </w:p>
    <w:p>
      <w:pPr>
        <w:pStyle w:val="14"/>
        <w:spacing w:line="600" w:lineRule="exact"/>
        <w:ind w:firstLine="640"/>
        <w:rPr>
          <w:rFonts w:hAnsi="仿宋"/>
          <w:sz w:val="32"/>
          <w:szCs w:val="32"/>
        </w:rPr>
      </w:pPr>
      <w:r>
        <w:rPr>
          <w:rFonts w:hint="eastAsia" w:hAnsi="仿宋"/>
          <w:sz w:val="32"/>
          <w:szCs w:val="32"/>
        </w:rPr>
        <w:t>八、年末结转和结余：指本年度或以前年度预算安排、因客观条件发生变化无法按原计划实施，需延迟到以后年度按有关规定继续使用的资金。</w:t>
      </w:r>
    </w:p>
    <w:p>
      <w:pPr>
        <w:pStyle w:val="14"/>
        <w:spacing w:line="600" w:lineRule="exact"/>
        <w:ind w:firstLine="640"/>
        <w:rPr>
          <w:rFonts w:hAnsi="仿宋"/>
          <w:sz w:val="32"/>
          <w:szCs w:val="32"/>
        </w:rPr>
      </w:pPr>
      <w:r>
        <w:rPr>
          <w:rFonts w:hint="eastAsia" w:hAnsi="仿宋"/>
          <w:sz w:val="32"/>
          <w:szCs w:val="32"/>
        </w:rPr>
        <w:t>九、基本支出：指为保障机构正常运转、完成日常工作任务而发生的人员支出和公用支出。</w:t>
      </w:r>
    </w:p>
    <w:p>
      <w:pPr>
        <w:pStyle w:val="14"/>
        <w:spacing w:line="600" w:lineRule="exact"/>
        <w:ind w:firstLine="640"/>
        <w:rPr>
          <w:rFonts w:hAnsi="仿宋"/>
          <w:sz w:val="32"/>
          <w:szCs w:val="32"/>
        </w:rPr>
      </w:pPr>
      <w:r>
        <w:rPr>
          <w:rFonts w:hint="eastAsia" w:hAnsi="仿宋"/>
          <w:sz w:val="32"/>
          <w:szCs w:val="32"/>
        </w:rPr>
        <w:t>十、项目支出：指在基本支出之外为完成特定行政任务和事业发展目标所发生的支出。</w:t>
      </w:r>
    </w:p>
    <w:p>
      <w:pPr>
        <w:pStyle w:val="14"/>
        <w:spacing w:line="600" w:lineRule="exact"/>
        <w:ind w:firstLine="640"/>
        <w:rPr>
          <w:rFonts w:hAnsi="仿宋"/>
          <w:sz w:val="32"/>
          <w:szCs w:val="32"/>
        </w:rPr>
      </w:pPr>
      <w:r>
        <w:rPr>
          <w:rFonts w:hint="eastAsia" w:hAnsi="仿宋"/>
          <w:sz w:val="32"/>
          <w:szCs w:val="32"/>
        </w:rPr>
        <w:t>十一、经营支出：指事业单位在专业业务活动及其辅助活动之外开展非独立核算经营活动发生的支出。</w:t>
      </w:r>
    </w:p>
    <w:p>
      <w:pPr>
        <w:pStyle w:val="14"/>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w:t>
      </w:r>
    </w:p>
    <w:p>
      <w:pPr>
        <w:jc w:val="both"/>
        <w:rPr>
          <w:rFonts w:asciiTheme="majorEastAsia" w:hAnsiTheme="majorEastAsia" w:eastAsiaTheme="majorEastAsia"/>
          <w:b/>
          <w:sz w:val="40"/>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w:t>
      </w:r>
      <w:r>
        <w:rPr>
          <w:rFonts w:hint="eastAsia" w:ascii="仿宋" w:hAnsi="仿宋" w:eastAsia="仿宋"/>
          <w:sz w:val="32"/>
          <w:szCs w:val="32"/>
          <w:lang w:eastAsia="zh-CN"/>
        </w:rPr>
        <w:t>、</w:t>
      </w:r>
      <w:r>
        <w:rPr>
          <w:rFonts w:hint="eastAsia" w:ascii="仿宋" w:hAnsi="仿宋" w:eastAsia="仿宋"/>
          <w:sz w:val="32"/>
          <w:szCs w:val="32"/>
        </w:rPr>
        <w:t>公务用车运行维护费以及其他费用。</w:t>
      </w:r>
      <w:bookmarkStart w:id="46" w:name="_GoBack"/>
      <w:bookmarkEnd w:id="46"/>
    </w:p>
    <w:sectPr>
      <w:pgSz w:w="11906" w:h="16838"/>
      <w:pgMar w:top="1134" w:right="1134" w:bottom="1134" w:left="1134"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10" w:usb3="00000000" w:csb0="0004009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6780272"/>
    </w:sdtPr>
    <w:sdtContent>
      <w:p>
        <w:pPr>
          <w:pStyle w:val="6"/>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39ABF"/>
    <w:multiLevelType w:val="singleLevel"/>
    <w:tmpl w:val="85E39ABF"/>
    <w:lvl w:ilvl="0" w:tentative="0">
      <w:start w:val="3"/>
      <w:numFmt w:val="chineseCounting"/>
      <w:suff w:val="nothing"/>
      <w:lvlText w:val="%1、"/>
      <w:lvlJc w:val="left"/>
      <w:rPr>
        <w:rFonts w:hint="eastAsia"/>
      </w:rPr>
    </w:lvl>
  </w:abstractNum>
  <w:abstractNum w:abstractNumId="1">
    <w:nsid w:val="77C897F7"/>
    <w:multiLevelType w:val="singleLevel"/>
    <w:tmpl w:val="77C897F7"/>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9"/>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M2YzExMTVkMjQ3YjhiZGI4Njk5YzAyNTA3NzBlZTIifQ=="/>
  </w:docVars>
  <w:rsids>
    <w:rsidRoot w:val="00317140"/>
    <w:rsid w:val="00134215"/>
    <w:rsid w:val="0014464B"/>
    <w:rsid w:val="00162161"/>
    <w:rsid w:val="00167378"/>
    <w:rsid w:val="00244E2B"/>
    <w:rsid w:val="00317140"/>
    <w:rsid w:val="00324374"/>
    <w:rsid w:val="00353125"/>
    <w:rsid w:val="00445C9B"/>
    <w:rsid w:val="004D696A"/>
    <w:rsid w:val="00516704"/>
    <w:rsid w:val="005B00AC"/>
    <w:rsid w:val="006C4713"/>
    <w:rsid w:val="00753E47"/>
    <w:rsid w:val="007C60CF"/>
    <w:rsid w:val="008071E4"/>
    <w:rsid w:val="00880C2D"/>
    <w:rsid w:val="008A73C5"/>
    <w:rsid w:val="009C7FB5"/>
    <w:rsid w:val="00A4118D"/>
    <w:rsid w:val="00A855BE"/>
    <w:rsid w:val="00B1348D"/>
    <w:rsid w:val="00B5359F"/>
    <w:rsid w:val="00C02DE3"/>
    <w:rsid w:val="00C43C36"/>
    <w:rsid w:val="00C7095D"/>
    <w:rsid w:val="00CC6B40"/>
    <w:rsid w:val="00E05319"/>
    <w:rsid w:val="00E07E01"/>
    <w:rsid w:val="00E332A8"/>
    <w:rsid w:val="00FE6949"/>
    <w:rsid w:val="09C8087D"/>
    <w:rsid w:val="12EC2AD5"/>
    <w:rsid w:val="190D2C25"/>
    <w:rsid w:val="1A3D6B7C"/>
    <w:rsid w:val="1A842D36"/>
    <w:rsid w:val="21DA6168"/>
    <w:rsid w:val="25095D9F"/>
    <w:rsid w:val="25CB5BAC"/>
    <w:rsid w:val="2D3D26E3"/>
    <w:rsid w:val="2D4F511E"/>
    <w:rsid w:val="2EF76B3A"/>
    <w:rsid w:val="2F547B6F"/>
    <w:rsid w:val="30726612"/>
    <w:rsid w:val="30830AEB"/>
    <w:rsid w:val="3BCC698A"/>
    <w:rsid w:val="40843FAF"/>
    <w:rsid w:val="496D56BA"/>
    <w:rsid w:val="4CB21D0B"/>
    <w:rsid w:val="4D424BF3"/>
    <w:rsid w:val="4D6E7BDA"/>
    <w:rsid w:val="52687C0B"/>
    <w:rsid w:val="54845F23"/>
    <w:rsid w:val="548F1200"/>
    <w:rsid w:val="597812B9"/>
    <w:rsid w:val="5BCD1176"/>
    <w:rsid w:val="5FD91AA1"/>
    <w:rsid w:val="677B0659"/>
    <w:rsid w:val="6DED1618"/>
    <w:rsid w:val="753836CE"/>
    <w:rsid w:val="76990185"/>
    <w:rsid w:val="7EF53B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rFonts w:ascii="宋体" w:hAnsi="宋体"/>
      <w:sz w:val="28"/>
      <w:szCs w:val="28"/>
    </w:rPr>
  </w:style>
  <w:style w:type="paragraph" w:styleId="3">
    <w:name w:val="Body Text Indent"/>
    <w:basedOn w:val="1"/>
    <w:qFormat/>
    <w:uiPriority w:val="0"/>
    <w:pPr>
      <w:ind w:firstLine="640" w:firstLineChars="200"/>
    </w:pPr>
    <w:rPr>
      <w:rFonts w:eastAsia="仿宋_GB2312"/>
      <w:sz w:val="32"/>
      <w:szCs w:val="32"/>
    </w:rPr>
  </w:style>
  <w:style w:type="paragraph" w:styleId="4">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5">
    <w:name w:val="Balloon Text"/>
    <w:basedOn w:val="1"/>
    <w:link w:val="13"/>
    <w:unhideWhenUsed/>
    <w:qFormat/>
    <w:uiPriority w:val="99"/>
    <w:pPr>
      <w:spacing w:line="240" w:lineRule="auto"/>
    </w:pPr>
    <w:rPr>
      <w:sz w:val="18"/>
      <w:szCs w:val="18"/>
    </w:rPr>
  </w:style>
  <w:style w:type="paragraph" w:styleId="6">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正文文本 Char"/>
    <w:basedOn w:val="9"/>
    <w:link w:val="4"/>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5"/>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customStyle="1" w:styleId="16">
    <w:name w:val="WPSOffice手动目录 1"/>
    <w:qFormat/>
    <w:uiPriority w:val="0"/>
    <w:rPr>
      <w:rFonts w:ascii="Times New Roman" w:hAnsi="Times New Roman" w:eastAsia="宋体" w:cs="Times New Roman"/>
      <w:lang w:val="en-US" w:eastAsia="zh-CN" w:bidi="ar-SA"/>
    </w:rPr>
  </w:style>
  <w:style w:type="paragraph" w:customStyle="1" w:styleId="17">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6044</Words>
  <Characters>6999</Characters>
  <Lines>66</Lines>
  <Paragraphs>18</Paragraphs>
  <TotalTime>34</TotalTime>
  <ScaleCrop>false</ScaleCrop>
  <LinksUpToDate>false</LinksUpToDate>
  <CharactersWithSpaces>7173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Administrator</cp:lastModifiedBy>
  <dcterms:modified xsi:type="dcterms:W3CDTF">2023-08-31T09:57:35Z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6D161CFD88D54FE3BF8221FFF7F27EBC_12</vt:lpwstr>
  </property>
</Properties>
</file>