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sz w:val="32"/>
          <w:szCs w:val="32"/>
        </w:rPr>
      </w:pPr>
    </w:p>
    <w:p>
      <w:pPr>
        <w:widowControl/>
        <w:jc w:val="center"/>
        <w:rPr>
          <w:sz w:val="84"/>
          <w:szCs w:val="84"/>
        </w:rPr>
      </w:pPr>
    </w:p>
    <w:p>
      <w:pPr>
        <w:widowControl/>
        <w:jc w:val="center"/>
        <w:rPr>
          <w:sz w:val="84"/>
          <w:szCs w:val="84"/>
        </w:rPr>
      </w:pPr>
    </w:p>
    <w:p>
      <w:pPr>
        <w:widowControl/>
        <w:jc w:val="center"/>
        <w:rPr>
          <w:rFonts w:ascii="方正小标宋简体" w:eastAsia="方正小标宋简体"/>
          <w:sz w:val="84"/>
          <w:szCs w:val="84"/>
        </w:rPr>
      </w:pPr>
      <w:r>
        <w:rPr>
          <w:rFonts w:hint="eastAsia" w:ascii="方正小标宋简体" w:eastAsia="方正小标宋简体"/>
          <w:sz w:val="84"/>
          <w:szCs w:val="84"/>
        </w:rPr>
        <w:t>2019年度</w:t>
      </w:r>
    </w:p>
    <w:p>
      <w:pPr>
        <w:widowControl/>
        <w:jc w:val="center"/>
        <w:rPr>
          <w:rFonts w:ascii="方正小标宋简体" w:eastAsia="方正小标宋简体"/>
          <w:sz w:val="84"/>
          <w:szCs w:val="84"/>
        </w:rPr>
      </w:pPr>
      <w:r>
        <w:rPr>
          <w:rFonts w:hint="eastAsia" w:ascii="方正小标宋简体" w:eastAsia="方正小标宋简体"/>
          <w:sz w:val="84"/>
          <w:szCs w:val="84"/>
        </w:rPr>
        <w:t>上杭县</w:t>
      </w:r>
      <w:r>
        <w:rPr>
          <w:rFonts w:hint="eastAsia" w:ascii="方正小标宋简体" w:eastAsia="方正小标宋简体"/>
          <w:sz w:val="84"/>
          <w:szCs w:val="84"/>
          <w:lang w:eastAsia="zh-CN"/>
        </w:rPr>
        <w:t>蓝溪镇人民政府</w:t>
      </w:r>
      <w:r>
        <w:rPr>
          <w:rFonts w:hint="eastAsia" w:ascii="方正小标宋简体" w:eastAsia="方正小标宋简体"/>
          <w:sz w:val="84"/>
          <w:szCs w:val="84"/>
        </w:rPr>
        <w:t>部门决算</w:t>
      </w:r>
    </w:p>
    <w:p>
      <w:pPr>
        <w:widowControl/>
        <w:jc w:val="center"/>
        <w:rPr>
          <w:rFonts w:ascii="方正小标宋简体" w:eastAsia="方正小标宋简体"/>
          <w:sz w:val="44"/>
          <w:szCs w:val="44"/>
        </w:rPr>
      </w:pPr>
    </w:p>
    <w:p>
      <w:pPr>
        <w:widowControl/>
        <w:rPr>
          <w:sz w:val="84"/>
          <w:szCs w:val="84"/>
        </w:rPr>
        <w:sectPr>
          <w:headerReference r:id="rId5" w:type="first"/>
          <w:footerReference r:id="rId7" w:type="first"/>
          <w:headerReference r:id="rId3" w:type="default"/>
          <w:headerReference r:id="rId4" w:type="even"/>
          <w:footerReference r:id="rId6" w:type="even"/>
          <w:pgSz w:w="11906" w:h="16838"/>
          <w:pgMar w:top="1440" w:right="1474" w:bottom="1440" w:left="1474" w:header="851" w:footer="992" w:gutter="0"/>
          <w:cols w:space="0" w:num="1"/>
          <w:rtlGutter w:val="0"/>
          <w:docGrid w:type="lines" w:linePitch="312" w:charSpace="0"/>
        </w:sectPr>
      </w:pPr>
    </w:p>
    <w:sdt>
      <w:sdtPr>
        <w:rPr>
          <w:rFonts w:hint="eastAsia" w:asciiTheme="minorEastAsia" w:hAnsiTheme="minorEastAsia" w:eastAsiaTheme="minorEastAsia" w:cstheme="minorEastAsia"/>
          <w:kern w:val="2"/>
          <w:sz w:val="28"/>
          <w:szCs w:val="28"/>
          <w:lang w:val="en-US" w:eastAsia="zh-CN" w:bidi="ar-SA"/>
        </w:rPr>
        <w:id w:val="147475465"/>
        <w15:color w:val="DBDBDB"/>
        <w:docPartObj>
          <w:docPartGallery w:val="Table of Contents"/>
          <w:docPartUnique/>
        </w:docPartObj>
      </w:sdtPr>
      <w:sdtEndPr>
        <w:rPr>
          <w:rFonts w:hint="eastAsia" w:asciiTheme="minorEastAsia" w:hAnsiTheme="minorEastAsia" w:eastAsiaTheme="minorEastAsia" w:cstheme="minorEastAsia"/>
          <w:b/>
          <w:bCs/>
          <w:sz w:val="28"/>
          <w:szCs w:val="28"/>
        </w:rPr>
      </w:sdtEndPr>
      <w:sdtContent>
        <w:p>
          <w:pPr>
            <w:keepNext w:val="0"/>
            <w:keepLines w:val="0"/>
            <w:pageBreakBefore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rPr>
              <w:rFonts w:hint="eastAsia" w:asciiTheme="minorEastAsia" w:hAnsiTheme="minorEastAsia" w:eastAsiaTheme="minorEastAsia" w:cstheme="minorEastAsia"/>
              <w:sz w:val="28"/>
              <w:szCs w:val="28"/>
            </w:rPr>
          </w:pPr>
          <w:bookmarkStart w:id="0" w:name="_Toc19983_WPSOffice_Type2"/>
          <w:r>
            <w:rPr>
              <w:rFonts w:hint="eastAsia" w:asciiTheme="minorEastAsia" w:hAnsiTheme="minorEastAsia" w:eastAsiaTheme="minorEastAsia" w:cstheme="minorEastAsia"/>
              <w:sz w:val="28"/>
              <w:szCs w:val="28"/>
            </w:rPr>
            <w:t>目录</w:t>
          </w:r>
        </w:p>
        <w:p>
          <w:pPr>
            <w:pStyle w:val="15"/>
            <w:keepNext w:val="0"/>
            <w:keepLines w:val="0"/>
            <w:pageBreakBefore w:val="0"/>
            <w:tabs>
              <w:tab w:val="right" w:leader="dot" w:pos="8958"/>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sz w:val="28"/>
              <w:szCs w:val="28"/>
            </w:rPr>
            <w:instrText xml:space="preserve"> HYPERLINK \l _Toc11780_WPSOffice_Level1 </w:instrText>
          </w:r>
          <w:r>
            <w:rPr>
              <w:rFonts w:hint="eastAsia" w:asciiTheme="minorEastAsia" w:hAnsiTheme="minorEastAsia" w:eastAsiaTheme="minorEastAsia" w:cstheme="minorEastAsia"/>
              <w:b/>
              <w:bCs/>
              <w:sz w:val="28"/>
              <w:szCs w:val="28"/>
            </w:rPr>
            <w:fldChar w:fldCharType="separate"/>
          </w:r>
          <w:sdt>
            <w:sdtPr>
              <w:rPr>
                <w:rFonts w:hint="eastAsia" w:asciiTheme="minorEastAsia" w:hAnsiTheme="minorEastAsia" w:eastAsiaTheme="minorEastAsia" w:cstheme="minorEastAsia"/>
                <w:b/>
                <w:bCs/>
                <w:kern w:val="2"/>
                <w:sz w:val="28"/>
                <w:szCs w:val="28"/>
                <w:lang w:val="en-US" w:eastAsia="zh-CN" w:bidi="ar-SA"/>
              </w:rPr>
              <w:id w:val="147475465"/>
              <w:placeholder>
                <w:docPart w:val="{7a2d62c8-9fe2-4272-9c1b-78b3a73ff9cb}"/>
              </w:placeholder>
              <w15:color w:val="509DF3"/>
            </w:sdtPr>
            <w:sdtEndPr>
              <w:rPr>
                <w:rFonts w:hint="eastAsia" w:asciiTheme="minorEastAsia" w:hAnsiTheme="minorEastAsia" w:eastAsiaTheme="minorEastAsia" w:cstheme="minorEastAsia"/>
                <w:b/>
                <w:bCs/>
                <w:kern w:val="2"/>
                <w:sz w:val="28"/>
                <w:szCs w:val="28"/>
                <w:lang w:val="en-US" w:eastAsia="zh-CN" w:bidi="ar-SA"/>
              </w:rPr>
            </w:sdtEndPr>
            <w:sdtContent>
              <w:r>
                <w:rPr>
                  <w:rFonts w:hint="eastAsia" w:asciiTheme="minorEastAsia" w:hAnsiTheme="minorEastAsia" w:eastAsiaTheme="minorEastAsia" w:cstheme="minorEastAsia"/>
                  <w:b/>
                  <w:bCs/>
                  <w:sz w:val="28"/>
                  <w:szCs w:val="28"/>
                </w:rPr>
                <w:t>第一部分 部门概况</w:t>
              </w:r>
            </w:sdtContent>
          </w:sdt>
          <w:r>
            <w:rPr>
              <w:rFonts w:hint="eastAsia" w:asciiTheme="minorEastAsia" w:hAnsiTheme="minorEastAsia" w:eastAsiaTheme="minorEastAsia" w:cstheme="minorEastAsia"/>
              <w:b/>
              <w:bCs/>
              <w:sz w:val="28"/>
              <w:szCs w:val="28"/>
            </w:rPr>
            <w:tab/>
          </w:r>
          <w:bookmarkStart w:id="1" w:name="_Toc11780_WPSOffice_Level1Page"/>
          <w:r>
            <w:rPr>
              <w:rFonts w:hint="eastAsia" w:asciiTheme="minorEastAsia" w:hAnsiTheme="minorEastAsia" w:eastAsiaTheme="minorEastAsia" w:cstheme="minorEastAsia"/>
              <w:b/>
              <w:bCs/>
              <w:sz w:val="28"/>
              <w:szCs w:val="28"/>
            </w:rPr>
            <w:t>1</w:t>
          </w:r>
          <w:bookmarkEnd w:id="1"/>
          <w:r>
            <w:rPr>
              <w:rFonts w:hint="eastAsia" w:asciiTheme="minorEastAsia" w:hAnsiTheme="minorEastAsia" w:eastAsiaTheme="minorEastAsia" w:cstheme="minorEastAsia"/>
              <w:b/>
              <w:bCs/>
              <w:sz w:val="28"/>
              <w:szCs w:val="28"/>
            </w:rPr>
            <w:fldChar w:fldCharType="end"/>
          </w:r>
        </w:p>
        <w:p>
          <w:pPr>
            <w:pStyle w:val="16"/>
            <w:keepNext w:val="0"/>
            <w:keepLines w:val="0"/>
            <w:pageBreakBefore w:val="0"/>
            <w:tabs>
              <w:tab w:val="right" w:leader="dot" w:pos="8958"/>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_Toc19983_WPSOffice_Level2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75465"/>
              <w:placeholder>
                <w:docPart w:val="{09ec3362-2600-4d21-8716-c5ed88990117}"/>
              </w:placeholder>
              <w15:color w:val="509DF3"/>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一、部门主要职责</w:t>
              </w:r>
            </w:sdtContent>
          </w:sdt>
          <w:r>
            <w:rPr>
              <w:rFonts w:hint="eastAsia" w:asciiTheme="minorEastAsia" w:hAnsiTheme="minorEastAsia" w:eastAsiaTheme="minorEastAsia" w:cstheme="minorEastAsia"/>
              <w:sz w:val="28"/>
              <w:szCs w:val="28"/>
            </w:rPr>
            <w:tab/>
          </w:r>
          <w:bookmarkStart w:id="2" w:name="_Toc19983_WPSOffice_Level2Page"/>
          <w:r>
            <w:rPr>
              <w:rFonts w:hint="eastAsia" w:asciiTheme="minorEastAsia" w:hAnsiTheme="minorEastAsia" w:eastAsiaTheme="minorEastAsia" w:cstheme="minorEastAsia"/>
              <w:sz w:val="28"/>
              <w:szCs w:val="28"/>
            </w:rPr>
            <w:t>1</w:t>
          </w:r>
          <w:bookmarkEnd w:id="2"/>
          <w:r>
            <w:rPr>
              <w:rFonts w:hint="eastAsia" w:asciiTheme="minorEastAsia" w:hAnsiTheme="minorEastAsia" w:eastAsiaTheme="minorEastAsia" w:cstheme="minorEastAsia"/>
              <w:sz w:val="28"/>
              <w:szCs w:val="28"/>
            </w:rPr>
            <w:fldChar w:fldCharType="end"/>
          </w:r>
        </w:p>
        <w:p>
          <w:pPr>
            <w:pStyle w:val="16"/>
            <w:keepNext w:val="0"/>
            <w:keepLines w:val="0"/>
            <w:pageBreakBefore w:val="0"/>
            <w:tabs>
              <w:tab w:val="right" w:leader="dot" w:pos="8958"/>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_Toc29320_WPSOffice_Level2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75465"/>
              <w:placeholder>
                <w:docPart w:val="{3a07354a-fe15-458d-acfb-3473e0f670c9}"/>
              </w:placeholder>
              <w15:color w:val="509DF3"/>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二、部门决算单位基本情况</w:t>
              </w:r>
            </w:sdtContent>
          </w:sdt>
          <w:r>
            <w:rPr>
              <w:rFonts w:hint="eastAsia" w:asciiTheme="minorEastAsia" w:hAnsiTheme="minorEastAsia" w:eastAsiaTheme="minorEastAsia" w:cstheme="minorEastAsia"/>
              <w:sz w:val="28"/>
              <w:szCs w:val="28"/>
            </w:rPr>
            <w:tab/>
          </w:r>
          <w:bookmarkStart w:id="3" w:name="_Toc29320_WPSOffice_Level2Page"/>
          <w:r>
            <w:rPr>
              <w:rFonts w:hint="eastAsia" w:asciiTheme="minorEastAsia" w:hAnsiTheme="minorEastAsia" w:eastAsiaTheme="minorEastAsia" w:cstheme="minorEastAsia"/>
              <w:sz w:val="28"/>
              <w:szCs w:val="28"/>
            </w:rPr>
            <w:t>1</w:t>
          </w:r>
          <w:bookmarkEnd w:id="3"/>
          <w:r>
            <w:rPr>
              <w:rFonts w:hint="eastAsia" w:asciiTheme="minorEastAsia" w:hAnsiTheme="minorEastAsia" w:eastAsiaTheme="minorEastAsia" w:cstheme="minorEastAsia"/>
              <w:sz w:val="28"/>
              <w:szCs w:val="28"/>
            </w:rPr>
            <w:fldChar w:fldCharType="end"/>
          </w:r>
        </w:p>
        <w:p>
          <w:pPr>
            <w:pStyle w:val="16"/>
            <w:keepNext w:val="0"/>
            <w:keepLines w:val="0"/>
            <w:pageBreakBefore w:val="0"/>
            <w:tabs>
              <w:tab w:val="right" w:leader="dot" w:pos="8958"/>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_Toc17662_WPSOffice_Level2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75465"/>
              <w:placeholder>
                <w:docPart w:val="{8f4f162c-f16e-4731-9f80-40d04f6dd62b}"/>
              </w:placeholder>
              <w15:color w:val="509DF3"/>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三、部门主要工作总结</w:t>
              </w:r>
            </w:sdtContent>
          </w:sdt>
          <w:r>
            <w:rPr>
              <w:rFonts w:hint="eastAsia" w:asciiTheme="minorEastAsia" w:hAnsiTheme="minorEastAsia" w:eastAsiaTheme="minorEastAsia" w:cstheme="minorEastAsia"/>
              <w:sz w:val="28"/>
              <w:szCs w:val="28"/>
            </w:rPr>
            <w:tab/>
          </w:r>
          <w:bookmarkStart w:id="4" w:name="_Toc17662_WPSOffice_Level2Page"/>
          <w:r>
            <w:rPr>
              <w:rFonts w:hint="eastAsia" w:asciiTheme="minorEastAsia" w:hAnsiTheme="minorEastAsia" w:eastAsiaTheme="minorEastAsia" w:cstheme="minorEastAsia"/>
              <w:sz w:val="28"/>
              <w:szCs w:val="28"/>
            </w:rPr>
            <w:t>2</w:t>
          </w:r>
          <w:bookmarkEnd w:id="4"/>
          <w:r>
            <w:rPr>
              <w:rFonts w:hint="eastAsia" w:asciiTheme="minorEastAsia" w:hAnsiTheme="minorEastAsia" w:eastAsiaTheme="minorEastAsia" w:cstheme="minorEastAsia"/>
              <w:sz w:val="28"/>
              <w:szCs w:val="28"/>
            </w:rPr>
            <w:fldChar w:fldCharType="end"/>
          </w:r>
        </w:p>
        <w:p>
          <w:pPr>
            <w:pStyle w:val="15"/>
            <w:keepNext w:val="0"/>
            <w:keepLines w:val="0"/>
            <w:pageBreakBefore w:val="0"/>
            <w:tabs>
              <w:tab w:val="right" w:leader="dot" w:pos="8958"/>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sz w:val="28"/>
              <w:szCs w:val="28"/>
            </w:rPr>
            <w:instrText xml:space="preserve"> HYPERLINK \l _Toc19983_WPSOffice_Level1 </w:instrText>
          </w:r>
          <w:r>
            <w:rPr>
              <w:rFonts w:hint="eastAsia" w:asciiTheme="minorEastAsia" w:hAnsiTheme="minorEastAsia" w:eastAsiaTheme="minorEastAsia" w:cstheme="minorEastAsia"/>
              <w:b/>
              <w:bCs/>
              <w:sz w:val="28"/>
              <w:szCs w:val="28"/>
            </w:rPr>
            <w:fldChar w:fldCharType="separate"/>
          </w:r>
          <w:sdt>
            <w:sdtPr>
              <w:rPr>
                <w:rFonts w:hint="eastAsia" w:asciiTheme="minorEastAsia" w:hAnsiTheme="minorEastAsia" w:eastAsiaTheme="minorEastAsia" w:cstheme="minorEastAsia"/>
                <w:b/>
                <w:bCs/>
                <w:kern w:val="2"/>
                <w:sz w:val="28"/>
                <w:szCs w:val="28"/>
                <w:lang w:val="en-US" w:eastAsia="zh-CN" w:bidi="ar-SA"/>
              </w:rPr>
              <w:id w:val="147475465"/>
              <w:placeholder>
                <w:docPart w:val="{1f19b50f-958a-435b-a3d1-ea3363cbdf6a}"/>
              </w:placeholder>
              <w15:color w:val="509DF3"/>
            </w:sdtPr>
            <w:sdtEndPr>
              <w:rPr>
                <w:rFonts w:hint="eastAsia" w:asciiTheme="minorEastAsia" w:hAnsiTheme="minorEastAsia" w:eastAsiaTheme="minorEastAsia" w:cstheme="minorEastAsia"/>
                <w:b/>
                <w:bCs/>
                <w:kern w:val="2"/>
                <w:sz w:val="28"/>
                <w:szCs w:val="28"/>
                <w:lang w:val="en-US" w:eastAsia="zh-CN" w:bidi="ar-SA"/>
              </w:rPr>
            </w:sdtEndPr>
            <w:sdtContent>
              <w:r>
                <w:rPr>
                  <w:rFonts w:hint="eastAsia" w:asciiTheme="minorEastAsia" w:hAnsiTheme="minorEastAsia" w:eastAsiaTheme="minorEastAsia" w:cstheme="minorEastAsia"/>
                  <w:b/>
                  <w:bCs/>
                  <w:sz w:val="28"/>
                  <w:szCs w:val="28"/>
                </w:rPr>
                <w:t>第二部分 2019年度部门决算表</w:t>
              </w:r>
            </w:sdtContent>
          </w:sdt>
          <w:r>
            <w:rPr>
              <w:rFonts w:hint="eastAsia" w:asciiTheme="minorEastAsia" w:hAnsiTheme="minorEastAsia" w:eastAsiaTheme="minorEastAsia" w:cstheme="minorEastAsia"/>
              <w:b/>
              <w:bCs/>
              <w:sz w:val="28"/>
              <w:szCs w:val="28"/>
            </w:rPr>
            <w:tab/>
          </w:r>
          <w:bookmarkStart w:id="5" w:name="_Toc19983_WPSOffice_Level1Page"/>
          <w:r>
            <w:rPr>
              <w:rFonts w:hint="eastAsia" w:asciiTheme="minorEastAsia" w:hAnsiTheme="minorEastAsia" w:eastAsiaTheme="minorEastAsia" w:cstheme="minorEastAsia"/>
              <w:b/>
              <w:bCs/>
              <w:sz w:val="28"/>
              <w:szCs w:val="28"/>
            </w:rPr>
            <w:t>3</w:t>
          </w:r>
          <w:bookmarkEnd w:id="5"/>
          <w:r>
            <w:rPr>
              <w:rFonts w:hint="eastAsia" w:asciiTheme="minorEastAsia" w:hAnsiTheme="minorEastAsia" w:eastAsiaTheme="minorEastAsia" w:cstheme="minorEastAsia"/>
              <w:b/>
              <w:bCs/>
              <w:sz w:val="28"/>
              <w:szCs w:val="28"/>
            </w:rPr>
            <w:fldChar w:fldCharType="end"/>
          </w:r>
        </w:p>
        <w:p>
          <w:pPr>
            <w:pStyle w:val="16"/>
            <w:keepNext w:val="0"/>
            <w:keepLines w:val="0"/>
            <w:pageBreakBefore w:val="0"/>
            <w:tabs>
              <w:tab w:val="right" w:leader="dot" w:pos="8958"/>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_Toc26989_WPSOffice_Level2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75465"/>
              <w:placeholder>
                <w:docPart w:val="{6d215288-63c3-4a0b-84a4-a9f4ade51771}"/>
              </w:placeholder>
              <w15:color w:val="509DF3"/>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（部门决算公开表由部门决算公开任务系统导出）</w:t>
              </w:r>
            </w:sdtContent>
          </w:sdt>
          <w:r>
            <w:rPr>
              <w:rFonts w:hint="eastAsia" w:asciiTheme="minorEastAsia" w:hAnsiTheme="minorEastAsia" w:eastAsiaTheme="minorEastAsia" w:cstheme="minorEastAsia"/>
              <w:sz w:val="28"/>
              <w:szCs w:val="28"/>
            </w:rPr>
            <w:tab/>
          </w:r>
          <w:bookmarkStart w:id="6" w:name="_Toc26989_WPSOffice_Level2Page"/>
          <w:r>
            <w:rPr>
              <w:rFonts w:hint="eastAsia" w:asciiTheme="minorEastAsia" w:hAnsiTheme="minorEastAsia" w:eastAsiaTheme="minorEastAsia" w:cstheme="minorEastAsia"/>
              <w:sz w:val="28"/>
              <w:szCs w:val="28"/>
            </w:rPr>
            <w:t>3</w:t>
          </w:r>
          <w:bookmarkEnd w:id="6"/>
          <w:r>
            <w:rPr>
              <w:rFonts w:hint="eastAsia" w:asciiTheme="minorEastAsia" w:hAnsiTheme="minorEastAsia" w:eastAsiaTheme="minorEastAsia" w:cstheme="minorEastAsia"/>
              <w:sz w:val="28"/>
              <w:szCs w:val="28"/>
            </w:rPr>
            <w:fldChar w:fldCharType="end"/>
          </w:r>
        </w:p>
        <w:p>
          <w:pPr>
            <w:pStyle w:val="16"/>
            <w:keepNext w:val="0"/>
            <w:keepLines w:val="0"/>
            <w:pageBreakBefore w:val="0"/>
            <w:tabs>
              <w:tab w:val="right" w:leader="dot" w:pos="8958"/>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_Toc22112_WPSOffice_Level2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75465"/>
              <w:placeholder>
                <w:docPart w:val="{28af989f-db95-459d-aa1e-a445f5a47621}"/>
              </w:placeholder>
              <w15:color w:val="509DF3"/>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一、 收入支出决算总表</w:t>
              </w:r>
            </w:sdtContent>
          </w:sdt>
          <w:r>
            <w:rPr>
              <w:rFonts w:hint="eastAsia" w:asciiTheme="minorEastAsia" w:hAnsiTheme="minorEastAsia" w:eastAsiaTheme="minorEastAsia" w:cstheme="minorEastAsia"/>
              <w:sz w:val="28"/>
              <w:szCs w:val="28"/>
            </w:rPr>
            <w:tab/>
          </w:r>
          <w:bookmarkStart w:id="7" w:name="_Toc22112_WPSOffice_Level2Page"/>
          <w:r>
            <w:rPr>
              <w:rFonts w:hint="eastAsia" w:asciiTheme="minorEastAsia" w:hAnsiTheme="minorEastAsia" w:eastAsiaTheme="minorEastAsia" w:cstheme="minorEastAsia"/>
              <w:sz w:val="28"/>
              <w:szCs w:val="28"/>
            </w:rPr>
            <w:t>3</w:t>
          </w:r>
          <w:bookmarkEnd w:id="7"/>
          <w:r>
            <w:rPr>
              <w:rFonts w:hint="eastAsia" w:asciiTheme="minorEastAsia" w:hAnsiTheme="minorEastAsia" w:eastAsiaTheme="minorEastAsia" w:cstheme="minorEastAsia"/>
              <w:sz w:val="28"/>
              <w:szCs w:val="28"/>
            </w:rPr>
            <w:fldChar w:fldCharType="end"/>
          </w:r>
        </w:p>
        <w:p>
          <w:pPr>
            <w:pStyle w:val="16"/>
            <w:keepNext w:val="0"/>
            <w:keepLines w:val="0"/>
            <w:pageBreakBefore w:val="0"/>
            <w:tabs>
              <w:tab w:val="right" w:leader="dot" w:pos="8958"/>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_Toc14260_WPSOffice_Level2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75465"/>
              <w:placeholder>
                <w:docPart w:val="{46f3c2aa-6211-4e73-ad83-f336d8b43db6}"/>
              </w:placeholder>
              <w15:color w:val="509DF3"/>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二、 收入决算表</w:t>
              </w:r>
            </w:sdtContent>
          </w:sdt>
          <w:r>
            <w:rPr>
              <w:rFonts w:hint="eastAsia" w:asciiTheme="minorEastAsia" w:hAnsiTheme="minorEastAsia" w:eastAsiaTheme="minorEastAsia" w:cstheme="minorEastAsia"/>
              <w:sz w:val="28"/>
              <w:szCs w:val="28"/>
            </w:rPr>
            <w:tab/>
          </w:r>
          <w:bookmarkStart w:id="8" w:name="_Toc14260_WPSOffice_Level2Page"/>
          <w:r>
            <w:rPr>
              <w:rFonts w:hint="eastAsia" w:asciiTheme="minorEastAsia" w:hAnsiTheme="minorEastAsia" w:eastAsiaTheme="minorEastAsia" w:cstheme="minorEastAsia"/>
              <w:sz w:val="28"/>
              <w:szCs w:val="28"/>
            </w:rPr>
            <w:t>4</w:t>
          </w:r>
          <w:bookmarkEnd w:id="8"/>
          <w:r>
            <w:rPr>
              <w:rFonts w:hint="eastAsia" w:asciiTheme="minorEastAsia" w:hAnsiTheme="minorEastAsia" w:eastAsiaTheme="minorEastAsia" w:cstheme="minorEastAsia"/>
              <w:sz w:val="28"/>
              <w:szCs w:val="28"/>
            </w:rPr>
            <w:fldChar w:fldCharType="end"/>
          </w:r>
        </w:p>
        <w:p>
          <w:pPr>
            <w:pStyle w:val="16"/>
            <w:keepNext w:val="0"/>
            <w:keepLines w:val="0"/>
            <w:pageBreakBefore w:val="0"/>
            <w:tabs>
              <w:tab w:val="right" w:leader="dot" w:pos="8958"/>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_Toc13922_WPSOffice_Level2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75465"/>
              <w:placeholder>
                <w:docPart w:val="{f2583825-a50a-494f-9d6e-aa2204f8885e}"/>
              </w:placeholder>
              <w15:color w:val="509DF3"/>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三、 支出决算表</w:t>
              </w:r>
            </w:sdtContent>
          </w:sdt>
          <w:r>
            <w:rPr>
              <w:rFonts w:hint="eastAsia" w:asciiTheme="minorEastAsia" w:hAnsiTheme="minorEastAsia" w:eastAsiaTheme="minorEastAsia" w:cstheme="minorEastAsia"/>
              <w:sz w:val="28"/>
              <w:szCs w:val="28"/>
            </w:rPr>
            <w:tab/>
          </w:r>
          <w:bookmarkStart w:id="9" w:name="_Toc13922_WPSOffice_Level2Page"/>
          <w:r>
            <w:rPr>
              <w:rFonts w:hint="eastAsia" w:asciiTheme="minorEastAsia" w:hAnsiTheme="minorEastAsia" w:eastAsiaTheme="minorEastAsia" w:cstheme="minorEastAsia"/>
              <w:sz w:val="28"/>
              <w:szCs w:val="28"/>
            </w:rPr>
            <w:t>4</w:t>
          </w:r>
          <w:bookmarkEnd w:id="9"/>
          <w:r>
            <w:rPr>
              <w:rFonts w:hint="eastAsia" w:asciiTheme="minorEastAsia" w:hAnsiTheme="minorEastAsia" w:eastAsiaTheme="minorEastAsia" w:cstheme="minorEastAsia"/>
              <w:sz w:val="28"/>
              <w:szCs w:val="28"/>
            </w:rPr>
            <w:fldChar w:fldCharType="end"/>
          </w:r>
        </w:p>
        <w:p>
          <w:pPr>
            <w:pStyle w:val="16"/>
            <w:keepNext w:val="0"/>
            <w:keepLines w:val="0"/>
            <w:pageBreakBefore w:val="0"/>
            <w:tabs>
              <w:tab w:val="right" w:leader="dot" w:pos="8958"/>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_Toc16588_WPSOffice_Level2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75465"/>
              <w:placeholder>
                <w:docPart w:val="{ff7df2db-3b29-48a7-871c-e7ead2c50b7e}"/>
              </w:placeholder>
              <w15:color w:val="509DF3"/>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四、 财政拨款收入支出决算总表</w:t>
              </w:r>
            </w:sdtContent>
          </w:sdt>
          <w:r>
            <w:rPr>
              <w:rFonts w:hint="eastAsia" w:asciiTheme="minorEastAsia" w:hAnsiTheme="minorEastAsia" w:eastAsiaTheme="minorEastAsia" w:cstheme="minorEastAsia"/>
              <w:sz w:val="28"/>
              <w:szCs w:val="28"/>
            </w:rPr>
            <w:tab/>
          </w:r>
          <w:bookmarkStart w:id="10" w:name="_Toc16588_WPSOffice_Level2Page"/>
          <w:r>
            <w:rPr>
              <w:rFonts w:hint="eastAsia" w:asciiTheme="minorEastAsia" w:hAnsiTheme="minorEastAsia" w:eastAsiaTheme="minorEastAsia" w:cstheme="minorEastAsia"/>
              <w:sz w:val="28"/>
              <w:szCs w:val="28"/>
            </w:rPr>
            <w:t>5</w:t>
          </w:r>
          <w:bookmarkEnd w:id="10"/>
          <w:r>
            <w:rPr>
              <w:rFonts w:hint="eastAsia" w:asciiTheme="minorEastAsia" w:hAnsiTheme="minorEastAsia" w:eastAsiaTheme="minorEastAsia" w:cstheme="minorEastAsia"/>
              <w:sz w:val="28"/>
              <w:szCs w:val="28"/>
            </w:rPr>
            <w:fldChar w:fldCharType="end"/>
          </w:r>
        </w:p>
        <w:p>
          <w:pPr>
            <w:pStyle w:val="16"/>
            <w:keepNext w:val="0"/>
            <w:keepLines w:val="0"/>
            <w:pageBreakBefore w:val="0"/>
            <w:tabs>
              <w:tab w:val="right" w:leader="dot" w:pos="8958"/>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_Toc733_WPSOffice_Level2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75465"/>
              <w:placeholder>
                <w:docPart w:val="{438dfc8e-8f5a-4944-9975-31aa6d993945}"/>
              </w:placeholder>
              <w15:color w:val="509DF3"/>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五、 一般公共预算财政拨款支出决算表</w:t>
              </w:r>
            </w:sdtContent>
          </w:sdt>
          <w:r>
            <w:rPr>
              <w:rFonts w:hint="eastAsia" w:asciiTheme="minorEastAsia" w:hAnsiTheme="minorEastAsia" w:eastAsiaTheme="minorEastAsia" w:cstheme="minorEastAsia"/>
              <w:sz w:val="28"/>
              <w:szCs w:val="28"/>
            </w:rPr>
            <w:tab/>
          </w:r>
          <w:bookmarkStart w:id="11" w:name="_Toc733_WPSOffice_Level2Page"/>
          <w:r>
            <w:rPr>
              <w:rFonts w:hint="eastAsia" w:asciiTheme="minorEastAsia" w:hAnsiTheme="minorEastAsia" w:eastAsiaTheme="minorEastAsia" w:cstheme="minorEastAsia"/>
              <w:sz w:val="28"/>
              <w:szCs w:val="28"/>
            </w:rPr>
            <w:t>6</w:t>
          </w:r>
          <w:bookmarkEnd w:id="11"/>
          <w:r>
            <w:rPr>
              <w:rFonts w:hint="eastAsia" w:asciiTheme="minorEastAsia" w:hAnsiTheme="minorEastAsia" w:eastAsiaTheme="minorEastAsia" w:cstheme="minorEastAsia"/>
              <w:sz w:val="28"/>
              <w:szCs w:val="28"/>
            </w:rPr>
            <w:fldChar w:fldCharType="end"/>
          </w:r>
        </w:p>
        <w:p>
          <w:pPr>
            <w:pStyle w:val="16"/>
            <w:keepNext w:val="0"/>
            <w:keepLines w:val="0"/>
            <w:pageBreakBefore w:val="0"/>
            <w:tabs>
              <w:tab w:val="right" w:leader="dot" w:pos="8958"/>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_Toc31403_WPSOffice_Level2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75465"/>
              <w:placeholder>
                <w:docPart w:val="{85708eb8-1a2a-4cc7-95c2-39a31b1db103}"/>
              </w:placeholder>
              <w15:color w:val="509DF3"/>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六、 一般公共预算财政拨款支出决算明细表</w:t>
              </w:r>
            </w:sdtContent>
          </w:sdt>
          <w:r>
            <w:rPr>
              <w:rFonts w:hint="eastAsia" w:asciiTheme="minorEastAsia" w:hAnsiTheme="minorEastAsia" w:eastAsiaTheme="minorEastAsia" w:cstheme="minorEastAsia"/>
              <w:sz w:val="28"/>
              <w:szCs w:val="28"/>
            </w:rPr>
            <w:tab/>
          </w:r>
          <w:bookmarkStart w:id="12" w:name="_Toc31403_WPSOffice_Level2Page"/>
          <w:r>
            <w:rPr>
              <w:rFonts w:hint="eastAsia" w:asciiTheme="minorEastAsia" w:hAnsiTheme="minorEastAsia" w:eastAsiaTheme="minorEastAsia" w:cstheme="minorEastAsia"/>
              <w:sz w:val="28"/>
              <w:szCs w:val="28"/>
            </w:rPr>
            <w:t>6</w:t>
          </w:r>
          <w:bookmarkEnd w:id="12"/>
          <w:r>
            <w:rPr>
              <w:rFonts w:hint="eastAsia" w:asciiTheme="minorEastAsia" w:hAnsiTheme="minorEastAsia" w:eastAsiaTheme="minorEastAsia" w:cstheme="minorEastAsia"/>
              <w:sz w:val="28"/>
              <w:szCs w:val="28"/>
            </w:rPr>
            <w:fldChar w:fldCharType="end"/>
          </w:r>
        </w:p>
        <w:p>
          <w:pPr>
            <w:pStyle w:val="16"/>
            <w:keepNext w:val="0"/>
            <w:keepLines w:val="0"/>
            <w:pageBreakBefore w:val="0"/>
            <w:tabs>
              <w:tab w:val="right" w:leader="dot" w:pos="8958"/>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_Toc29552_WPSOffice_Level2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75465"/>
              <w:placeholder>
                <w:docPart w:val="{a02a1814-7514-4177-bd17-17635ab9fb10}"/>
              </w:placeholder>
              <w15:color w:val="509DF3"/>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七、 一般公共预算财政拨款基本支出决算表</w:t>
              </w:r>
            </w:sdtContent>
          </w:sdt>
          <w:r>
            <w:rPr>
              <w:rFonts w:hint="eastAsia" w:asciiTheme="minorEastAsia" w:hAnsiTheme="minorEastAsia" w:eastAsiaTheme="minorEastAsia" w:cstheme="minorEastAsia"/>
              <w:sz w:val="28"/>
              <w:szCs w:val="28"/>
            </w:rPr>
            <w:tab/>
          </w:r>
          <w:bookmarkStart w:id="13" w:name="_Toc29552_WPSOffice_Level2Page"/>
          <w:r>
            <w:rPr>
              <w:rFonts w:hint="eastAsia" w:asciiTheme="minorEastAsia" w:hAnsiTheme="minorEastAsia" w:eastAsiaTheme="minorEastAsia" w:cstheme="minorEastAsia"/>
              <w:sz w:val="28"/>
              <w:szCs w:val="28"/>
            </w:rPr>
            <w:t>7</w:t>
          </w:r>
          <w:bookmarkEnd w:id="13"/>
          <w:r>
            <w:rPr>
              <w:rFonts w:hint="eastAsia" w:asciiTheme="minorEastAsia" w:hAnsiTheme="minorEastAsia" w:eastAsiaTheme="minorEastAsia" w:cstheme="minorEastAsia"/>
              <w:sz w:val="28"/>
              <w:szCs w:val="28"/>
            </w:rPr>
            <w:fldChar w:fldCharType="end"/>
          </w:r>
        </w:p>
        <w:p>
          <w:pPr>
            <w:pStyle w:val="16"/>
            <w:keepNext w:val="0"/>
            <w:keepLines w:val="0"/>
            <w:pageBreakBefore w:val="0"/>
            <w:tabs>
              <w:tab w:val="right" w:leader="dot" w:pos="8958"/>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_Toc23048_WPSOffice_Level2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75465"/>
              <w:placeholder>
                <w:docPart w:val="{eccf0de3-7e35-4a6b-b80e-c1320a87096c}"/>
              </w:placeholder>
              <w15:color w:val="509DF3"/>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八、政府性基金预算财政拨款收入支出决算表</w:t>
              </w:r>
            </w:sdtContent>
          </w:sdt>
          <w:r>
            <w:rPr>
              <w:rFonts w:hint="eastAsia" w:asciiTheme="minorEastAsia" w:hAnsiTheme="minorEastAsia" w:eastAsiaTheme="minorEastAsia" w:cstheme="minorEastAsia"/>
              <w:sz w:val="28"/>
              <w:szCs w:val="28"/>
            </w:rPr>
            <w:tab/>
          </w:r>
          <w:bookmarkStart w:id="14" w:name="_Toc23048_WPSOffice_Level2Page"/>
          <w:r>
            <w:rPr>
              <w:rFonts w:hint="eastAsia" w:asciiTheme="minorEastAsia" w:hAnsiTheme="minorEastAsia" w:eastAsiaTheme="minorEastAsia" w:cstheme="minorEastAsia"/>
              <w:sz w:val="28"/>
              <w:szCs w:val="28"/>
            </w:rPr>
            <w:t>11</w:t>
          </w:r>
          <w:bookmarkEnd w:id="14"/>
          <w:r>
            <w:rPr>
              <w:rFonts w:hint="eastAsia" w:asciiTheme="minorEastAsia" w:hAnsiTheme="minorEastAsia" w:eastAsiaTheme="minorEastAsia" w:cstheme="minorEastAsia"/>
              <w:sz w:val="28"/>
              <w:szCs w:val="28"/>
            </w:rPr>
            <w:fldChar w:fldCharType="end"/>
          </w:r>
        </w:p>
        <w:p>
          <w:pPr>
            <w:pStyle w:val="16"/>
            <w:keepNext w:val="0"/>
            <w:keepLines w:val="0"/>
            <w:pageBreakBefore w:val="0"/>
            <w:tabs>
              <w:tab w:val="right" w:leader="dot" w:pos="8958"/>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_Toc7993_WPSOffice_Level2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75465"/>
              <w:placeholder>
                <w:docPart w:val="{df4ef711-9521-4791-8ec3-19b8fea66352}"/>
              </w:placeholder>
              <w15:color w:val="509DF3"/>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九、机构运行信息表</w:t>
              </w:r>
            </w:sdtContent>
          </w:sdt>
          <w:r>
            <w:rPr>
              <w:rFonts w:hint="eastAsia" w:asciiTheme="minorEastAsia" w:hAnsiTheme="minorEastAsia" w:eastAsiaTheme="minorEastAsia" w:cstheme="minorEastAsia"/>
              <w:sz w:val="28"/>
              <w:szCs w:val="28"/>
            </w:rPr>
            <w:tab/>
          </w:r>
          <w:bookmarkStart w:id="15" w:name="_Toc7993_WPSOffice_Level2Page"/>
          <w:r>
            <w:rPr>
              <w:rFonts w:hint="eastAsia" w:asciiTheme="minorEastAsia" w:hAnsiTheme="minorEastAsia" w:eastAsiaTheme="minorEastAsia" w:cstheme="minorEastAsia"/>
              <w:sz w:val="28"/>
              <w:szCs w:val="28"/>
            </w:rPr>
            <w:t>11</w:t>
          </w:r>
          <w:bookmarkEnd w:id="15"/>
          <w:r>
            <w:rPr>
              <w:rFonts w:hint="eastAsia" w:asciiTheme="minorEastAsia" w:hAnsiTheme="minorEastAsia" w:eastAsiaTheme="minorEastAsia" w:cstheme="minorEastAsia"/>
              <w:sz w:val="28"/>
              <w:szCs w:val="28"/>
            </w:rPr>
            <w:fldChar w:fldCharType="end"/>
          </w:r>
        </w:p>
        <w:p>
          <w:pPr>
            <w:pStyle w:val="15"/>
            <w:keepNext w:val="0"/>
            <w:keepLines w:val="0"/>
            <w:pageBreakBefore w:val="0"/>
            <w:tabs>
              <w:tab w:val="right" w:leader="dot" w:pos="8958"/>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sz w:val="28"/>
              <w:szCs w:val="28"/>
            </w:rPr>
            <w:instrText xml:space="preserve"> HYPERLINK \l _Toc29320_WPSOffice_Level1 </w:instrText>
          </w:r>
          <w:r>
            <w:rPr>
              <w:rFonts w:hint="eastAsia" w:asciiTheme="minorEastAsia" w:hAnsiTheme="minorEastAsia" w:eastAsiaTheme="minorEastAsia" w:cstheme="minorEastAsia"/>
              <w:b/>
              <w:bCs/>
              <w:sz w:val="28"/>
              <w:szCs w:val="28"/>
            </w:rPr>
            <w:fldChar w:fldCharType="separate"/>
          </w:r>
          <w:sdt>
            <w:sdtPr>
              <w:rPr>
                <w:rFonts w:hint="eastAsia" w:asciiTheme="minorEastAsia" w:hAnsiTheme="minorEastAsia" w:eastAsiaTheme="minorEastAsia" w:cstheme="minorEastAsia"/>
                <w:b/>
                <w:bCs/>
                <w:kern w:val="2"/>
                <w:sz w:val="28"/>
                <w:szCs w:val="28"/>
                <w:lang w:val="en-US" w:eastAsia="zh-CN" w:bidi="ar-SA"/>
              </w:rPr>
              <w:id w:val="147475465"/>
              <w:placeholder>
                <w:docPart w:val="{982eecdc-1f1e-4def-9cc8-32ee3805a500}"/>
              </w:placeholder>
              <w15:color w:val="509DF3"/>
            </w:sdtPr>
            <w:sdtEndPr>
              <w:rPr>
                <w:rFonts w:hint="eastAsia" w:asciiTheme="minorEastAsia" w:hAnsiTheme="minorEastAsia" w:eastAsiaTheme="minorEastAsia" w:cstheme="minorEastAsia"/>
                <w:b/>
                <w:bCs/>
                <w:kern w:val="2"/>
                <w:sz w:val="28"/>
                <w:szCs w:val="28"/>
                <w:lang w:val="en-US" w:eastAsia="zh-CN" w:bidi="ar-SA"/>
              </w:rPr>
            </w:sdtEndPr>
            <w:sdtContent>
              <w:r>
                <w:rPr>
                  <w:rFonts w:hint="eastAsia" w:asciiTheme="minorEastAsia" w:hAnsiTheme="minorEastAsia" w:eastAsiaTheme="minorEastAsia" w:cstheme="minorEastAsia"/>
                  <w:b/>
                  <w:bCs/>
                  <w:sz w:val="28"/>
                  <w:szCs w:val="28"/>
                </w:rPr>
                <w:t>第三部分 2019年度部门决算情况说明</w:t>
              </w:r>
            </w:sdtContent>
          </w:sdt>
          <w:r>
            <w:rPr>
              <w:rFonts w:hint="eastAsia" w:asciiTheme="minorEastAsia" w:hAnsiTheme="minorEastAsia" w:eastAsiaTheme="minorEastAsia" w:cstheme="minorEastAsia"/>
              <w:b/>
              <w:bCs/>
              <w:sz w:val="28"/>
              <w:szCs w:val="28"/>
            </w:rPr>
            <w:tab/>
          </w:r>
          <w:bookmarkStart w:id="16" w:name="_Toc29320_WPSOffice_Level1Page"/>
          <w:r>
            <w:rPr>
              <w:rFonts w:hint="eastAsia" w:asciiTheme="minorEastAsia" w:hAnsiTheme="minorEastAsia" w:eastAsiaTheme="minorEastAsia" w:cstheme="minorEastAsia"/>
              <w:b/>
              <w:bCs/>
              <w:sz w:val="28"/>
              <w:szCs w:val="28"/>
            </w:rPr>
            <w:t>12</w:t>
          </w:r>
          <w:bookmarkEnd w:id="16"/>
          <w:r>
            <w:rPr>
              <w:rFonts w:hint="eastAsia" w:asciiTheme="minorEastAsia" w:hAnsiTheme="minorEastAsia" w:eastAsiaTheme="minorEastAsia" w:cstheme="minorEastAsia"/>
              <w:b/>
              <w:bCs/>
              <w:sz w:val="28"/>
              <w:szCs w:val="28"/>
            </w:rPr>
            <w:fldChar w:fldCharType="end"/>
          </w:r>
        </w:p>
        <w:p>
          <w:pPr>
            <w:pStyle w:val="16"/>
            <w:keepNext w:val="0"/>
            <w:keepLines w:val="0"/>
            <w:pageBreakBefore w:val="0"/>
            <w:tabs>
              <w:tab w:val="right" w:leader="dot" w:pos="8958"/>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_Toc25000_WPSOffice_Level2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75465"/>
              <w:placeholder>
                <w:docPart w:val="{d84550b5-9ffc-47ff-9ee4-589d9d1bd166}"/>
              </w:placeholder>
              <w15:color w:val="509DF3"/>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一、收入支出决算总体情况说明</w:t>
              </w:r>
            </w:sdtContent>
          </w:sdt>
          <w:r>
            <w:rPr>
              <w:rFonts w:hint="eastAsia" w:asciiTheme="minorEastAsia" w:hAnsiTheme="minorEastAsia" w:eastAsiaTheme="minorEastAsia" w:cstheme="minorEastAsia"/>
              <w:sz w:val="28"/>
              <w:szCs w:val="28"/>
            </w:rPr>
            <w:tab/>
          </w:r>
          <w:bookmarkStart w:id="17" w:name="_Toc25000_WPSOffice_Level2Page"/>
          <w:r>
            <w:rPr>
              <w:rFonts w:hint="eastAsia" w:asciiTheme="minorEastAsia" w:hAnsiTheme="minorEastAsia" w:eastAsiaTheme="minorEastAsia" w:cstheme="minorEastAsia"/>
              <w:sz w:val="28"/>
              <w:szCs w:val="28"/>
            </w:rPr>
            <w:t>12</w:t>
          </w:r>
          <w:bookmarkEnd w:id="17"/>
          <w:r>
            <w:rPr>
              <w:rFonts w:hint="eastAsia" w:asciiTheme="minorEastAsia" w:hAnsiTheme="minorEastAsia" w:eastAsiaTheme="minorEastAsia" w:cstheme="minorEastAsia"/>
              <w:sz w:val="28"/>
              <w:szCs w:val="28"/>
            </w:rPr>
            <w:fldChar w:fldCharType="end"/>
          </w:r>
        </w:p>
        <w:p>
          <w:pPr>
            <w:pStyle w:val="16"/>
            <w:keepNext w:val="0"/>
            <w:keepLines w:val="0"/>
            <w:pageBreakBefore w:val="0"/>
            <w:tabs>
              <w:tab w:val="right" w:leader="dot" w:pos="8958"/>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_Toc11657_WPSOffice_Level2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75465"/>
              <w:placeholder>
                <w:docPart w:val="{8aaf2753-f08e-430d-92f4-7879a1e134a1}"/>
              </w:placeholder>
              <w15:color w:val="509DF3"/>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二、一般公共预算拨款支出决算情况说明</w:t>
              </w:r>
            </w:sdtContent>
          </w:sdt>
          <w:r>
            <w:rPr>
              <w:rFonts w:hint="eastAsia" w:asciiTheme="minorEastAsia" w:hAnsiTheme="minorEastAsia" w:eastAsiaTheme="minorEastAsia" w:cstheme="minorEastAsia"/>
              <w:sz w:val="28"/>
              <w:szCs w:val="28"/>
            </w:rPr>
            <w:tab/>
          </w:r>
          <w:bookmarkStart w:id="18" w:name="_Toc11657_WPSOffice_Level2Page"/>
          <w:r>
            <w:rPr>
              <w:rFonts w:hint="eastAsia" w:asciiTheme="minorEastAsia" w:hAnsiTheme="minorEastAsia" w:eastAsiaTheme="minorEastAsia" w:cstheme="minorEastAsia"/>
              <w:sz w:val="28"/>
              <w:szCs w:val="28"/>
            </w:rPr>
            <w:t>13</w:t>
          </w:r>
          <w:bookmarkEnd w:id="18"/>
          <w:r>
            <w:rPr>
              <w:rFonts w:hint="eastAsia" w:asciiTheme="minorEastAsia" w:hAnsiTheme="minorEastAsia" w:eastAsiaTheme="minorEastAsia" w:cstheme="minorEastAsia"/>
              <w:sz w:val="28"/>
              <w:szCs w:val="28"/>
            </w:rPr>
            <w:fldChar w:fldCharType="end"/>
          </w:r>
        </w:p>
        <w:p>
          <w:pPr>
            <w:pStyle w:val="16"/>
            <w:keepNext w:val="0"/>
            <w:keepLines w:val="0"/>
            <w:pageBreakBefore w:val="0"/>
            <w:tabs>
              <w:tab w:val="right" w:leader="dot" w:pos="8958"/>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_Toc29897_WPSOffice_Level2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75465"/>
              <w:placeholder>
                <w:docPart w:val="{43ffe6b7-ec51-4aff-8642-149f2fb06b8b}"/>
              </w:placeholder>
              <w15:color w:val="509DF3"/>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三、政府性基金支出决算情况说明</w:t>
              </w:r>
            </w:sdtContent>
          </w:sdt>
          <w:r>
            <w:rPr>
              <w:rFonts w:hint="eastAsia" w:asciiTheme="minorEastAsia" w:hAnsiTheme="minorEastAsia" w:eastAsiaTheme="minorEastAsia" w:cstheme="minorEastAsia"/>
              <w:sz w:val="28"/>
              <w:szCs w:val="28"/>
            </w:rPr>
            <w:tab/>
          </w:r>
          <w:bookmarkStart w:id="19" w:name="_Toc29897_WPSOffice_Level2Page"/>
          <w:r>
            <w:rPr>
              <w:rFonts w:hint="eastAsia" w:asciiTheme="minorEastAsia" w:hAnsiTheme="minorEastAsia" w:eastAsiaTheme="minorEastAsia" w:cstheme="minorEastAsia"/>
              <w:sz w:val="28"/>
              <w:szCs w:val="28"/>
            </w:rPr>
            <w:t>14</w:t>
          </w:r>
          <w:bookmarkEnd w:id="19"/>
          <w:r>
            <w:rPr>
              <w:rFonts w:hint="eastAsia" w:asciiTheme="minorEastAsia" w:hAnsiTheme="minorEastAsia" w:eastAsiaTheme="minorEastAsia" w:cstheme="minorEastAsia"/>
              <w:sz w:val="28"/>
              <w:szCs w:val="28"/>
            </w:rPr>
            <w:fldChar w:fldCharType="end"/>
          </w:r>
        </w:p>
        <w:p>
          <w:pPr>
            <w:pStyle w:val="16"/>
            <w:keepNext w:val="0"/>
            <w:keepLines w:val="0"/>
            <w:pageBreakBefore w:val="0"/>
            <w:tabs>
              <w:tab w:val="right" w:leader="dot" w:pos="8958"/>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_Toc12555_WPSOffice_Level2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75465"/>
              <w:placeholder>
                <w:docPart w:val="{bc88fd33-7e42-4425-bf02-ddd843c92b61}"/>
              </w:placeholder>
              <w15:color w:val="509DF3"/>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四、一般公共预算财政拨款基本支出决算情况说明</w:t>
              </w:r>
            </w:sdtContent>
          </w:sdt>
          <w:r>
            <w:rPr>
              <w:rFonts w:hint="eastAsia" w:asciiTheme="minorEastAsia" w:hAnsiTheme="minorEastAsia" w:eastAsiaTheme="minorEastAsia" w:cstheme="minorEastAsia"/>
              <w:sz w:val="28"/>
              <w:szCs w:val="28"/>
            </w:rPr>
            <w:tab/>
          </w:r>
          <w:bookmarkStart w:id="20" w:name="_Toc12555_WPSOffice_Level2Page"/>
          <w:r>
            <w:rPr>
              <w:rFonts w:hint="eastAsia" w:asciiTheme="minorEastAsia" w:hAnsiTheme="minorEastAsia" w:eastAsiaTheme="minorEastAsia" w:cstheme="minorEastAsia"/>
              <w:sz w:val="28"/>
              <w:szCs w:val="28"/>
            </w:rPr>
            <w:t>14</w:t>
          </w:r>
          <w:bookmarkEnd w:id="20"/>
          <w:r>
            <w:rPr>
              <w:rFonts w:hint="eastAsia" w:asciiTheme="minorEastAsia" w:hAnsiTheme="minorEastAsia" w:eastAsiaTheme="minorEastAsia" w:cstheme="minorEastAsia"/>
              <w:sz w:val="28"/>
              <w:szCs w:val="28"/>
            </w:rPr>
            <w:fldChar w:fldCharType="end"/>
          </w:r>
        </w:p>
        <w:p>
          <w:pPr>
            <w:pStyle w:val="16"/>
            <w:keepNext w:val="0"/>
            <w:keepLines w:val="0"/>
            <w:pageBreakBefore w:val="0"/>
            <w:tabs>
              <w:tab w:val="right" w:leader="dot" w:pos="8958"/>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_Toc20017_WPSOffice_Level2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75465"/>
              <w:placeholder>
                <w:docPart w:val="{f86ab524-346d-4331-9e77-6507986f1fd2}"/>
              </w:placeholder>
              <w15:color w:val="509DF3"/>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五、一般公共预算拨款“三公”经费支出决算情况说明</w:t>
              </w:r>
            </w:sdtContent>
          </w:sdt>
          <w:r>
            <w:rPr>
              <w:rFonts w:hint="eastAsia" w:asciiTheme="minorEastAsia" w:hAnsiTheme="minorEastAsia" w:eastAsiaTheme="minorEastAsia" w:cstheme="minorEastAsia"/>
              <w:sz w:val="28"/>
              <w:szCs w:val="28"/>
            </w:rPr>
            <w:tab/>
          </w:r>
          <w:bookmarkStart w:id="21" w:name="_Toc20017_WPSOffice_Level2Page"/>
          <w:r>
            <w:rPr>
              <w:rFonts w:hint="eastAsia" w:asciiTheme="minorEastAsia" w:hAnsiTheme="minorEastAsia" w:eastAsiaTheme="minorEastAsia" w:cstheme="minorEastAsia"/>
              <w:sz w:val="28"/>
              <w:szCs w:val="28"/>
            </w:rPr>
            <w:t>15</w:t>
          </w:r>
          <w:bookmarkEnd w:id="21"/>
          <w:r>
            <w:rPr>
              <w:rFonts w:hint="eastAsia" w:asciiTheme="minorEastAsia" w:hAnsiTheme="minorEastAsia" w:eastAsiaTheme="minorEastAsia" w:cstheme="minorEastAsia"/>
              <w:sz w:val="28"/>
              <w:szCs w:val="28"/>
            </w:rPr>
            <w:fldChar w:fldCharType="end"/>
          </w:r>
        </w:p>
        <w:p>
          <w:pPr>
            <w:pStyle w:val="16"/>
            <w:keepNext w:val="0"/>
            <w:keepLines w:val="0"/>
            <w:pageBreakBefore w:val="0"/>
            <w:tabs>
              <w:tab w:val="right" w:leader="dot" w:pos="8958"/>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_Toc10538_WPSOffice_Level2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75465"/>
              <w:placeholder>
                <w:docPart w:val="{523a2005-4b85-4ca0-93c8-c2afcc62d35f}"/>
              </w:placeholder>
              <w15:color w:val="509DF3"/>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六、预算绩效情况说明</w:t>
              </w:r>
            </w:sdtContent>
          </w:sdt>
          <w:r>
            <w:rPr>
              <w:rFonts w:hint="eastAsia" w:asciiTheme="minorEastAsia" w:hAnsiTheme="minorEastAsia" w:eastAsiaTheme="minorEastAsia" w:cstheme="minorEastAsia"/>
              <w:sz w:val="28"/>
              <w:szCs w:val="28"/>
            </w:rPr>
            <w:tab/>
          </w:r>
          <w:bookmarkStart w:id="22" w:name="_Toc10538_WPSOffice_Level2Page"/>
          <w:r>
            <w:rPr>
              <w:rFonts w:hint="eastAsia" w:asciiTheme="minorEastAsia" w:hAnsiTheme="minorEastAsia" w:eastAsiaTheme="minorEastAsia" w:cstheme="minorEastAsia"/>
              <w:sz w:val="28"/>
              <w:szCs w:val="28"/>
            </w:rPr>
            <w:t>15</w:t>
          </w:r>
          <w:bookmarkEnd w:id="22"/>
          <w:r>
            <w:rPr>
              <w:rFonts w:hint="eastAsia" w:asciiTheme="minorEastAsia" w:hAnsiTheme="minorEastAsia" w:eastAsiaTheme="minorEastAsia" w:cstheme="minorEastAsia"/>
              <w:sz w:val="28"/>
              <w:szCs w:val="28"/>
            </w:rPr>
            <w:fldChar w:fldCharType="end"/>
          </w:r>
        </w:p>
        <w:p>
          <w:pPr>
            <w:pStyle w:val="16"/>
            <w:keepNext w:val="0"/>
            <w:keepLines w:val="0"/>
            <w:pageBreakBefore w:val="0"/>
            <w:tabs>
              <w:tab w:val="right" w:leader="dot" w:pos="8958"/>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_Toc18542_WPSOffice_Level2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75465"/>
              <w:placeholder>
                <w:docPart w:val="{fcd01317-5984-4e5d-ad10-bd8af983f951}"/>
              </w:placeholder>
              <w15:color w:val="509DF3"/>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七、其他重要事项说明</w:t>
              </w:r>
            </w:sdtContent>
          </w:sdt>
          <w:r>
            <w:rPr>
              <w:rFonts w:hint="eastAsia" w:asciiTheme="minorEastAsia" w:hAnsiTheme="minorEastAsia" w:eastAsiaTheme="minorEastAsia" w:cstheme="minorEastAsia"/>
              <w:sz w:val="28"/>
              <w:szCs w:val="28"/>
            </w:rPr>
            <w:tab/>
          </w:r>
          <w:bookmarkStart w:id="23" w:name="_Toc18542_WPSOffice_Level2Page"/>
          <w:r>
            <w:rPr>
              <w:rFonts w:hint="eastAsia" w:asciiTheme="minorEastAsia" w:hAnsiTheme="minorEastAsia" w:eastAsiaTheme="minorEastAsia" w:cstheme="minorEastAsia"/>
              <w:sz w:val="28"/>
              <w:szCs w:val="28"/>
            </w:rPr>
            <w:t>16</w:t>
          </w:r>
          <w:bookmarkEnd w:id="23"/>
          <w:r>
            <w:rPr>
              <w:rFonts w:hint="eastAsia" w:asciiTheme="minorEastAsia" w:hAnsiTheme="minorEastAsia" w:eastAsiaTheme="minorEastAsia" w:cstheme="minorEastAsia"/>
              <w:sz w:val="28"/>
              <w:szCs w:val="28"/>
            </w:rPr>
            <w:fldChar w:fldCharType="end"/>
          </w:r>
        </w:p>
        <w:p>
          <w:pPr>
            <w:pStyle w:val="15"/>
            <w:keepNext w:val="0"/>
            <w:keepLines w:val="0"/>
            <w:pageBreakBefore w:val="0"/>
            <w:tabs>
              <w:tab w:val="right" w:leader="dot" w:pos="8958"/>
            </w:tabs>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sz w:val="28"/>
              <w:szCs w:val="28"/>
            </w:rPr>
            <w:instrText xml:space="preserve"> HYPERLINK \l _Toc17662_WPSOffice_Level1 </w:instrText>
          </w:r>
          <w:r>
            <w:rPr>
              <w:rFonts w:hint="eastAsia" w:asciiTheme="minorEastAsia" w:hAnsiTheme="minorEastAsia" w:eastAsiaTheme="minorEastAsia" w:cstheme="minorEastAsia"/>
              <w:b/>
              <w:bCs/>
              <w:sz w:val="28"/>
              <w:szCs w:val="28"/>
            </w:rPr>
            <w:fldChar w:fldCharType="separate"/>
          </w:r>
          <w:sdt>
            <w:sdtPr>
              <w:rPr>
                <w:rFonts w:hint="eastAsia" w:asciiTheme="minorEastAsia" w:hAnsiTheme="minorEastAsia" w:eastAsiaTheme="minorEastAsia" w:cstheme="minorEastAsia"/>
                <w:b/>
                <w:bCs/>
                <w:kern w:val="2"/>
                <w:sz w:val="28"/>
                <w:szCs w:val="28"/>
                <w:lang w:val="en-US" w:eastAsia="zh-CN" w:bidi="ar-SA"/>
              </w:rPr>
              <w:id w:val="147475465"/>
              <w:placeholder>
                <w:docPart w:val="{ca6752ef-52da-4677-9f84-7b173c707d6f}"/>
              </w:placeholder>
              <w15:color w:val="509DF3"/>
            </w:sdtPr>
            <w:sdtEndPr>
              <w:rPr>
                <w:rFonts w:hint="eastAsia" w:asciiTheme="minorEastAsia" w:hAnsiTheme="minorEastAsia" w:eastAsiaTheme="minorEastAsia" w:cstheme="minorEastAsia"/>
                <w:b/>
                <w:bCs/>
                <w:kern w:val="2"/>
                <w:sz w:val="28"/>
                <w:szCs w:val="28"/>
                <w:lang w:val="en-US" w:eastAsia="zh-CN" w:bidi="ar-SA"/>
              </w:rPr>
            </w:sdtEndPr>
            <w:sdtContent>
              <w:r>
                <w:rPr>
                  <w:rFonts w:hint="eastAsia" w:asciiTheme="minorEastAsia" w:hAnsiTheme="minorEastAsia" w:eastAsiaTheme="minorEastAsia" w:cstheme="minorEastAsia"/>
                  <w:b/>
                  <w:bCs/>
                  <w:sz w:val="28"/>
                  <w:szCs w:val="28"/>
                </w:rPr>
                <w:t>第四部分 名词解释</w:t>
              </w:r>
            </w:sdtContent>
          </w:sdt>
          <w:r>
            <w:rPr>
              <w:rFonts w:hint="eastAsia" w:asciiTheme="minorEastAsia" w:hAnsiTheme="minorEastAsia" w:eastAsiaTheme="minorEastAsia" w:cstheme="minorEastAsia"/>
              <w:b/>
              <w:bCs/>
              <w:sz w:val="28"/>
              <w:szCs w:val="28"/>
            </w:rPr>
            <w:tab/>
          </w:r>
          <w:bookmarkStart w:id="24" w:name="_Toc17662_WPSOffice_Level1Page"/>
          <w:r>
            <w:rPr>
              <w:rFonts w:hint="eastAsia" w:asciiTheme="minorEastAsia" w:hAnsiTheme="minorEastAsia" w:eastAsiaTheme="minorEastAsia" w:cstheme="minorEastAsia"/>
              <w:b/>
              <w:bCs/>
              <w:sz w:val="28"/>
              <w:szCs w:val="28"/>
            </w:rPr>
            <w:t>17</w:t>
          </w:r>
          <w:bookmarkEnd w:id="24"/>
          <w:r>
            <w:rPr>
              <w:rFonts w:hint="eastAsia" w:asciiTheme="minorEastAsia" w:hAnsiTheme="minorEastAsia" w:eastAsiaTheme="minorEastAsia" w:cstheme="minorEastAsia"/>
              <w:b/>
              <w:bCs/>
              <w:sz w:val="28"/>
              <w:szCs w:val="28"/>
            </w:rPr>
            <w:fldChar w:fldCharType="end"/>
          </w:r>
          <w:bookmarkEnd w:id="0"/>
        </w:p>
      </w:sdtContent>
    </w:sdt>
    <w:p>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8"/>
          <w:szCs w:val="28"/>
        </w:rPr>
      </w:pPr>
    </w:p>
    <w:p>
      <w:pPr>
        <w:numPr>
          <w:numId w:val="0"/>
        </w:numPr>
        <w:jc w:val="both"/>
        <w:rPr>
          <w:rFonts w:hint="eastAsia" w:ascii="黑体" w:hAnsi="黑体" w:eastAsia="黑体"/>
          <w:sz w:val="36"/>
          <w:szCs w:val="36"/>
        </w:rPr>
        <w:sectPr>
          <w:footerReference r:id="rId8" w:type="default"/>
          <w:pgSz w:w="11906" w:h="16838"/>
          <w:pgMar w:top="1440" w:right="1474" w:bottom="1440" w:left="1474" w:header="851" w:footer="992" w:gutter="0"/>
          <w:pgNumType w:start="1"/>
          <w:cols w:space="0" w:num="1"/>
          <w:rtlGutter w:val="0"/>
          <w:docGrid w:type="lines" w:linePitch="312" w:charSpace="0"/>
        </w:sectPr>
      </w:pPr>
    </w:p>
    <w:p>
      <w:pPr>
        <w:numPr>
          <w:ilvl w:val="0"/>
          <w:numId w:val="1"/>
        </w:numPr>
        <w:jc w:val="center"/>
        <w:outlineLvl w:val="0"/>
        <w:rPr>
          <w:rFonts w:hint="eastAsia" w:ascii="黑体" w:hAnsi="黑体" w:eastAsia="黑体"/>
          <w:sz w:val="36"/>
          <w:szCs w:val="36"/>
        </w:rPr>
      </w:pPr>
      <w:bookmarkStart w:id="25" w:name="_Toc11780_WPSOffice_Level1"/>
      <w:r>
        <w:rPr>
          <w:rFonts w:hint="eastAsia" w:ascii="黑体" w:hAnsi="黑体" w:eastAsia="黑体"/>
          <w:sz w:val="36"/>
          <w:szCs w:val="36"/>
        </w:rPr>
        <w:t>部门概况</w:t>
      </w:r>
      <w:bookmarkEnd w:id="25"/>
    </w:p>
    <w:p>
      <w:pPr>
        <w:numPr>
          <w:ilvl w:val="0"/>
          <w:numId w:val="0"/>
        </w:numPr>
        <w:jc w:val="both"/>
        <w:outlineLvl w:val="0"/>
        <w:rPr>
          <w:rFonts w:hint="eastAsia" w:ascii="黑体" w:hAnsi="黑体" w:eastAsia="黑体"/>
          <w:sz w:val="36"/>
          <w:szCs w:val="36"/>
        </w:rPr>
      </w:pPr>
    </w:p>
    <w:p>
      <w:pPr>
        <w:spacing w:line="600" w:lineRule="exact"/>
        <w:ind w:firstLine="643" w:firstLineChars="200"/>
        <w:outlineLvl w:val="1"/>
        <w:rPr>
          <w:rFonts w:hint="eastAsia" w:ascii="楷体_GB2312" w:hAnsi="楷体_GB2312" w:eastAsia="楷体_GB2312" w:cs="楷体_GB2312"/>
          <w:b/>
          <w:bCs/>
          <w:sz w:val="32"/>
          <w:szCs w:val="32"/>
        </w:rPr>
      </w:pPr>
      <w:bookmarkStart w:id="26" w:name="_Toc19983_WPSOffice_Level2"/>
      <w:r>
        <w:rPr>
          <w:rFonts w:hint="eastAsia" w:ascii="楷体_GB2312" w:hAnsi="楷体_GB2312" w:eastAsia="楷体_GB2312" w:cs="楷体_GB2312"/>
          <w:b/>
          <w:bCs/>
          <w:sz w:val="32"/>
          <w:szCs w:val="32"/>
        </w:rPr>
        <w:t>一、部门主要职责</w:t>
      </w:r>
      <w:bookmarkEnd w:id="26"/>
    </w:p>
    <w:p>
      <w:pPr>
        <w:pStyle w:val="5"/>
        <w:keepNext w:val="0"/>
        <w:keepLines w:val="0"/>
        <w:pageBreakBefore w:val="0"/>
        <w:widowControl/>
        <w:shd w:val="clear" w:color="auto" w:fill="FFFFFF"/>
        <w:kinsoku/>
        <w:wordWrap/>
        <w:overflowPunct/>
        <w:topLinePunct w:val="0"/>
        <w:autoSpaceDE/>
        <w:autoSpaceDN/>
        <w:bidi w:val="0"/>
        <w:spacing w:before="0" w:beforeAutospacing="0" w:after="0" w:afterAutospacing="0" w:line="500" w:lineRule="exact"/>
        <w:ind w:right="30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上杭县蓝溪镇人民政府的</w:t>
      </w:r>
      <w:r>
        <w:rPr>
          <w:rFonts w:hint="eastAsia" w:ascii="仿宋_GB2312" w:hAnsi="仿宋_GB2312" w:eastAsia="仿宋_GB2312" w:cs="仿宋_GB2312"/>
          <w:b w:val="0"/>
          <w:bCs w:val="0"/>
          <w:kern w:val="0"/>
          <w:sz w:val="32"/>
          <w:szCs w:val="32"/>
        </w:rPr>
        <w:t>主要职责</w:t>
      </w:r>
      <w:r>
        <w:rPr>
          <w:rFonts w:hint="eastAsia" w:ascii="仿宋_GB2312" w:hAnsi="仿宋_GB2312" w:eastAsia="仿宋_GB2312" w:cs="仿宋_GB2312"/>
          <w:sz w:val="32"/>
          <w:szCs w:val="32"/>
        </w:rPr>
        <w:t>是：</w:t>
      </w:r>
    </w:p>
    <w:p>
      <w:pPr>
        <w:pStyle w:val="5"/>
        <w:keepNext w:val="0"/>
        <w:keepLines w:val="0"/>
        <w:pageBreakBefore w:val="0"/>
        <w:widowControl/>
        <w:shd w:val="clear" w:color="auto" w:fill="FFFFFF"/>
        <w:kinsoku/>
        <w:wordWrap/>
        <w:overflowPunct/>
        <w:topLinePunct w:val="0"/>
        <w:autoSpaceDE/>
        <w:autoSpaceDN/>
        <w:bidi w:val="0"/>
        <w:spacing w:before="0" w:beforeAutospacing="0" w:after="0" w:afterAutospacing="0" w:line="500" w:lineRule="exact"/>
        <w:ind w:right="300" w:firstLine="640" w:firstLineChars="200"/>
        <w:jc w:val="both"/>
        <w:textAlignment w:val="auto"/>
        <w:outlineLvl w:val="9"/>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1、执行本级人民代表大会的决议和上级国家行政机关的决定和命令，发布决定和命令;</w:t>
      </w:r>
    </w:p>
    <w:p>
      <w:pPr>
        <w:pStyle w:val="5"/>
        <w:keepNext w:val="0"/>
        <w:keepLines w:val="0"/>
        <w:pageBreakBefore w:val="0"/>
        <w:widowControl/>
        <w:shd w:val="clear" w:color="auto" w:fill="FFFFFF"/>
        <w:kinsoku/>
        <w:wordWrap/>
        <w:overflowPunct/>
        <w:topLinePunct w:val="0"/>
        <w:autoSpaceDE/>
        <w:autoSpaceDN/>
        <w:bidi w:val="0"/>
        <w:spacing w:before="0" w:beforeAutospacing="0" w:after="0" w:afterAutospacing="0" w:line="500" w:lineRule="exact"/>
        <w:ind w:right="300"/>
        <w:jc w:val="both"/>
        <w:textAlignment w:val="auto"/>
        <w:outlineLvl w:val="9"/>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　　2、执行本行政区域内的经济和社会发展计划、预算，管理本行政区域内的经济、教育、科学、文化、卫生、体育事业和财政、民政、公安、司法行政、计划生育等行政工作;</w:t>
      </w:r>
    </w:p>
    <w:p>
      <w:pPr>
        <w:pStyle w:val="5"/>
        <w:keepNext w:val="0"/>
        <w:keepLines w:val="0"/>
        <w:pageBreakBefore w:val="0"/>
        <w:widowControl/>
        <w:shd w:val="clear" w:color="auto" w:fill="FFFFFF"/>
        <w:kinsoku/>
        <w:wordWrap/>
        <w:overflowPunct/>
        <w:topLinePunct w:val="0"/>
        <w:autoSpaceDE/>
        <w:autoSpaceDN/>
        <w:bidi w:val="0"/>
        <w:spacing w:before="0" w:beforeAutospacing="0" w:after="0" w:afterAutospacing="0" w:line="500" w:lineRule="exact"/>
        <w:ind w:right="300"/>
        <w:jc w:val="both"/>
        <w:textAlignment w:val="auto"/>
        <w:outlineLvl w:val="9"/>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　　3、保护社会主义的全民所有的财产和劳动群众集体所有的财产，保护公民私人所有的合法财产，维护社会秩序，保障公民的人身权利、民主权利和其他权利;</w:t>
      </w:r>
    </w:p>
    <w:p>
      <w:pPr>
        <w:pStyle w:val="5"/>
        <w:keepNext w:val="0"/>
        <w:keepLines w:val="0"/>
        <w:pageBreakBefore w:val="0"/>
        <w:widowControl/>
        <w:shd w:val="clear" w:color="auto" w:fill="FFFFFF"/>
        <w:kinsoku/>
        <w:wordWrap/>
        <w:overflowPunct/>
        <w:topLinePunct w:val="0"/>
        <w:autoSpaceDE/>
        <w:autoSpaceDN/>
        <w:bidi w:val="0"/>
        <w:spacing w:before="0" w:beforeAutospacing="0" w:after="0" w:afterAutospacing="0" w:line="500" w:lineRule="exact"/>
        <w:ind w:right="300"/>
        <w:jc w:val="both"/>
        <w:textAlignment w:val="auto"/>
        <w:outlineLvl w:val="9"/>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　　4、保护各种经济组织的合法权益;</w:t>
      </w:r>
    </w:p>
    <w:p>
      <w:pPr>
        <w:pStyle w:val="5"/>
        <w:keepNext w:val="0"/>
        <w:keepLines w:val="0"/>
        <w:pageBreakBefore w:val="0"/>
        <w:widowControl/>
        <w:shd w:val="clear" w:color="auto" w:fill="FFFFFF"/>
        <w:kinsoku/>
        <w:wordWrap/>
        <w:overflowPunct/>
        <w:topLinePunct w:val="0"/>
        <w:autoSpaceDE/>
        <w:autoSpaceDN/>
        <w:bidi w:val="0"/>
        <w:spacing w:before="0" w:beforeAutospacing="0" w:after="0" w:afterAutospacing="0" w:line="500" w:lineRule="exact"/>
        <w:ind w:right="300"/>
        <w:jc w:val="both"/>
        <w:textAlignment w:val="auto"/>
        <w:outlineLvl w:val="9"/>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　　5、保障少数民族的权利和尊重少数民族的风俗习惯;</w:t>
      </w:r>
    </w:p>
    <w:p>
      <w:pPr>
        <w:spacing w:line="600" w:lineRule="exact"/>
        <w:ind w:firstLine="640" w:firstLineChars="200"/>
        <w:outlineLvl w:val="9"/>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6、办理上级县委、县政府政府交办的其他事项</w:t>
      </w:r>
    </w:p>
    <w:p>
      <w:pPr>
        <w:spacing w:line="600" w:lineRule="exact"/>
        <w:ind w:firstLine="643" w:firstLineChars="200"/>
        <w:outlineLvl w:val="1"/>
        <w:rPr>
          <w:rFonts w:hint="eastAsia" w:ascii="楷体_GB2312" w:hAnsi="楷体_GB2312" w:eastAsia="楷体_GB2312" w:cs="楷体_GB2312"/>
          <w:b/>
          <w:bCs/>
          <w:sz w:val="32"/>
          <w:szCs w:val="32"/>
        </w:rPr>
      </w:pPr>
      <w:bookmarkStart w:id="27" w:name="_Toc29320_WPSOffice_Level2"/>
      <w:r>
        <w:rPr>
          <w:rFonts w:hint="eastAsia" w:ascii="楷体_GB2312" w:hAnsi="楷体_GB2312" w:eastAsia="楷体_GB2312" w:cs="楷体_GB2312"/>
          <w:b/>
          <w:bCs/>
          <w:sz w:val="32"/>
          <w:szCs w:val="32"/>
        </w:rPr>
        <w:t>二、部门决算单位基本情况</w:t>
      </w:r>
      <w:bookmarkEnd w:id="27"/>
    </w:p>
    <w:p>
      <w:pPr>
        <w:keepNext w:val="0"/>
        <w:keepLines w:val="0"/>
        <w:pageBreakBefore w:val="0"/>
        <w:tabs>
          <w:tab w:val="left" w:pos="7513"/>
        </w:tabs>
        <w:kinsoku/>
        <w:wordWrap/>
        <w:overflowPunct/>
        <w:topLinePunct w:val="0"/>
        <w:autoSpaceDE/>
        <w:autoSpaceDN/>
        <w:bidi w:val="0"/>
        <w:adjustRightInd w:val="0"/>
        <w:snapToGrid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从决算单位构成看，上杭县蓝溪镇人民政府包括政府行政机关1个及财政补助事业单位4个，其中：列入201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年部门预算编制范围的单位详细情况见下表:</w:t>
      </w:r>
    </w:p>
    <w:tbl>
      <w:tblPr>
        <w:tblStyle w:val="6"/>
        <w:tblW w:w="89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6"/>
        <w:gridCol w:w="1830"/>
        <w:gridCol w:w="2145"/>
        <w:gridCol w:w="2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2626" w:type="dxa"/>
            <w:noWrap w:val="0"/>
            <w:vAlign w:val="top"/>
          </w:tcPr>
          <w:p>
            <w:pPr>
              <w:keepNext w:val="0"/>
              <w:keepLines w:val="0"/>
              <w:pageBreakBefore w:val="0"/>
              <w:tabs>
                <w:tab w:val="left" w:pos="7513"/>
              </w:tabs>
              <w:kinsoku/>
              <w:wordWrap/>
              <w:overflowPunct/>
              <w:topLinePunct w:val="0"/>
              <w:autoSpaceDE/>
              <w:autoSpaceDN/>
              <w:bidi w:val="0"/>
              <w:adjustRightInd w:val="0"/>
              <w:snapToGrid w:val="0"/>
              <w:spacing w:line="4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单位名称</w:t>
            </w:r>
          </w:p>
        </w:tc>
        <w:tc>
          <w:tcPr>
            <w:tcW w:w="1830" w:type="dxa"/>
            <w:noWrap w:val="0"/>
            <w:vAlign w:val="top"/>
          </w:tcPr>
          <w:p>
            <w:pPr>
              <w:keepNext w:val="0"/>
              <w:keepLines w:val="0"/>
              <w:pageBreakBefore w:val="0"/>
              <w:tabs>
                <w:tab w:val="left" w:pos="7513"/>
              </w:tabs>
              <w:kinsoku/>
              <w:wordWrap/>
              <w:overflowPunct/>
              <w:topLinePunct w:val="0"/>
              <w:autoSpaceDE/>
              <w:autoSpaceDN/>
              <w:bidi w:val="0"/>
              <w:adjustRightInd w:val="0"/>
              <w:snapToGrid w:val="0"/>
              <w:spacing w:line="4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经费性质</w:t>
            </w:r>
          </w:p>
        </w:tc>
        <w:tc>
          <w:tcPr>
            <w:tcW w:w="2145" w:type="dxa"/>
            <w:noWrap w:val="0"/>
            <w:vAlign w:val="top"/>
          </w:tcPr>
          <w:p>
            <w:pPr>
              <w:keepNext w:val="0"/>
              <w:keepLines w:val="0"/>
              <w:pageBreakBefore w:val="0"/>
              <w:tabs>
                <w:tab w:val="left" w:pos="7513"/>
              </w:tabs>
              <w:kinsoku/>
              <w:wordWrap/>
              <w:overflowPunct/>
              <w:topLinePunct w:val="0"/>
              <w:autoSpaceDE/>
              <w:autoSpaceDN/>
              <w:bidi w:val="0"/>
              <w:adjustRightInd w:val="0"/>
              <w:snapToGrid w:val="0"/>
              <w:spacing w:line="4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人员编制数</w:t>
            </w:r>
          </w:p>
        </w:tc>
        <w:tc>
          <w:tcPr>
            <w:tcW w:w="2385" w:type="dxa"/>
            <w:noWrap w:val="0"/>
            <w:vAlign w:val="top"/>
          </w:tcPr>
          <w:p>
            <w:pPr>
              <w:keepNext w:val="0"/>
              <w:keepLines w:val="0"/>
              <w:pageBreakBefore w:val="0"/>
              <w:tabs>
                <w:tab w:val="left" w:pos="7513"/>
              </w:tabs>
              <w:kinsoku/>
              <w:wordWrap/>
              <w:overflowPunct/>
              <w:topLinePunct w:val="0"/>
              <w:autoSpaceDE/>
              <w:autoSpaceDN/>
              <w:bidi w:val="0"/>
              <w:adjustRightInd w:val="0"/>
              <w:snapToGrid w:val="0"/>
              <w:spacing w:line="4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在职人数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2626" w:type="dxa"/>
            <w:noWrap w:val="0"/>
            <w:vAlign w:val="top"/>
          </w:tcPr>
          <w:p>
            <w:pPr>
              <w:keepNext w:val="0"/>
              <w:keepLines w:val="0"/>
              <w:pageBreakBefore w:val="0"/>
              <w:tabs>
                <w:tab w:val="left" w:pos="7513"/>
              </w:tabs>
              <w:kinsoku/>
              <w:wordWrap/>
              <w:overflowPunct/>
              <w:topLinePunct w:val="0"/>
              <w:autoSpaceDE/>
              <w:autoSpaceDN/>
              <w:bidi w:val="0"/>
              <w:adjustRightInd w:val="0"/>
              <w:snapToGrid w:val="0"/>
              <w:spacing w:line="44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上杭县蓝溪镇人民政府</w:t>
            </w:r>
          </w:p>
        </w:tc>
        <w:tc>
          <w:tcPr>
            <w:tcW w:w="1830" w:type="dxa"/>
            <w:noWrap w:val="0"/>
            <w:vAlign w:val="top"/>
          </w:tcPr>
          <w:p>
            <w:pPr>
              <w:keepNext w:val="0"/>
              <w:keepLines w:val="0"/>
              <w:pageBreakBefore w:val="0"/>
              <w:tabs>
                <w:tab w:val="left" w:pos="7513"/>
              </w:tabs>
              <w:kinsoku/>
              <w:wordWrap/>
              <w:overflowPunct/>
              <w:topLinePunct w:val="0"/>
              <w:autoSpaceDE/>
              <w:autoSpaceDN/>
              <w:bidi w:val="0"/>
              <w:adjustRightInd w:val="0"/>
              <w:snapToGrid w:val="0"/>
              <w:spacing w:line="440" w:lineRule="exact"/>
              <w:ind w:left="42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财政核拨</w:t>
            </w:r>
          </w:p>
        </w:tc>
        <w:tc>
          <w:tcPr>
            <w:tcW w:w="2145" w:type="dxa"/>
            <w:noWrap w:val="0"/>
            <w:vAlign w:val="top"/>
          </w:tcPr>
          <w:p>
            <w:pPr>
              <w:keepNext w:val="0"/>
              <w:keepLines w:val="0"/>
              <w:pageBreakBefore w:val="0"/>
              <w:tabs>
                <w:tab w:val="left" w:pos="7513"/>
              </w:tabs>
              <w:kinsoku/>
              <w:wordWrap/>
              <w:overflowPunct/>
              <w:topLinePunct w:val="0"/>
              <w:autoSpaceDE/>
              <w:autoSpaceDN/>
              <w:bidi w:val="0"/>
              <w:adjustRightInd w:val="0"/>
              <w:snapToGrid w:val="0"/>
              <w:spacing w:line="4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37</w:t>
            </w:r>
          </w:p>
        </w:tc>
        <w:tc>
          <w:tcPr>
            <w:tcW w:w="2385" w:type="dxa"/>
            <w:noWrap w:val="0"/>
            <w:vAlign w:val="top"/>
          </w:tcPr>
          <w:p>
            <w:pPr>
              <w:keepNext w:val="0"/>
              <w:keepLines w:val="0"/>
              <w:pageBreakBefore w:val="0"/>
              <w:tabs>
                <w:tab w:val="left" w:pos="7513"/>
              </w:tabs>
              <w:kinsoku/>
              <w:wordWrap/>
              <w:overflowPunct/>
              <w:topLinePunct w:val="0"/>
              <w:autoSpaceDE/>
              <w:autoSpaceDN/>
              <w:bidi w:val="0"/>
              <w:adjustRightInd w:val="0"/>
              <w:snapToGrid w:val="0"/>
              <w:spacing w:line="4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trPr>
        <w:tc>
          <w:tcPr>
            <w:tcW w:w="2626" w:type="dxa"/>
            <w:noWrap w:val="0"/>
            <w:vAlign w:val="top"/>
          </w:tcPr>
          <w:p>
            <w:pPr>
              <w:keepNext w:val="0"/>
              <w:keepLines w:val="0"/>
              <w:pageBreakBefore w:val="0"/>
              <w:tabs>
                <w:tab w:val="left" w:pos="7513"/>
              </w:tabs>
              <w:kinsoku/>
              <w:wordWrap/>
              <w:overflowPunct/>
              <w:topLinePunct w:val="0"/>
              <w:autoSpaceDE/>
              <w:autoSpaceDN/>
              <w:bidi w:val="0"/>
              <w:adjustRightInd w:val="0"/>
              <w:snapToGrid w:val="0"/>
              <w:spacing w:line="44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上杭县蓝溪镇财政所</w:t>
            </w:r>
          </w:p>
        </w:tc>
        <w:tc>
          <w:tcPr>
            <w:tcW w:w="1830" w:type="dxa"/>
            <w:noWrap w:val="0"/>
            <w:vAlign w:val="top"/>
          </w:tcPr>
          <w:p>
            <w:pPr>
              <w:keepNext w:val="0"/>
              <w:keepLines w:val="0"/>
              <w:pageBreakBefore w:val="0"/>
              <w:tabs>
                <w:tab w:val="left" w:pos="7513"/>
              </w:tabs>
              <w:kinsoku/>
              <w:wordWrap/>
              <w:overflowPunct/>
              <w:topLinePunct w:val="0"/>
              <w:autoSpaceDE/>
              <w:autoSpaceDN/>
              <w:bidi w:val="0"/>
              <w:adjustRightInd w:val="0"/>
              <w:snapToGrid w:val="0"/>
              <w:spacing w:line="440" w:lineRule="exact"/>
              <w:ind w:left="42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财政核拨</w:t>
            </w:r>
          </w:p>
        </w:tc>
        <w:tc>
          <w:tcPr>
            <w:tcW w:w="2145" w:type="dxa"/>
            <w:noWrap w:val="0"/>
            <w:vAlign w:val="top"/>
          </w:tcPr>
          <w:p>
            <w:pPr>
              <w:keepNext w:val="0"/>
              <w:keepLines w:val="0"/>
              <w:pageBreakBefore w:val="0"/>
              <w:tabs>
                <w:tab w:val="left" w:pos="7513"/>
              </w:tabs>
              <w:kinsoku/>
              <w:wordWrap/>
              <w:overflowPunct/>
              <w:topLinePunct w:val="0"/>
              <w:autoSpaceDE/>
              <w:autoSpaceDN/>
              <w:bidi w:val="0"/>
              <w:adjustRightInd w:val="0"/>
              <w:snapToGrid w:val="0"/>
              <w:spacing w:line="4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2385" w:type="dxa"/>
            <w:noWrap w:val="0"/>
            <w:vAlign w:val="top"/>
          </w:tcPr>
          <w:p>
            <w:pPr>
              <w:keepNext w:val="0"/>
              <w:keepLines w:val="0"/>
              <w:pageBreakBefore w:val="0"/>
              <w:tabs>
                <w:tab w:val="left" w:pos="7513"/>
              </w:tabs>
              <w:kinsoku/>
              <w:wordWrap/>
              <w:overflowPunct/>
              <w:topLinePunct w:val="0"/>
              <w:autoSpaceDE/>
              <w:autoSpaceDN/>
              <w:bidi w:val="0"/>
              <w:adjustRightInd w:val="0"/>
              <w:snapToGrid w:val="0"/>
              <w:spacing w:line="4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26" w:type="dxa"/>
            <w:noWrap w:val="0"/>
            <w:vAlign w:val="top"/>
          </w:tcPr>
          <w:p>
            <w:pPr>
              <w:keepNext w:val="0"/>
              <w:keepLines w:val="0"/>
              <w:pageBreakBefore w:val="0"/>
              <w:tabs>
                <w:tab w:val="left" w:pos="7513"/>
              </w:tabs>
              <w:kinsoku/>
              <w:wordWrap/>
              <w:overflowPunct/>
              <w:topLinePunct w:val="0"/>
              <w:autoSpaceDE/>
              <w:autoSpaceDN/>
              <w:bidi w:val="0"/>
              <w:adjustRightInd w:val="0"/>
              <w:snapToGrid w:val="0"/>
              <w:spacing w:line="44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上杭县蓝溪镇镇卫生与计划生育服务中心</w:t>
            </w:r>
          </w:p>
        </w:tc>
        <w:tc>
          <w:tcPr>
            <w:tcW w:w="1830" w:type="dxa"/>
            <w:noWrap w:val="0"/>
            <w:vAlign w:val="top"/>
          </w:tcPr>
          <w:p>
            <w:pPr>
              <w:keepNext w:val="0"/>
              <w:keepLines w:val="0"/>
              <w:pageBreakBefore w:val="0"/>
              <w:tabs>
                <w:tab w:val="left" w:pos="7513"/>
              </w:tabs>
              <w:kinsoku/>
              <w:wordWrap/>
              <w:overflowPunct/>
              <w:topLinePunct w:val="0"/>
              <w:autoSpaceDE/>
              <w:autoSpaceDN/>
              <w:bidi w:val="0"/>
              <w:adjustRightInd w:val="0"/>
              <w:snapToGrid w:val="0"/>
              <w:spacing w:line="440" w:lineRule="exact"/>
              <w:ind w:left="42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财政核拨</w:t>
            </w:r>
          </w:p>
        </w:tc>
        <w:tc>
          <w:tcPr>
            <w:tcW w:w="2145" w:type="dxa"/>
            <w:noWrap w:val="0"/>
            <w:vAlign w:val="top"/>
          </w:tcPr>
          <w:p>
            <w:pPr>
              <w:keepNext w:val="0"/>
              <w:keepLines w:val="0"/>
              <w:pageBreakBefore w:val="0"/>
              <w:tabs>
                <w:tab w:val="left" w:pos="7513"/>
              </w:tabs>
              <w:kinsoku/>
              <w:wordWrap/>
              <w:overflowPunct/>
              <w:topLinePunct w:val="0"/>
              <w:autoSpaceDE/>
              <w:autoSpaceDN/>
              <w:bidi w:val="0"/>
              <w:adjustRightInd w:val="0"/>
              <w:snapToGrid w:val="0"/>
              <w:spacing w:line="4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2385" w:type="dxa"/>
            <w:noWrap w:val="0"/>
            <w:vAlign w:val="top"/>
          </w:tcPr>
          <w:p>
            <w:pPr>
              <w:keepNext w:val="0"/>
              <w:keepLines w:val="0"/>
              <w:pageBreakBefore w:val="0"/>
              <w:tabs>
                <w:tab w:val="left" w:pos="7513"/>
              </w:tabs>
              <w:kinsoku/>
              <w:wordWrap/>
              <w:overflowPunct/>
              <w:topLinePunct w:val="0"/>
              <w:autoSpaceDE/>
              <w:autoSpaceDN/>
              <w:bidi w:val="0"/>
              <w:adjustRightInd w:val="0"/>
              <w:snapToGrid w:val="0"/>
              <w:spacing w:line="4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26" w:type="dxa"/>
            <w:noWrap w:val="0"/>
            <w:vAlign w:val="top"/>
          </w:tcPr>
          <w:p>
            <w:pPr>
              <w:keepNext w:val="0"/>
              <w:keepLines w:val="0"/>
              <w:pageBreakBefore w:val="0"/>
              <w:tabs>
                <w:tab w:val="left" w:pos="7513"/>
              </w:tabs>
              <w:kinsoku/>
              <w:wordWrap/>
              <w:overflowPunct/>
              <w:topLinePunct w:val="0"/>
              <w:autoSpaceDE/>
              <w:autoSpaceDN/>
              <w:bidi w:val="0"/>
              <w:adjustRightInd w:val="0"/>
              <w:snapToGrid w:val="0"/>
              <w:spacing w:line="44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上杭县蓝溪镇农业服务中心</w:t>
            </w:r>
          </w:p>
        </w:tc>
        <w:tc>
          <w:tcPr>
            <w:tcW w:w="1830" w:type="dxa"/>
            <w:noWrap w:val="0"/>
            <w:vAlign w:val="top"/>
          </w:tcPr>
          <w:p>
            <w:pPr>
              <w:keepNext w:val="0"/>
              <w:keepLines w:val="0"/>
              <w:pageBreakBefore w:val="0"/>
              <w:tabs>
                <w:tab w:val="left" w:pos="7513"/>
              </w:tabs>
              <w:kinsoku/>
              <w:wordWrap/>
              <w:overflowPunct/>
              <w:topLinePunct w:val="0"/>
              <w:autoSpaceDE/>
              <w:autoSpaceDN/>
              <w:bidi w:val="0"/>
              <w:adjustRightInd w:val="0"/>
              <w:snapToGrid w:val="0"/>
              <w:spacing w:line="440" w:lineRule="exact"/>
              <w:ind w:left="42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财政核拨</w:t>
            </w:r>
          </w:p>
        </w:tc>
        <w:tc>
          <w:tcPr>
            <w:tcW w:w="2145" w:type="dxa"/>
            <w:noWrap w:val="0"/>
            <w:vAlign w:val="top"/>
          </w:tcPr>
          <w:p>
            <w:pPr>
              <w:keepNext w:val="0"/>
              <w:keepLines w:val="0"/>
              <w:pageBreakBefore w:val="0"/>
              <w:tabs>
                <w:tab w:val="left" w:pos="7513"/>
              </w:tabs>
              <w:kinsoku/>
              <w:wordWrap/>
              <w:overflowPunct/>
              <w:topLinePunct w:val="0"/>
              <w:autoSpaceDE/>
              <w:autoSpaceDN/>
              <w:bidi w:val="0"/>
              <w:adjustRightInd w:val="0"/>
              <w:snapToGrid w:val="0"/>
              <w:spacing w:line="4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w:t>
            </w:r>
          </w:p>
        </w:tc>
        <w:tc>
          <w:tcPr>
            <w:tcW w:w="2385" w:type="dxa"/>
            <w:noWrap w:val="0"/>
            <w:vAlign w:val="top"/>
          </w:tcPr>
          <w:p>
            <w:pPr>
              <w:keepNext w:val="0"/>
              <w:keepLines w:val="0"/>
              <w:pageBreakBefore w:val="0"/>
              <w:tabs>
                <w:tab w:val="left" w:pos="7513"/>
              </w:tabs>
              <w:kinsoku/>
              <w:wordWrap/>
              <w:overflowPunct/>
              <w:topLinePunct w:val="0"/>
              <w:autoSpaceDE/>
              <w:autoSpaceDN/>
              <w:bidi w:val="0"/>
              <w:adjustRightInd w:val="0"/>
              <w:snapToGrid w:val="0"/>
              <w:spacing w:line="4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trPr>
        <w:tc>
          <w:tcPr>
            <w:tcW w:w="2626" w:type="dxa"/>
            <w:noWrap w:val="0"/>
            <w:vAlign w:val="top"/>
          </w:tcPr>
          <w:p>
            <w:pPr>
              <w:keepNext w:val="0"/>
              <w:keepLines w:val="0"/>
              <w:pageBreakBefore w:val="0"/>
              <w:tabs>
                <w:tab w:val="left" w:pos="7513"/>
              </w:tabs>
              <w:kinsoku/>
              <w:wordWrap/>
              <w:overflowPunct/>
              <w:topLinePunct w:val="0"/>
              <w:autoSpaceDE/>
              <w:autoSpaceDN/>
              <w:bidi w:val="0"/>
              <w:adjustRightInd w:val="0"/>
              <w:snapToGrid w:val="0"/>
              <w:spacing w:line="44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上杭县蓝溪镇水利站</w:t>
            </w:r>
          </w:p>
        </w:tc>
        <w:tc>
          <w:tcPr>
            <w:tcW w:w="1830" w:type="dxa"/>
            <w:noWrap w:val="0"/>
            <w:vAlign w:val="top"/>
          </w:tcPr>
          <w:p>
            <w:pPr>
              <w:keepNext w:val="0"/>
              <w:keepLines w:val="0"/>
              <w:pageBreakBefore w:val="0"/>
              <w:tabs>
                <w:tab w:val="left" w:pos="7513"/>
              </w:tabs>
              <w:kinsoku/>
              <w:wordWrap/>
              <w:overflowPunct/>
              <w:topLinePunct w:val="0"/>
              <w:autoSpaceDE/>
              <w:autoSpaceDN/>
              <w:bidi w:val="0"/>
              <w:adjustRightInd w:val="0"/>
              <w:snapToGrid w:val="0"/>
              <w:spacing w:line="440" w:lineRule="exact"/>
              <w:ind w:left="42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财政核拨</w:t>
            </w:r>
          </w:p>
        </w:tc>
        <w:tc>
          <w:tcPr>
            <w:tcW w:w="2145" w:type="dxa"/>
            <w:noWrap w:val="0"/>
            <w:vAlign w:val="top"/>
          </w:tcPr>
          <w:p>
            <w:pPr>
              <w:keepNext w:val="0"/>
              <w:keepLines w:val="0"/>
              <w:pageBreakBefore w:val="0"/>
              <w:tabs>
                <w:tab w:val="left" w:pos="7513"/>
              </w:tabs>
              <w:kinsoku/>
              <w:wordWrap/>
              <w:overflowPunct/>
              <w:topLinePunct w:val="0"/>
              <w:autoSpaceDE/>
              <w:autoSpaceDN/>
              <w:bidi w:val="0"/>
              <w:adjustRightInd w:val="0"/>
              <w:snapToGrid w:val="0"/>
              <w:spacing w:line="4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2385" w:type="dxa"/>
            <w:noWrap w:val="0"/>
            <w:vAlign w:val="top"/>
          </w:tcPr>
          <w:p>
            <w:pPr>
              <w:keepNext w:val="0"/>
              <w:keepLines w:val="0"/>
              <w:pageBreakBefore w:val="0"/>
              <w:tabs>
                <w:tab w:val="left" w:pos="7513"/>
              </w:tabs>
              <w:kinsoku/>
              <w:wordWrap/>
              <w:overflowPunct/>
              <w:topLinePunct w:val="0"/>
              <w:autoSpaceDE/>
              <w:autoSpaceDN/>
              <w:bidi w:val="0"/>
              <w:adjustRightInd w:val="0"/>
              <w:snapToGrid w:val="0"/>
              <w:spacing w:line="4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r>
    </w:tbl>
    <w:p>
      <w:pPr>
        <w:spacing w:line="600" w:lineRule="exact"/>
        <w:ind w:firstLine="643" w:firstLineChars="200"/>
        <w:outlineLvl w:val="1"/>
        <w:rPr>
          <w:rFonts w:hint="eastAsia" w:ascii="楷体_GB2312" w:hAnsi="楷体_GB2312" w:eastAsia="楷体_GB2312" w:cs="楷体_GB2312"/>
          <w:b/>
          <w:bCs/>
          <w:sz w:val="32"/>
          <w:szCs w:val="32"/>
        </w:rPr>
      </w:pPr>
      <w:bookmarkStart w:id="28" w:name="_Toc17662_WPSOffice_Level2"/>
      <w:r>
        <w:rPr>
          <w:rFonts w:hint="eastAsia" w:ascii="楷体_GB2312" w:hAnsi="楷体_GB2312" w:eastAsia="楷体_GB2312" w:cs="楷体_GB2312"/>
          <w:b/>
          <w:bCs/>
          <w:sz w:val="32"/>
          <w:szCs w:val="32"/>
        </w:rPr>
        <w:t>三、部门主要工作总结</w:t>
      </w:r>
      <w:bookmarkEnd w:id="28"/>
    </w:p>
    <w:p>
      <w:pPr>
        <w:keepNext w:val="0"/>
        <w:keepLines w:val="0"/>
        <w:pageBreakBefore w:val="0"/>
        <w:widowControl w:val="0"/>
        <w:tabs>
          <w:tab w:val="left" w:pos="7513"/>
        </w:tabs>
        <w:kinsoku/>
        <w:wordWrap/>
        <w:overflowPunct/>
        <w:topLinePunct w:val="0"/>
        <w:autoSpaceDE/>
        <w:autoSpaceDN/>
        <w:bidi w:val="0"/>
        <w:adjustRightInd w:val="0"/>
        <w:snapToGrid w:val="0"/>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年，上杭县蓝溪镇人民政府主要任务是：贯彻执行党和国家的有关方针、政策、法律和法规。围绕上述任务，重点完成以下工作：</w:t>
      </w:r>
    </w:p>
    <w:p>
      <w:pPr>
        <w:keepNext w:val="0"/>
        <w:keepLines w:val="0"/>
        <w:pageBreakBefore w:val="0"/>
        <w:widowControl w:val="0"/>
        <w:kinsoku/>
        <w:wordWrap/>
        <w:overflowPunct/>
        <w:topLinePunct w:val="0"/>
        <w:autoSpaceDE/>
        <w:autoSpaceDN/>
        <w:bidi w:val="0"/>
        <w:snapToGrid w:val="0"/>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p>
    <w:p>
      <w:pPr>
        <w:keepNext w:val="0"/>
        <w:keepLines w:val="0"/>
        <w:pageBreakBefore w:val="0"/>
        <w:widowControl w:val="0"/>
        <w:kinsoku/>
        <w:wordWrap/>
        <w:overflowPunct/>
        <w:topLinePunct w:val="0"/>
        <w:autoSpaceDE/>
        <w:autoSpaceDN/>
        <w:bidi w:val="0"/>
        <w:snapToGrid w:val="0"/>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（2）制定并组织实施村镇建设规划，部署重点工程建设，地方道路建设及公共设施，水利设施的管理，负责土地、林木、水等自然资源和生态环境的保护，做好护林防火工作。</w:t>
      </w:r>
    </w:p>
    <w:p>
      <w:pPr>
        <w:keepNext w:val="0"/>
        <w:keepLines w:val="0"/>
        <w:pageBreakBefore w:val="0"/>
        <w:widowControl w:val="0"/>
        <w:kinsoku/>
        <w:wordWrap/>
        <w:overflowPunct/>
        <w:topLinePunct w:val="0"/>
        <w:autoSpaceDE/>
        <w:autoSpaceDN/>
        <w:bidi w:val="0"/>
        <w:snapToGrid w:val="0"/>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负责本行政区域内的民政、计划生育、文化教育、卫生、体育等社会公益事业的综合性工作，维护一切经济单位和个人的正当经济权益，取缔非法经济活动，调解和处理民事纠纷，打击刑事犯罪维护社会稳定。</w:t>
      </w:r>
    </w:p>
    <w:p>
      <w:pPr>
        <w:keepNext w:val="0"/>
        <w:keepLines w:val="0"/>
        <w:pageBreakBefore w:val="0"/>
        <w:widowControl w:val="0"/>
        <w:tabs>
          <w:tab w:val="left" w:pos="7513"/>
        </w:tabs>
        <w:kinsoku/>
        <w:wordWrap/>
        <w:overflowPunct/>
        <w:topLinePunct w:val="0"/>
        <w:autoSpaceDE/>
        <w:autoSpaceDN/>
        <w:bidi w:val="0"/>
        <w:adjustRightInd w:val="0"/>
        <w:snapToGrid w:val="0"/>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（4）按计划组织本级财政收入和地方税的征收，完成国家财政计划，不断培植税源，管好财政资金，增强财政实力。</w:t>
      </w:r>
    </w:p>
    <w:p>
      <w:pPr>
        <w:keepNext w:val="0"/>
        <w:keepLines w:val="0"/>
        <w:pageBreakBefore w:val="0"/>
        <w:widowControl w:val="0"/>
        <w:kinsoku/>
        <w:wordWrap/>
        <w:overflowPunct/>
        <w:topLinePunct w:val="0"/>
        <w:autoSpaceDE/>
        <w:autoSpaceDN/>
        <w:bidi w:val="0"/>
        <w:snapToGrid w:val="0"/>
        <w:spacing w:line="640" w:lineRule="exact"/>
        <w:ind w:firstLine="640" w:firstLineChars="200"/>
        <w:textAlignment w:val="auto"/>
        <w:rPr>
          <w:rFonts w:hint="eastAsia" w:ascii="黑体" w:hAnsi="黑体" w:eastAsia="黑体"/>
          <w:sz w:val="36"/>
          <w:szCs w:val="36"/>
        </w:rPr>
      </w:pPr>
      <w:r>
        <w:rPr>
          <w:rFonts w:hint="eastAsia" w:ascii="仿宋_GB2312" w:hAnsi="仿宋_GB2312" w:eastAsia="仿宋_GB2312" w:cs="仿宋_GB2312"/>
          <w:sz w:val="32"/>
          <w:szCs w:val="32"/>
        </w:rPr>
        <w:t>（5）抓好精神文明建设，丰富群众文化生活，提倡移风易俗，反对封建迷信，破除陈规陋习，树立社会主义新风尚。</w:t>
      </w:r>
    </w:p>
    <w:p>
      <w:pPr>
        <w:spacing w:line="600" w:lineRule="exact"/>
        <w:jc w:val="center"/>
        <w:outlineLvl w:val="0"/>
        <w:rPr>
          <w:rFonts w:ascii="黑体" w:hAnsi="黑体" w:eastAsia="黑体"/>
          <w:sz w:val="36"/>
          <w:szCs w:val="36"/>
        </w:rPr>
      </w:pPr>
      <w:bookmarkStart w:id="29" w:name="_Toc19983_WPSOffice_Level1"/>
      <w:r>
        <w:rPr>
          <w:rFonts w:hint="eastAsia" w:ascii="黑体" w:hAnsi="黑体" w:eastAsia="黑体"/>
          <w:sz w:val="36"/>
          <w:szCs w:val="36"/>
        </w:rPr>
        <w:t xml:space="preserve">第二部分 </w:t>
      </w:r>
      <w:r>
        <w:rPr>
          <w:rFonts w:hint="eastAsia" w:ascii="黑体" w:hAnsi="黑体" w:eastAsia="黑体"/>
          <w:sz w:val="36"/>
          <w:szCs w:val="36"/>
          <w:lang w:val="en-US" w:eastAsia="zh-CN"/>
        </w:rPr>
        <w:t>2019</w:t>
      </w:r>
      <w:r>
        <w:rPr>
          <w:rFonts w:hint="eastAsia" w:ascii="黑体" w:hAnsi="黑体" w:eastAsia="黑体"/>
          <w:sz w:val="36"/>
          <w:szCs w:val="36"/>
        </w:rPr>
        <w:t>年度部门决算表</w:t>
      </w:r>
      <w:bookmarkEnd w:id="29"/>
    </w:p>
    <w:p>
      <w:pPr>
        <w:spacing w:line="600" w:lineRule="exact"/>
        <w:jc w:val="center"/>
        <w:rPr>
          <w:rFonts w:ascii="黑体" w:hAnsi="黑体" w:eastAsia="黑体"/>
          <w:sz w:val="36"/>
          <w:szCs w:val="36"/>
        </w:rPr>
      </w:pPr>
    </w:p>
    <w:p>
      <w:pPr>
        <w:pStyle w:val="9"/>
        <w:numPr>
          <w:ilvl w:val="0"/>
          <w:numId w:val="2"/>
        </w:numPr>
        <w:ind w:firstLineChars="0"/>
        <w:jc w:val="left"/>
        <w:outlineLvl w:val="1"/>
        <w:rPr>
          <w:rFonts w:ascii="黑体" w:hAnsi="仿宋" w:eastAsia="黑体"/>
          <w:sz w:val="32"/>
          <w:szCs w:val="32"/>
        </w:rPr>
      </w:pPr>
      <w:bookmarkStart w:id="30" w:name="_Toc22112_WPSOffice_Level2"/>
      <w:r>
        <w:rPr>
          <w:rFonts w:hint="eastAsia" w:ascii="黑体" w:hAnsi="仿宋" w:eastAsia="黑体"/>
          <w:sz w:val="32"/>
          <w:szCs w:val="32"/>
        </w:rPr>
        <w:t>收入支出决算总表</w:t>
      </w:r>
      <w:bookmarkEnd w:id="30"/>
      <w:r>
        <w:rPr>
          <w:rFonts w:hint="eastAsia" w:ascii="黑体" w:hAnsi="仿宋" w:eastAsia="黑体"/>
          <w:sz w:val="32"/>
          <w:szCs w:val="32"/>
        </w:rPr>
        <w:t xml:space="preserve"> </w:t>
      </w:r>
    </w:p>
    <w:tbl>
      <w:tblPr>
        <w:tblStyle w:val="6"/>
        <w:tblW w:w="8986" w:type="dxa"/>
        <w:tblInd w:w="0" w:type="dxa"/>
        <w:shd w:val="clear" w:color="auto" w:fill="auto"/>
        <w:tblLayout w:type="fixed"/>
        <w:tblCellMar>
          <w:top w:w="0" w:type="dxa"/>
          <w:left w:w="0" w:type="dxa"/>
          <w:bottom w:w="0" w:type="dxa"/>
          <w:right w:w="0" w:type="dxa"/>
        </w:tblCellMar>
      </w:tblPr>
      <w:tblGrid>
        <w:gridCol w:w="3030"/>
        <w:gridCol w:w="1005"/>
        <w:gridCol w:w="3947"/>
        <w:gridCol w:w="1004"/>
      </w:tblGrid>
      <w:tr>
        <w:tblPrEx>
          <w:shd w:val="clear" w:color="auto" w:fill="auto"/>
          <w:tblLayout w:type="fixed"/>
          <w:tblCellMar>
            <w:top w:w="0" w:type="dxa"/>
            <w:left w:w="0" w:type="dxa"/>
            <w:bottom w:w="0" w:type="dxa"/>
            <w:right w:w="0" w:type="dxa"/>
          </w:tblCellMar>
        </w:tblPrEx>
        <w:trPr>
          <w:trHeight w:val="496" w:hRule="atLeast"/>
        </w:trPr>
        <w:tc>
          <w:tcPr>
            <w:tcW w:w="30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单位名称</w:t>
            </w:r>
          </w:p>
        </w:tc>
        <w:tc>
          <w:tcPr>
            <w:tcW w:w="5956" w:type="dxa"/>
            <w:gridSpan w:val="3"/>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上杭县蓝溪镇人民政府汇总</w:t>
            </w:r>
          </w:p>
        </w:tc>
      </w:tr>
      <w:tr>
        <w:tblPrEx>
          <w:tblLayout w:type="fixed"/>
          <w:tblCellMar>
            <w:top w:w="0" w:type="dxa"/>
            <w:left w:w="0" w:type="dxa"/>
            <w:bottom w:w="0" w:type="dxa"/>
            <w:right w:w="0" w:type="dxa"/>
          </w:tblCellMar>
        </w:tblPrEx>
        <w:trPr>
          <w:trHeight w:val="308" w:hRule="atLeast"/>
        </w:trPr>
        <w:tc>
          <w:tcPr>
            <w:tcW w:w="4035" w:type="dxa"/>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收入</w:t>
            </w:r>
          </w:p>
        </w:tc>
        <w:tc>
          <w:tcPr>
            <w:tcW w:w="4951"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支出</w:t>
            </w:r>
          </w:p>
        </w:tc>
      </w:tr>
      <w:tr>
        <w:tblPrEx>
          <w:tblLayout w:type="fixed"/>
          <w:tblCellMar>
            <w:top w:w="0" w:type="dxa"/>
            <w:left w:w="0" w:type="dxa"/>
            <w:bottom w:w="0" w:type="dxa"/>
            <w:right w:w="0" w:type="dxa"/>
          </w:tblCellMar>
        </w:tblPrEx>
        <w:trPr>
          <w:trHeight w:val="308" w:hRule="atLeast"/>
        </w:trPr>
        <w:tc>
          <w:tcPr>
            <w:tcW w:w="3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w:t>
            </w:r>
          </w:p>
        </w:tc>
        <w:tc>
          <w:tcPr>
            <w:tcW w:w="100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决算数</w:t>
            </w:r>
          </w:p>
        </w:tc>
        <w:tc>
          <w:tcPr>
            <w:tcW w:w="394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项目(按支出功能分类)</w:t>
            </w:r>
          </w:p>
        </w:tc>
        <w:tc>
          <w:tcPr>
            <w:tcW w:w="100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决算数</w:t>
            </w:r>
          </w:p>
        </w:tc>
      </w:tr>
      <w:tr>
        <w:tblPrEx>
          <w:tblLayout w:type="fixed"/>
          <w:tblCellMar>
            <w:top w:w="0" w:type="dxa"/>
            <w:left w:w="0" w:type="dxa"/>
            <w:bottom w:w="0" w:type="dxa"/>
            <w:right w:w="0" w:type="dxa"/>
          </w:tblCellMar>
        </w:tblPrEx>
        <w:trPr>
          <w:trHeight w:val="255" w:hRule="atLeast"/>
        </w:trPr>
        <w:tc>
          <w:tcPr>
            <w:tcW w:w="3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一、一般公共预算财政拨款收入</w:t>
            </w:r>
          </w:p>
        </w:tc>
        <w:tc>
          <w:tcPr>
            <w:tcW w:w="10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1,097.99</w:t>
            </w:r>
          </w:p>
        </w:tc>
        <w:tc>
          <w:tcPr>
            <w:tcW w:w="394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一、一般公共服务支出</w:t>
            </w:r>
          </w:p>
        </w:tc>
        <w:tc>
          <w:tcPr>
            <w:tcW w:w="10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605.91</w:t>
            </w:r>
          </w:p>
        </w:tc>
      </w:tr>
      <w:tr>
        <w:tblPrEx>
          <w:tblLayout w:type="fixed"/>
          <w:tblCellMar>
            <w:top w:w="0" w:type="dxa"/>
            <w:left w:w="0" w:type="dxa"/>
            <w:bottom w:w="0" w:type="dxa"/>
            <w:right w:w="0" w:type="dxa"/>
          </w:tblCellMar>
        </w:tblPrEx>
        <w:trPr>
          <w:trHeight w:val="255" w:hRule="atLeast"/>
        </w:trPr>
        <w:tc>
          <w:tcPr>
            <w:tcW w:w="3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二、政府性基金预算财政拨款收入</w:t>
            </w:r>
          </w:p>
        </w:tc>
        <w:tc>
          <w:tcPr>
            <w:tcW w:w="10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394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二、外交支出</w:t>
            </w:r>
          </w:p>
        </w:tc>
        <w:tc>
          <w:tcPr>
            <w:tcW w:w="10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255" w:hRule="atLeast"/>
        </w:trPr>
        <w:tc>
          <w:tcPr>
            <w:tcW w:w="3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三、上级补助收入</w:t>
            </w:r>
          </w:p>
        </w:tc>
        <w:tc>
          <w:tcPr>
            <w:tcW w:w="10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394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三、国防支出</w:t>
            </w:r>
          </w:p>
        </w:tc>
        <w:tc>
          <w:tcPr>
            <w:tcW w:w="10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255" w:hRule="atLeast"/>
        </w:trPr>
        <w:tc>
          <w:tcPr>
            <w:tcW w:w="3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四、事业收入</w:t>
            </w:r>
          </w:p>
        </w:tc>
        <w:tc>
          <w:tcPr>
            <w:tcW w:w="10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394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四、公共安全支出</w:t>
            </w:r>
          </w:p>
        </w:tc>
        <w:tc>
          <w:tcPr>
            <w:tcW w:w="10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255" w:hRule="atLeast"/>
        </w:trPr>
        <w:tc>
          <w:tcPr>
            <w:tcW w:w="3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五、经营收入</w:t>
            </w:r>
          </w:p>
        </w:tc>
        <w:tc>
          <w:tcPr>
            <w:tcW w:w="10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394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五、教育支出</w:t>
            </w:r>
          </w:p>
        </w:tc>
        <w:tc>
          <w:tcPr>
            <w:tcW w:w="10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255" w:hRule="atLeast"/>
        </w:trPr>
        <w:tc>
          <w:tcPr>
            <w:tcW w:w="3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六、附属单位上缴收入</w:t>
            </w:r>
          </w:p>
        </w:tc>
        <w:tc>
          <w:tcPr>
            <w:tcW w:w="10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394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六、科学技术支出</w:t>
            </w:r>
          </w:p>
        </w:tc>
        <w:tc>
          <w:tcPr>
            <w:tcW w:w="10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255" w:hRule="atLeast"/>
        </w:trPr>
        <w:tc>
          <w:tcPr>
            <w:tcW w:w="3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七、其他收入</w:t>
            </w:r>
          </w:p>
        </w:tc>
        <w:tc>
          <w:tcPr>
            <w:tcW w:w="10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814.12</w:t>
            </w:r>
          </w:p>
        </w:tc>
        <w:tc>
          <w:tcPr>
            <w:tcW w:w="394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七、文化旅游体育与传媒支出</w:t>
            </w:r>
          </w:p>
        </w:tc>
        <w:tc>
          <w:tcPr>
            <w:tcW w:w="10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255" w:hRule="atLeast"/>
        </w:trPr>
        <w:tc>
          <w:tcPr>
            <w:tcW w:w="3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94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八、社会保障和就业支出</w:t>
            </w:r>
          </w:p>
        </w:tc>
        <w:tc>
          <w:tcPr>
            <w:tcW w:w="10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255" w:hRule="atLeast"/>
        </w:trPr>
        <w:tc>
          <w:tcPr>
            <w:tcW w:w="3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94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九、卫生健康支出</w:t>
            </w:r>
          </w:p>
        </w:tc>
        <w:tc>
          <w:tcPr>
            <w:tcW w:w="10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33.67</w:t>
            </w:r>
          </w:p>
        </w:tc>
      </w:tr>
      <w:tr>
        <w:tblPrEx>
          <w:tblLayout w:type="fixed"/>
          <w:tblCellMar>
            <w:top w:w="0" w:type="dxa"/>
            <w:left w:w="0" w:type="dxa"/>
            <w:bottom w:w="0" w:type="dxa"/>
            <w:right w:w="0" w:type="dxa"/>
          </w:tblCellMar>
        </w:tblPrEx>
        <w:trPr>
          <w:trHeight w:val="255" w:hRule="atLeast"/>
        </w:trPr>
        <w:tc>
          <w:tcPr>
            <w:tcW w:w="3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94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十、节能环保支出</w:t>
            </w:r>
          </w:p>
        </w:tc>
        <w:tc>
          <w:tcPr>
            <w:tcW w:w="10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255" w:hRule="atLeast"/>
        </w:trPr>
        <w:tc>
          <w:tcPr>
            <w:tcW w:w="3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94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十一、城乡社区支出</w:t>
            </w:r>
          </w:p>
        </w:tc>
        <w:tc>
          <w:tcPr>
            <w:tcW w:w="10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255" w:hRule="atLeast"/>
        </w:trPr>
        <w:tc>
          <w:tcPr>
            <w:tcW w:w="3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94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十二、农林水支出</w:t>
            </w:r>
          </w:p>
        </w:tc>
        <w:tc>
          <w:tcPr>
            <w:tcW w:w="10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522.51</w:t>
            </w:r>
          </w:p>
        </w:tc>
      </w:tr>
      <w:tr>
        <w:tblPrEx>
          <w:tblLayout w:type="fixed"/>
          <w:tblCellMar>
            <w:top w:w="0" w:type="dxa"/>
            <w:left w:w="0" w:type="dxa"/>
            <w:bottom w:w="0" w:type="dxa"/>
            <w:right w:w="0" w:type="dxa"/>
          </w:tblCellMar>
        </w:tblPrEx>
        <w:trPr>
          <w:trHeight w:val="255" w:hRule="atLeast"/>
        </w:trPr>
        <w:tc>
          <w:tcPr>
            <w:tcW w:w="3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94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十三、交通运输支出</w:t>
            </w:r>
          </w:p>
        </w:tc>
        <w:tc>
          <w:tcPr>
            <w:tcW w:w="10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255" w:hRule="atLeast"/>
        </w:trPr>
        <w:tc>
          <w:tcPr>
            <w:tcW w:w="3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94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十四、资源勘探信息等支出</w:t>
            </w:r>
          </w:p>
        </w:tc>
        <w:tc>
          <w:tcPr>
            <w:tcW w:w="10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255" w:hRule="atLeast"/>
        </w:trPr>
        <w:tc>
          <w:tcPr>
            <w:tcW w:w="3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94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十五、商业服务业等支出</w:t>
            </w:r>
          </w:p>
        </w:tc>
        <w:tc>
          <w:tcPr>
            <w:tcW w:w="10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255" w:hRule="atLeast"/>
        </w:trPr>
        <w:tc>
          <w:tcPr>
            <w:tcW w:w="3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94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十六、金融支出</w:t>
            </w:r>
          </w:p>
        </w:tc>
        <w:tc>
          <w:tcPr>
            <w:tcW w:w="10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255" w:hRule="atLeast"/>
        </w:trPr>
        <w:tc>
          <w:tcPr>
            <w:tcW w:w="3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94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十七、援助其他地区支出</w:t>
            </w:r>
          </w:p>
        </w:tc>
        <w:tc>
          <w:tcPr>
            <w:tcW w:w="10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255" w:hRule="atLeast"/>
        </w:trPr>
        <w:tc>
          <w:tcPr>
            <w:tcW w:w="3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94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十八、自然资源海洋气象等支出</w:t>
            </w:r>
          </w:p>
        </w:tc>
        <w:tc>
          <w:tcPr>
            <w:tcW w:w="10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255" w:hRule="atLeast"/>
        </w:trPr>
        <w:tc>
          <w:tcPr>
            <w:tcW w:w="3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94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十九、住房保障支出</w:t>
            </w:r>
          </w:p>
        </w:tc>
        <w:tc>
          <w:tcPr>
            <w:tcW w:w="10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255" w:hRule="atLeast"/>
        </w:trPr>
        <w:tc>
          <w:tcPr>
            <w:tcW w:w="3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94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二十、粮油物资储备支出</w:t>
            </w:r>
          </w:p>
        </w:tc>
        <w:tc>
          <w:tcPr>
            <w:tcW w:w="10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255" w:hRule="atLeast"/>
        </w:trPr>
        <w:tc>
          <w:tcPr>
            <w:tcW w:w="3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94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二十一、灾害防治及应急管理支出</w:t>
            </w:r>
          </w:p>
        </w:tc>
        <w:tc>
          <w:tcPr>
            <w:tcW w:w="10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255" w:hRule="atLeast"/>
        </w:trPr>
        <w:tc>
          <w:tcPr>
            <w:tcW w:w="3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94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二十二、其他支出</w:t>
            </w:r>
          </w:p>
        </w:tc>
        <w:tc>
          <w:tcPr>
            <w:tcW w:w="10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747.92</w:t>
            </w:r>
          </w:p>
        </w:tc>
      </w:tr>
      <w:tr>
        <w:tblPrEx>
          <w:tblLayout w:type="fixed"/>
          <w:tblCellMar>
            <w:top w:w="0" w:type="dxa"/>
            <w:left w:w="0" w:type="dxa"/>
            <w:bottom w:w="0" w:type="dxa"/>
            <w:right w:w="0" w:type="dxa"/>
          </w:tblCellMar>
        </w:tblPrEx>
        <w:trPr>
          <w:trHeight w:val="255" w:hRule="atLeast"/>
        </w:trPr>
        <w:tc>
          <w:tcPr>
            <w:tcW w:w="3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94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二十三、债务还本支出</w:t>
            </w:r>
          </w:p>
        </w:tc>
        <w:tc>
          <w:tcPr>
            <w:tcW w:w="10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255" w:hRule="atLeast"/>
        </w:trPr>
        <w:tc>
          <w:tcPr>
            <w:tcW w:w="3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94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二十四、债务付息支出</w:t>
            </w:r>
          </w:p>
        </w:tc>
        <w:tc>
          <w:tcPr>
            <w:tcW w:w="10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255" w:hRule="atLeast"/>
        </w:trPr>
        <w:tc>
          <w:tcPr>
            <w:tcW w:w="3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本年收入合计</w:t>
            </w:r>
          </w:p>
        </w:tc>
        <w:tc>
          <w:tcPr>
            <w:tcW w:w="10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1,912.10</w:t>
            </w:r>
          </w:p>
        </w:tc>
        <w:tc>
          <w:tcPr>
            <w:tcW w:w="394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本年支出合计</w:t>
            </w:r>
          </w:p>
        </w:tc>
        <w:tc>
          <w:tcPr>
            <w:tcW w:w="10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1,910.00</w:t>
            </w:r>
          </w:p>
        </w:tc>
      </w:tr>
      <w:tr>
        <w:tblPrEx>
          <w:tblLayout w:type="fixed"/>
          <w:tblCellMar>
            <w:top w:w="0" w:type="dxa"/>
            <w:left w:w="0" w:type="dxa"/>
            <w:bottom w:w="0" w:type="dxa"/>
            <w:right w:w="0" w:type="dxa"/>
          </w:tblCellMar>
        </w:tblPrEx>
        <w:trPr>
          <w:trHeight w:val="255" w:hRule="atLeast"/>
        </w:trPr>
        <w:tc>
          <w:tcPr>
            <w:tcW w:w="3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用事业基金弥补收支差额</w:t>
            </w:r>
          </w:p>
        </w:tc>
        <w:tc>
          <w:tcPr>
            <w:tcW w:w="10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394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结余分配</w:t>
            </w:r>
          </w:p>
        </w:tc>
        <w:tc>
          <w:tcPr>
            <w:tcW w:w="10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255" w:hRule="atLeast"/>
        </w:trPr>
        <w:tc>
          <w:tcPr>
            <w:tcW w:w="3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年初结转和结余</w:t>
            </w:r>
          </w:p>
        </w:tc>
        <w:tc>
          <w:tcPr>
            <w:tcW w:w="10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26.37</w:t>
            </w:r>
          </w:p>
        </w:tc>
        <w:tc>
          <w:tcPr>
            <w:tcW w:w="394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年末结转和结余</w:t>
            </w:r>
          </w:p>
        </w:tc>
        <w:tc>
          <w:tcPr>
            <w:tcW w:w="10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28.47</w:t>
            </w:r>
          </w:p>
        </w:tc>
      </w:tr>
      <w:tr>
        <w:tblPrEx>
          <w:tblLayout w:type="fixed"/>
          <w:tblCellMar>
            <w:top w:w="0" w:type="dxa"/>
            <w:left w:w="0" w:type="dxa"/>
            <w:bottom w:w="0" w:type="dxa"/>
            <w:right w:w="0" w:type="dxa"/>
          </w:tblCellMar>
        </w:tblPrEx>
        <w:trPr>
          <w:trHeight w:val="308" w:hRule="atLeast"/>
        </w:trPr>
        <w:tc>
          <w:tcPr>
            <w:tcW w:w="30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10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1,938.48</w:t>
            </w:r>
          </w:p>
        </w:tc>
        <w:tc>
          <w:tcPr>
            <w:tcW w:w="394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10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1,938.48</w:t>
            </w:r>
          </w:p>
        </w:tc>
      </w:tr>
    </w:tbl>
    <w:p>
      <w:pPr>
        <w:pStyle w:val="8"/>
        <w:outlineLvl w:val="1"/>
        <w:rPr>
          <w:rFonts w:hint="eastAsia" w:ascii="Times New Roman" w:hAnsi="Times New Roman" w:cs="Times New Roman" w:eastAsiaTheme="minorEastAsia"/>
          <w:highlight w:val="yellow"/>
        </w:rPr>
      </w:pPr>
    </w:p>
    <w:p>
      <w:pPr>
        <w:pStyle w:val="9"/>
        <w:numPr>
          <w:ilvl w:val="0"/>
          <w:numId w:val="2"/>
        </w:numPr>
        <w:ind w:firstLineChars="0"/>
        <w:jc w:val="left"/>
        <w:outlineLvl w:val="1"/>
        <w:rPr>
          <w:rFonts w:ascii="黑体" w:hAnsi="仿宋" w:eastAsia="黑体"/>
          <w:sz w:val="32"/>
          <w:szCs w:val="32"/>
        </w:rPr>
      </w:pPr>
      <w:bookmarkStart w:id="31" w:name="_Toc14260_WPSOffice_Level2"/>
      <w:r>
        <w:rPr>
          <w:rFonts w:hint="eastAsia" w:ascii="黑体" w:hAnsi="仿宋" w:eastAsia="黑体"/>
          <w:sz w:val="32"/>
          <w:szCs w:val="32"/>
        </w:rPr>
        <w:t>收入决算表</w:t>
      </w:r>
      <w:bookmarkEnd w:id="31"/>
      <w:r>
        <w:rPr>
          <w:rFonts w:hint="eastAsia" w:ascii="黑体" w:hAnsi="仿宋" w:eastAsia="黑体"/>
          <w:sz w:val="32"/>
          <w:szCs w:val="32"/>
        </w:rPr>
        <w:t xml:space="preserve"> </w:t>
      </w:r>
    </w:p>
    <w:tbl>
      <w:tblPr>
        <w:tblStyle w:val="6"/>
        <w:tblW w:w="8984" w:type="dxa"/>
        <w:tblInd w:w="0" w:type="dxa"/>
        <w:shd w:val="clear" w:color="auto" w:fill="auto"/>
        <w:tblLayout w:type="fixed"/>
        <w:tblCellMar>
          <w:top w:w="0" w:type="dxa"/>
          <w:left w:w="0" w:type="dxa"/>
          <w:bottom w:w="0" w:type="dxa"/>
          <w:right w:w="0" w:type="dxa"/>
        </w:tblCellMar>
      </w:tblPr>
      <w:tblGrid>
        <w:gridCol w:w="769"/>
        <w:gridCol w:w="2830"/>
        <w:gridCol w:w="830"/>
        <w:gridCol w:w="830"/>
        <w:gridCol w:w="649"/>
        <w:gridCol w:w="769"/>
        <w:gridCol w:w="769"/>
        <w:gridCol w:w="769"/>
        <w:gridCol w:w="769"/>
      </w:tblGrid>
      <w:tr>
        <w:tblPrEx>
          <w:shd w:val="clear" w:color="auto" w:fill="auto"/>
          <w:tblLayout w:type="fixed"/>
          <w:tblCellMar>
            <w:top w:w="0" w:type="dxa"/>
            <w:left w:w="0" w:type="dxa"/>
            <w:bottom w:w="0" w:type="dxa"/>
            <w:right w:w="0" w:type="dxa"/>
          </w:tblCellMar>
        </w:tblPrEx>
        <w:trPr>
          <w:trHeight w:val="492" w:hRule="atLeast"/>
        </w:trPr>
        <w:tc>
          <w:tcPr>
            <w:tcW w:w="3599"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w:t>
            </w:r>
          </w:p>
        </w:tc>
        <w:tc>
          <w:tcPr>
            <w:tcW w:w="83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本年收入合计</w:t>
            </w:r>
          </w:p>
        </w:tc>
        <w:tc>
          <w:tcPr>
            <w:tcW w:w="83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财政拨款收入</w:t>
            </w:r>
          </w:p>
        </w:tc>
        <w:tc>
          <w:tcPr>
            <w:tcW w:w="649"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上级补助收入</w:t>
            </w:r>
          </w:p>
        </w:tc>
        <w:tc>
          <w:tcPr>
            <w:tcW w:w="769"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事业收入</w:t>
            </w:r>
          </w:p>
        </w:tc>
        <w:tc>
          <w:tcPr>
            <w:tcW w:w="769"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经营收入</w:t>
            </w:r>
          </w:p>
        </w:tc>
        <w:tc>
          <w:tcPr>
            <w:tcW w:w="769"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附属单位上缴收入</w:t>
            </w:r>
          </w:p>
        </w:tc>
        <w:tc>
          <w:tcPr>
            <w:tcW w:w="769"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其他收入</w:t>
            </w:r>
          </w:p>
        </w:tc>
      </w:tr>
      <w:tr>
        <w:tblPrEx>
          <w:tblLayout w:type="fixed"/>
          <w:tblCellMar>
            <w:top w:w="0" w:type="dxa"/>
            <w:left w:w="0" w:type="dxa"/>
            <w:bottom w:w="0" w:type="dxa"/>
            <w:right w:w="0" w:type="dxa"/>
          </w:tblCellMar>
        </w:tblPrEx>
        <w:trPr>
          <w:trHeight w:val="585" w:hRule="atLeast"/>
        </w:trPr>
        <w:tc>
          <w:tcPr>
            <w:tcW w:w="769"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支出功能分类科目编码</w:t>
            </w:r>
          </w:p>
        </w:tc>
        <w:tc>
          <w:tcPr>
            <w:tcW w:w="283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科目名称</w:t>
            </w:r>
          </w:p>
        </w:tc>
        <w:tc>
          <w:tcPr>
            <w:tcW w:w="83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3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49"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69"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69"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69"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69"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08" w:hRule="atLeast"/>
        </w:trPr>
        <w:tc>
          <w:tcPr>
            <w:tcW w:w="769"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合计行</w:t>
            </w:r>
          </w:p>
        </w:tc>
        <w:tc>
          <w:tcPr>
            <w:tcW w:w="2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1,912.10</w:t>
            </w:r>
          </w:p>
        </w:tc>
        <w:tc>
          <w:tcPr>
            <w:tcW w:w="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1,097.99</w:t>
            </w:r>
          </w:p>
        </w:tc>
        <w:tc>
          <w:tcPr>
            <w:tcW w:w="6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6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2010301</w:t>
            </w:r>
          </w:p>
        </w:tc>
        <w:tc>
          <w:tcPr>
            <w:tcW w:w="2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行政运行</w:t>
            </w:r>
          </w:p>
        </w:tc>
        <w:tc>
          <w:tcPr>
            <w:tcW w:w="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590.53</w:t>
            </w:r>
          </w:p>
        </w:tc>
        <w:tc>
          <w:tcPr>
            <w:tcW w:w="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413.77</w:t>
            </w:r>
          </w:p>
        </w:tc>
        <w:tc>
          <w:tcPr>
            <w:tcW w:w="6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6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2010601</w:t>
            </w:r>
          </w:p>
        </w:tc>
        <w:tc>
          <w:tcPr>
            <w:tcW w:w="2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行政运行</w:t>
            </w:r>
          </w:p>
        </w:tc>
        <w:tc>
          <w:tcPr>
            <w:tcW w:w="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17.37</w:t>
            </w:r>
          </w:p>
        </w:tc>
        <w:tc>
          <w:tcPr>
            <w:tcW w:w="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16.41</w:t>
            </w:r>
          </w:p>
        </w:tc>
        <w:tc>
          <w:tcPr>
            <w:tcW w:w="6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6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2100101</w:t>
            </w:r>
          </w:p>
        </w:tc>
        <w:tc>
          <w:tcPr>
            <w:tcW w:w="2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行政运行</w:t>
            </w:r>
          </w:p>
        </w:tc>
        <w:tc>
          <w:tcPr>
            <w:tcW w:w="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33.67</w:t>
            </w:r>
          </w:p>
        </w:tc>
        <w:tc>
          <w:tcPr>
            <w:tcW w:w="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29.67</w:t>
            </w:r>
          </w:p>
        </w:tc>
        <w:tc>
          <w:tcPr>
            <w:tcW w:w="6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6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2130101</w:t>
            </w:r>
          </w:p>
        </w:tc>
        <w:tc>
          <w:tcPr>
            <w:tcW w:w="2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行政运行</w:t>
            </w:r>
          </w:p>
        </w:tc>
        <w:tc>
          <w:tcPr>
            <w:tcW w:w="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106.34</w:t>
            </w:r>
          </w:p>
        </w:tc>
        <w:tc>
          <w:tcPr>
            <w:tcW w:w="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100.34</w:t>
            </w:r>
          </w:p>
        </w:tc>
        <w:tc>
          <w:tcPr>
            <w:tcW w:w="6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6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2130199</w:t>
            </w:r>
          </w:p>
        </w:tc>
        <w:tc>
          <w:tcPr>
            <w:tcW w:w="2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其他农业支出</w:t>
            </w:r>
          </w:p>
        </w:tc>
        <w:tc>
          <w:tcPr>
            <w:tcW w:w="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214.00</w:t>
            </w:r>
          </w:p>
        </w:tc>
        <w:tc>
          <w:tcPr>
            <w:tcW w:w="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214.00</w:t>
            </w:r>
          </w:p>
        </w:tc>
        <w:tc>
          <w:tcPr>
            <w:tcW w:w="6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6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2130705</w:t>
            </w:r>
          </w:p>
        </w:tc>
        <w:tc>
          <w:tcPr>
            <w:tcW w:w="2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对村民委员会和村党支部的补助</w:t>
            </w:r>
          </w:p>
        </w:tc>
        <w:tc>
          <w:tcPr>
            <w:tcW w:w="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202.17</w:t>
            </w:r>
          </w:p>
        </w:tc>
        <w:tc>
          <w:tcPr>
            <w:tcW w:w="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202.17</w:t>
            </w:r>
          </w:p>
        </w:tc>
        <w:tc>
          <w:tcPr>
            <w:tcW w:w="6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6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2299901</w:t>
            </w:r>
          </w:p>
        </w:tc>
        <w:tc>
          <w:tcPr>
            <w:tcW w:w="2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其他支出</w:t>
            </w:r>
          </w:p>
        </w:tc>
        <w:tc>
          <w:tcPr>
            <w:tcW w:w="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748.02</w:t>
            </w:r>
          </w:p>
        </w:tc>
        <w:tc>
          <w:tcPr>
            <w:tcW w:w="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121.64</w:t>
            </w:r>
          </w:p>
        </w:tc>
        <w:tc>
          <w:tcPr>
            <w:tcW w:w="6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76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bl>
    <w:p>
      <w:pPr>
        <w:pStyle w:val="8"/>
        <w:rPr>
          <w:rFonts w:hint="eastAsia" w:ascii="Times New Roman" w:hAnsi="Times New Roman" w:cs="Times New Roman" w:eastAsiaTheme="minorEastAsia"/>
          <w:highlight w:val="yellow"/>
        </w:rPr>
      </w:pPr>
    </w:p>
    <w:p>
      <w:pPr>
        <w:pStyle w:val="9"/>
        <w:numPr>
          <w:ilvl w:val="0"/>
          <w:numId w:val="2"/>
        </w:numPr>
        <w:ind w:firstLineChars="0"/>
        <w:jc w:val="left"/>
        <w:outlineLvl w:val="1"/>
        <w:rPr>
          <w:rFonts w:ascii="黑体" w:hAnsi="仿宋" w:eastAsia="黑体"/>
          <w:sz w:val="32"/>
          <w:szCs w:val="32"/>
        </w:rPr>
      </w:pPr>
      <w:bookmarkStart w:id="32" w:name="_Toc13922_WPSOffice_Level2"/>
      <w:r>
        <w:rPr>
          <w:rFonts w:hint="eastAsia" w:ascii="黑体" w:hAnsi="仿宋" w:eastAsia="黑体"/>
          <w:sz w:val="32"/>
          <w:szCs w:val="32"/>
        </w:rPr>
        <w:t>支出决算表</w:t>
      </w:r>
      <w:bookmarkEnd w:id="32"/>
    </w:p>
    <w:tbl>
      <w:tblPr>
        <w:tblStyle w:val="6"/>
        <w:tblW w:w="8984" w:type="dxa"/>
        <w:tblInd w:w="0" w:type="dxa"/>
        <w:shd w:val="clear" w:color="auto" w:fill="auto"/>
        <w:tblLayout w:type="fixed"/>
        <w:tblCellMar>
          <w:top w:w="0" w:type="dxa"/>
          <w:left w:w="0" w:type="dxa"/>
          <w:bottom w:w="0" w:type="dxa"/>
          <w:right w:w="0" w:type="dxa"/>
        </w:tblCellMar>
      </w:tblPr>
      <w:tblGrid>
        <w:gridCol w:w="878"/>
        <w:gridCol w:w="2830"/>
        <w:gridCol w:w="878"/>
        <w:gridCol w:w="878"/>
        <w:gridCol w:w="878"/>
        <w:gridCol w:w="878"/>
        <w:gridCol w:w="878"/>
        <w:gridCol w:w="886"/>
      </w:tblGrid>
      <w:tr>
        <w:tblPrEx>
          <w:shd w:val="clear" w:color="auto" w:fill="auto"/>
          <w:tblLayout w:type="fixed"/>
          <w:tblCellMar>
            <w:top w:w="0" w:type="dxa"/>
            <w:left w:w="0" w:type="dxa"/>
            <w:bottom w:w="0" w:type="dxa"/>
            <w:right w:w="0" w:type="dxa"/>
          </w:tblCellMar>
        </w:tblPrEx>
        <w:trPr>
          <w:trHeight w:val="492" w:hRule="atLeast"/>
        </w:trPr>
        <w:tc>
          <w:tcPr>
            <w:tcW w:w="3708"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w:t>
            </w:r>
          </w:p>
        </w:tc>
        <w:tc>
          <w:tcPr>
            <w:tcW w:w="878"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本年支出合计</w:t>
            </w:r>
          </w:p>
        </w:tc>
        <w:tc>
          <w:tcPr>
            <w:tcW w:w="878"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基本支出</w:t>
            </w:r>
          </w:p>
        </w:tc>
        <w:tc>
          <w:tcPr>
            <w:tcW w:w="878"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项目支出</w:t>
            </w:r>
          </w:p>
        </w:tc>
        <w:tc>
          <w:tcPr>
            <w:tcW w:w="878"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上缴上级支出</w:t>
            </w:r>
          </w:p>
        </w:tc>
        <w:tc>
          <w:tcPr>
            <w:tcW w:w="878"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经营支出</w:t>
            </w:r>
          </w:p>
        </w:tc>
        <w:tc>
          <w:tcPr>
            <w:tcW w:w="886"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对附属单位补助支出</w:t>
            </w:r>
          </w:p>
        </w:tc>
      </w:tr>
      <w:tr>
        <w:tblPrEx>
          <w:tblLayout w:type="fixed"/>
          <w:tblCellMar>
            <w:top w:w="0" w:type="dxa"/>
            <w:left w:w="0" w:type="dxa"/>
            <w:bottom w:w="0" w:type="dxa"/>
            <w:right w:w="0" w:type="dxa"/>
          </w:tblCellMar>
        </w:tblPrEx>
        <w:trPr>
          <w:trHeight w:val="538" w:hRule="atLeast"/>
        </w:trPr>
        <w:tc>
          <w:tcPr>
            <w:tcW w:w="878"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支出功能分类科目编码</w:t>
            </w:r>
          </w:p>
        </w:tc>
        <w:tc>
          <w:tcPr>
            <w:tcW w:w="283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科目名称</w:t>
            </w:r>
          </w:p>
        </w:tc>
        <w:tc>
          <w:tcPr>
            <w:tcW w:w="878"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78"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78"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78"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78"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86"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08" w:hRule="atLeast"/>
        </w:trPr>
        <w:tc>
          <w:tcPr>
            <w:tcW w:w="878"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合计行</w:t>
            </w:r>
          </w:p>
        </w:tc>
        <w:tc>
          <w:tcPr>
            <w:tcW w:w="2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1,910.00</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1,162.08</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747.92</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7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2010301</w:t>
            </w:r>
          </w:p>
        </w:tc>
        <w:tc>
          <w:tcPr>
            <w:tcW w:w="2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行政运行</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588.53</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588.53</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7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2010601</w:t>
            </w:r>
          </w:p>
        </w:tc>
        <w:tc>
          <w:tcPr>
            <w:tcW w:w="2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行政运行</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17.37</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17.37</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7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2100101</w:t>
            </w:r>
          </w:p>
        </w:tc>
        <w:tc>
          <w:tcPr>
            <w:tcW w:w="2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行政运行</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33.67</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33.67</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7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2130101</w:t>
            </w:r>
          </w:p>
        </w:tc>
        <w:tc>
          <w:tcPr>
            <w:tcW w:w="2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行政运行</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106.34</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106.34</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7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2130199</w:t>
            </w:r>
          </w:p>
        </w:tc>
        <w:tc>
          <w:tcPr>
            <w:tcW w:w="2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其他农业支出</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214.00</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214.00</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7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2130705</w:t>
            </w:r>
          </w:p>
        </w:tc>
        <w:tc>
          <w:tcPr>
            <w:tcW w:w="2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对村民委员会和村党支部的补助</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202.17</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202.17</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7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2299901</w:t>
            </w:r>
          </w:p>
        </w:tc>
        <w:tc>
          <w:tcPr>
            <w:tcW w:w="2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其他支出</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747.92</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747.92</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bl>
    <w:p>
      <w:pPr>
        <w:pStyle w:val="8"/>
        <w:rPr>
          <w:rFonts w:hint="eastAsia" w:ascii="Times New Roman" w:hAnsi="Times New Roman" w:cs="Times New Roman" w:eastAsiaTheme="minorEastAsia"/>
          <w:highlight w:val="yellow"/>
        </w:rPr>
      </w:pPr>
    </w:p>
    <w:p>
      <w:pPr>
        <w:pStyle w:val="8"/>
        <w:rPr>
          <w:rFonts w:hint="eastAsia" w:ascii="Times New Roman" w:hAnsi="Times New Roman" w:cs="Times New Roman" w:eastAsiaTheme="minorEastAsia"/>
          <w:highlight w:val="yellow"/>
        </w:rPr>
      </w:pPr>
    </w:p>
    <w:p>
      <w:pPr>
        <w:pStyle w:val="8"/>
        <w:rPr>
          <w:rFonts w:hint="eastAsia" w:ascii="Times New Roman" w:hAnsi="Times New Roman" w:cs="Times New Roman" w:eastAsiaTheme="minorEastAsia"/>
          <w:highlight w:val="yellow"/>
        </w:rPr>
      </w:pPr>
    </w:p>
    <w:p>
      <w:pPr>
        <w:pStyle w:val="8"/>
        <w:rPr>
          <w:rFonts w:hint="eastAsia" w:ascii="Times New Roman" w:hAnsi="Times New Roman" w:cs="Times New Roman" w:eastAsiaTheme="minorEastAsia"/>
          <w:highlight w:val="yellow"/>
        </w:rPr>
      </w:pPr>
    </w:p>
    <w:p>
      <w:pPr>
        <w:pStyle w:val="8"/>
        <w:rPr>
          <w:rFonts w:hint="eastAsia" w:ascii="Times New Roman" w:hAnsi="Times New Roman" w:cs="Times New Roman" w:eastAsiaTheme="minorEastAsia"/>
          <w:highlight w:val="yellow"/>
        </w:rPr>
      </w:pPr>
    </w:p>
    <w:p>
      <w:pPr>
        <w:pStyle w:val="8"/>
        <w:rPr>
          <w:rFonts w:hint="eastAsia" w:ascii="Times New Roman" w:hAnsi="Times New Roman" w:cs="Times New Roman" w:eastAsiaTheme="minorEastAsia"/>
          <w:highlight w:val="yellow"/>
        </w:rPr>
      </w:pPr>
    </w:p>
    <w:p>
      <w:pPr>
        <w:pStyle w:val="9"/>
        <w:numPr>
          <w:ilvl w:val="0"/>
          <w:numId w:val="2"/>
        </w:numPr>
        <w:ind w:firstLineChars="0"/>
        <w:jc w:val="left"/>
        <w:outlineLvl w:val="1"/>
        <w:rPr>
          <w:rFonts w:ascii="黑体" w:hAnsi="仿宋" w:eastAsia="黑体"/>
          <w:sz w:val="32"/>
          <w:szCs w:val="32"/>
        </w:rPr>
      </w:pPr>
      <w:bookmarkStart w:id="33" w:name="_Toc16588_WPSOffice_Level2"/>
      <w:r>
        <w:rPr>
          <w:rFonts w:hint="eastAsia" w:ascii="黑体" w:hAnsi="仿宋" w:eastAsia="黑体"/>
          <w:sz w:val="32"/>
          <w:szCs w:val="32"/>
        </w:rPr>
        <w:t>财政拨款收入支出决算总表</w:t>
      </w:r>
      <w:bookmarkEnd w:id="33"/>
    </w:p>
    <w:tbl>
      <w:tblPr>
        <w:tblStyle w:val="6"/>
        <w:tblW w:w="8986" w:type="dxa"/>
        <w:tblInd w:w="0" w:type="dxa"/>
        <w:shd w:val="clear" w:color="auto" w:fill="auto"/>
        <w:tblLayout w:type="fixed"/>
        <w:tblCellMar>
          <w:top w:w="0" w:type="dxa"/>
          <w:left w:w="0" w:type="dxa"/>
          <w:bottom w:w="0" w:type="dxa"/>
          <w:right w:w="0" w:type="dxa"/>
        </w:tblCellMar>
      </w:tblPr>
      <w:tblGrid>
        <w:gridCol w:w="2890"/>
        <w:gridCol w:w="837"/>
        <w:gridCol w:w="3030"/>
        <w:gridCol w:w="837"/>
        <w:gridCol w:w="837"/>
        <w:gridCol w:w="555"/>
      </w:tblGrid>
      <w:tr>
        <w:tblPrEx>
          <w:shd w:val="clear" w:color="auto" w:fill="auto"/>
          <w:tblLayout w:type="fixed"/>
          <w:tblCellMar>
            <w:top w:w="0" w:type="dxa"/>
            <w:left w:w="0" w:type="dxa"/>
            <w:bottom w:w="0" w:type="dxa"/>
            <w:right w:w="0" w:type="dxa"/>
          </w:tblCellMar>
        </w:tblPrEx>
        <w:trPr>
          <w:trHeight w:val="769" w:hRule="atLeast"/>
        </w:trPr>
        <w:tc>
          <w:tcPr>
            <w:tcW w:w="289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单位名称</w:t>
            </w:r>
          </w:p>
        </w:tc>
        <w:tc>
          <w:tcPr>
            <w:tcW w:w="6096" w:type="dxa"/>
            <w:gridSpan w:val="5"/>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上杭县蓝溪镇人民政府汇总</w:t>
            </w:r>
          </w:p>
        </w:tc>
      </w:tr>
      <w:tr>
        <w:tblPrEx>
          <w:tblLayout w:type="fixed"/>
          <w:tblCellMar>
            <w:top w:w="0" w:type="dxa"/>
            <w:left w:w="0" w:type="dxa"/>
            <w:bottom w:w="0" w:type="dxa"/>
            <w:right w:w="0" w:type="dxa"/>
          </w:tblCellMar>
        </w:tblPrEx>
        <w:trPr>
          <w:trHeight w:val="308" w:hRule="atLeast"/>
        </w:trPr>
        <w:tc>
          <w:tcPr>
            <w:tcW w:w="3727" w:type="dxa"/>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     入</w:t>
            </w:r>
          </w:p>
        </w:tc>
        <w:tc>
          <w:tcPr>
            <w:tcW w:w="5259" w:type="dxa"/>
            <w:gridSpan w:val="4"/>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     出</w:t>
            </w:r>
          </w:p>
        </w:tc>
      </w:tr>
      <w:tr>
        <w:tblPrEx>
          <w:tblLayout w:type="fixed"/>
          <w:tblCellMar>
            <w:top w:w="0" w:type="dxa"/>
            <w:left w:w="0" w:type="dxa"/>
            <w:bottom w:w="0" w:type="dxa"/>
            <w:right w:w="0" w:type="dxa"/>
          </w:tblCellMar>
        </w:tblPrEx>
        <w:trPr>
          <w:trHeight w:val="308" w:hRule="atLeast"/>
        </w:trPr>
        <w:tc>
          <w:tcPr>
            <w:tcW w:w="2890" w:type="dxa"/>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    目</w:t>
            </w:r>
          </w:p>
        </w:tc>
        <w:tc>
          <w:tcPr>
            <w:tcW w:w="837" w:type="dxa"/>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3030" w:type="dxa"/>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项目（按功能分类）</w:t>
            </w:r>
          </w:p>
        </w:tc>
        <w:tc>
          <w:tcPr>
            <w:tcW w:w="837" w:type="dxa"/>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83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一般公共预算财政拨款</w:t>
            </w:r>
          </w:p>
        </w:tc>
        <w:tc>
          <w:tcPr>
            <w:tcW w:w="55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政府性基金预算财政拨款</w:t>
            </w:r>
          </w:p>
        </w:tc>
      </w:tr>
      <w:tr>
        <w:tblPrEx>
          <w:tblLayout w:type="fixed"/>
          <w:tblCellMar>
            <w:top w:w="0" w:type="dxa"/>
            <w:left w:w="0" w:type="dxa"/>
            <w:bottom w:w="0" w:type="dxa"/>
            <w:right w:w="0" w:type="dxa"/>
          </w:tblCellMar>
        </w:tblPrEx>
        <w:trPr>
          <w:trHeight w:val="308" w:hRule="atLeast"/>
        </w:trPr>
        <w:tc>
          <w:tcPr>
            <w:tcW w:w="2890"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37"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30"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37"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3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289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1,097.99</w:t>
            </w:r>
          </w:p>
        </w:tc>
        <w:tc>
          <w:tcPr>
            <w:tcW w:w="30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一、一般公共服务支出</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430.18</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430.18</w:t>
            </w:r>
          </w:p>
        </w:tc>
        <w:tc>
          <w:tcPr>
            <w:tcW w:w="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89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30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二、外交支出</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89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0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三、国防支出</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89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0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四、公共安全支出</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89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0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五、教育支出</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89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0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六、科学技术支出</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89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0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七、文化旅游体育与传媒支出</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89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0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八、社会保障和就业支出</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89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0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九、卫生健康支出</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29.67</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29.67</w:t>
            </w:r>
          </w:p>
        </w:tc>
        <w:tc>
          <w:tcPr>
            <w:tcW w:w="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89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0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十、节能环保支出</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89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0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十一、城乡社区支出</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89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0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十二、农林水支出</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516.51</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516.51</w:t>
            </w:r>
          </w:p>
        </w:tc>
        <w:tc>
          <w:tcPr>
            <w:tcW w:w="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89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0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十三、交通运输支出</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89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0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十四、资源勘探信息等支出</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89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0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十五、商业服务业等支出</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89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0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十六、金融支出</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89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0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十七、援助其他地区支出</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89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0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十八、自然资源海洋气象等支出</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89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0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十九、住房保障支出</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89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0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二十、粮油物资储备支出</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89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0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二十一、灾害防治及应急管理支出</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89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0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二十一、其他支出</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121.64</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121.64</w:t>
            </w:r>
          </w:p>
        </w:tc>
        <w:tc>
          <w:tcPr>
            <w:tcW w:w="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89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0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二十二、债务还本支出</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89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0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二十三、债务付息支出</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89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1,097.99</w:t>
            </w:r>
          </w:p>
        </w:tc>
        <w:tc>
          <w:tcPr>
            <w:tcW w:w="30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本年支出合计</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1,097.99</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1,097.99</w:t>
            </w:r>
          </w:p>
        </w:tc>
        <w:tc>
          <w:tcPr>
            <w:tcW w:w="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89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0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08" w:hRule="atLeast"/>
        </w:trPr>
        <w:tc>
          <w:tcPr>
            <w:tcW w:w="289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年初财政拨款结转和结余</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25.32</w:t>
            </w:r>
          </w:p>
        </w:tc>
        <w:tc>
          <w:tcPr>
            <w:tcW w:w="30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年末财政拨款结转和结余</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25.32</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25.32</w:t>
            </w:r>
          </w:p>
        </w:tc>
        <w:tc>
          <w:tcPr>
            <w:tcW w:w="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89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25.32</w:t>
            </w:r>
          </w:p>
        </w:tc>
        <w:tc>
          <w:tcPr>
            <w:tcW w:w="30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Layout w:type="fixed"/>
        </w:tblPrEx>
        <w:trPr>
          <w:trHeight w:val="308" w:hRule="atLeast"/>
        </w:trPr>
        <w:tc>
          <w:tcPr>
            <w:tcW w:w="289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30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08" w:hRule="atLeast"/>
        </w:trPr>
        <w:tc>
          <w:tcPr>
            <w:tcW w:w="289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0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08" w:hRule="atLeast"/>
        </w:trPr>
        <w:tc>
          <w:tcPr>
            <w:tcW w:w="289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1,123.31</w:t>
            </w:r>
          </w:p>
        </w:tc>
        <w:tc>
          <w:tcPr>
            <w:tcW w:w="30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总计</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1,123.31</w:t>
            </w:r>
          </w:p>
        </w:tc>
        <w:tc>
          <w:tcPr>
            <w:tcW w:w="8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1,123.31</w:t>
            </w:r>
          </w:p>
        </w:tc>
        <w:tc>
          <w:tcPr>
            <w:tcW w:w="5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0.00</w:t>
            </w:r>
          </w:p>
        </w:tc>
      </w:tr>
    </w:tbl>
    <w:p>
      <w:pPr>
        <w:pStyle w:val="8"/>
        <w:rPr>
          <w:rFonts w:hint="eastAsia" w:ascii="Times New Roman" w:hAnsi="Times New Roman" w:cs="Times New Roman" w:eastAsiaTheme="minorEastAsia"/>
          <w:highlight w:val="yellow"/>
        </w:rPr>
      </w:pPr>
    </w:p>
    <w:p>
      <w:pPr>
        <w:pStyle w:val="9"/>
        <w:numPr>
          <w:ilvl w:val="0"/>
          <w:numId w:val="2"/>
        </w:numPr>
        <w:ind w:firstLineChars="0"/>
        <w:jc w:val="left"/>
        <w:outlineLvl w:val="1"/>
        <w:rPr>
          <w:rFonts w:ascii="黑体" w:hAnsi="仿宋" w:eastAsia="黑体"/>
          <w:sz w:val="32"/>
          <w:szCs w:val="32"/>
        </w:rPr>
      </w:pPr>
      <w:bookmarkStart w:id="34" w:name="_Toc733_WPSOffice_Level2"/>
      <w:r>
        <w:rPr>
          <w:rFonts w:hint="eastAsia" w:ascii="黑体" w:hAnsi="仿宋" w:eastAsia="黑体"/>
          <w:sz w:val="32"/>
          <w:szCs w:val="32"/>
        </w:rPr>
        <w:t>一般公共预算财政拨款支出决算表</w:t>
      </w:r>
      <w:bookmarkEnd w:id="34"/>
    </w:p>
    <w:tbl>
      <w:tblPr>
        <w:tblStyle w:val="6"/>
        <w:tblW w:w="8986" w:type="dxa"/>
        <w:tblInd w:w="0" w:type="dxa"/>
        <w:shd w:val="clear" w:color="auto" w:fill="auto"/>
        <w:tblLayout w:type="fixed"/>
        <w:tblCellMar>
          <w:top w:w="0" w:type="dxa"/>
          <w:left w:w="0" w:type="dxa"/>
          <w:bottom w:w="0" w:type="dxa"/>
          <w:right w:w="0" w:type="dxa"/>
        </w:tblCellMar>
      </w:tblPr>
      <w:tblGrid>
        <w:gridCol w:w="1539"/>
        <w:gridCol w:w="2830"/>
        <w:gridCol w:w="1539"/>
        <w:gridCol w:w="1539"/>
        <w:gridCol w:w="1539"/>
      </w:tblGrid>
      <w:tr>
        <w:tblPrEx>
          <w:shd w:val="clear" w:color="auto" w:fill="auto"/>
          <w:tblLayout w:type="fixed"/>
          <w:tblCellMar>
            <w:top w:w="0" w:type="dxa"/>
            <w:left w:w="0" w:type="dxa"/>
            <w:bottom w:w="0" w:type="dxa"/>
            <w:right w:w="0" w:type="dxa"/>
          </w:tblCellMar>
        </w:tblPrEx>
        <w:trPr>
          <w:trHeight w:val="385" w:hRule="atLeast"/>
        </w:trPr>
        <w:tc>
          <w:tcPr>
            <w:tcW w:w="153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科目编码</w:t>
            </w:r>
          </w:p>
        </w:tc>
        <w:tc>
          <w:tcPr>
            <w:tcW w:w="2830" w:type="dxa"/>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科目名称</w:t>
            </w:r>
          </w:p>
        </w:tc>
        <w:tc>
          <w:tcPr>
            <w:tcW w:w="1539" w:type="dxa"/>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本年支出合计</w:t>
            </w:r>
          </w:p>
        </w:tc>
        <w:tc>
          <w:tcPr>
            <w:tcW w:w="1539" w:type="dxa"/>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基本支出</w:t>
            </w:r>
          </w:p>
        </w:tc>
        <w:tc>
          <w:tcPr>
            <w:tcW w:w="1539" w:type="dxa"/>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项目支出</w:t>
            </w:r>
          </w:p>
        </w:tc>
      </w:tr>
      <w:tr>
        <w:tblPrEx>
          <w:tblLayout w:type="fixed"/>
          <w:tblCellMar>
            <w:top w:w="0" w:type="dxa"/>
            <w:left w:w="0" w:type="dxa"/>
            <w:bottom w:w="0" w:type="dxa"/>
            <w:right w:w="0" w:type="dxa"/>
          </w:tblCellMar>
        </w:tblPrEx>
        <w:trPr>
          <w:trHeight w:val="308" w:hRule="atLeast"/>
        </w:trPr>
        <w:tc>
          <w:tcPr>
            <w:tcW w:w="1539"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合计行</w:t>
            </w:r>
          </w:p>
        </w:tc>
        <w:tc>
          <w:tcPr>
            <w:tcW w:w="2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1,097.99</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976.35</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121.64</w:t>
            </w:r>
          </w:p>
        </w:tc>
      </w:tr>
      <w:tr>
        <w:tblPrEx>
          <w:tblLayout w:type="fixed"/>
          <w:tblCellMar>
            <w:top w:w="0" w:type="dxa"/>
            <w:left w:w="0" w:type="dxa"/>
            <w:bottom w:w="0" w:type="dxa"/>
            <w:right w:w="0" w:type="dxa"/>
          </w:tblCellMar>
        </w:tblPrEx>
        <w:trPr>
          <w:trHeight w:val="308" w:hRule="atLeast"/>
        </w:trPr>
        <w:tc>
          <w:tcPr>
            <w:tcW w:w="153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2010301</w:t>
            </w:r>
          </w:p>
        </w:tc>
        <w:tc>
          <w:tcPr>
            <w:tcW w:w="2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行政运行</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413.77</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413.77</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53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2010601</w:t>
            </w:r>
          </w:p>
        </w:tc>
        <w:tc>
          <w:tcPr>
            <w:tcW w:w="2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行政运行</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16.41</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16.41</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53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2070101</w:t>
            </w:r>
          </w:p>
        </w:tc>
        <w:tc>
          <w:tcPr>
            <w:tcW w:w="2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行政运行</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53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2100101</w:t>
            </w:r>
          </w:p>
        </w:tc>
        <w:tc>
          <w:tcPr>
            <w:tcW w:w="2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行政运行</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29.67</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29.67</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53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2130101</w:t>
            </w:r>
          </w:p>
        </w:tc>
        <w:tc>
          <w:tcPr>
            <w:tcW w:w="2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行政运行</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100.34</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100.34</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53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2130199</w:t>
            </w:r>
          </w:p>
        </w:tc>
        <w:tc>
          <w:tcPr>
            <w:tcW w:w="2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其他农业支出</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214.00</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214.00</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53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2130705</w:t>
            </w:r>
          </w:p>
        </w:tc>
        <w:tc>
          <w:tcPr>
            <w:tcW w:w="2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对村民委员会和村党支部的补助</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202.17</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202.17</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53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2299901</w:t>
            </w:r>
          </w:p>
        </w:tc>
        <w:tc>
          <w:tcPr>
            <w:tcW w:w="28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其他支出</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121.64</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5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121.64</w:t>
            </w:r>
          </w:p>
        </w:tc>
      </w:tr>
    </w:tbl>
    <w:p>
      <w:pPr>
        <w:pStyle w:val="8"/>
        <w:rPr>
          <w:rFonts w:hint="eastAsia" w:ascii="Times New Roman" w:hAnsi="Times New Roman" w:cs="Times New Roman" w:eastAsiaTheme="minorEastAsia"/>
          <w:highlight w:val="yellow"/>
        </w:rPr>
      </w:pPr>
    </w:p>
    <w:p>
      <w:pPr>
        <w:pStyle w:val="9"/>
        <w:numPr>
          <w:ilvl w:val="0"/>
          <w:numId w:val="2"/>
        </w:numPr>
        <w:ind w:firstLineChars="0"/>
        <w:jc w:val="left"/>
        <w:outlineLvl w:val="1"/>
        <w:rPr>
          <w:rFonts w:ascii="黑体" w:hAnsi="仿宋" w:eastAsia="黑体"/>
          <w:sz w:val="32"/>
          <w:szCs w:val="32"/>
        </w:rPr>
      </w:pPr>
      <w:bookmarkStart w:id="35" w:name="_Toc31403_WPSOffice_Level2"/>
      <w:r>
        <w:rPr>
          <w:rFonts w:hint="eastAsia" w:ascii="黑体" w:hAnsi="仿宋" w:eastAsia="黑体"/>
          <w:sz w:val="32"/>
          <w:szCs w:val="32"/>
        </w:rPr>
        <w:t>一般公共预算财政拨款支出决算明细表</w:t>
      </w:r>
      <w:bookmarkEnd w:id="35"/>
    </w:p>
    <w:tbl>
      <w:tblPr>
        <w:tblStyle w:val="6"/>
        <w:tblW w:w="8986" w:type="dxa"/>
        <w:tblInd w:w="0" w:type="dxa"/>
        <w:shd w:val="clear" w:color="auto" w:fill="auto"/>
        <w:tblLayout w:type="fixed"/>
        <w:tblCellMar>
          <w:top w:w="0" w:type="dxa"/>
          <w:left w:w="0" w:type="dxa"/>
          <w:bottom w:w="0" w:type="dxa"/>
          <w:right w:w="0" w:type="dxa"/>
        </w:tblCellMar>
      </w:tblPr>
      <w:tblGrid>
        <w:gridCol w:w="1923"/>
        <w:gridCol w:w="3775"/>
        <w:gridCol w:w="3288"/>
      </w:tblGrid>
      <w:tr>
        <w:tblPrEx>
          <w:shd w:val="clear" w:color="auto" w:fill="auto"/>
          <w:tblLayout w:type="fixed"/>
          <w:tblCellMar>
            <w:top w:w="0" w:type="dxa"/>
            <w:left w:w="0" w:type="dxa"/>
            <w:bottom w:w="0" w:type="dxa"/>
            <w:right w:w="0" w:type="dxa"/>
          </w:tblCellMar>
        </w:tblPrEx>
        <w:trPr>
          <w:trHeight w:val="769" w:hRule="atLeast"/>
        </w:trPr>
        <w:tc>
          <w:tcPr>
            <w:tcW w:w="5698"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单位名称</w:t>
            </w:r>
          </w:p>
        </w:tc>
        <w:tc>
          <w:tcPr>
            <w:tcW w:w="3288" w:type="dxa"/>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上杭县蓝溪镇人民政府汇总</w:t>
            </w:r>
          </w:p>
        </w:tc>
      </w:tr>
      <w:tr>
        <w:tblPrEx>
          <w:tblLayout w:type="fixed"/>
          <w:tblCellMar>
            <w:top w:w="0" w:type="dxa"/>
            <w:left w:w="0" w:type="dxa"/>
            <w:bottom w:w="0" w:type="dxa"/>
            <w:right w:w="0" w:type="dxa"/>
          </w:tblCellMar>
        </w:tblPrEx>
        <w:trPr>
          <w:trHeight w:val="492" w:hRule="atLeast"/>
        </w:trPr>
        <w:tc>
          <w:tcPr>
            <w:tcW w:w="5698" w:type="dxa"/>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    目</w:t>
            </w:r>
          </w:p>
        </w:tc>
        <w:tc>
          <w:tcPr>
            <w:tcW w:w="3288" w:type="dxa"/>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合     计 </w:t>
            </w:r>
          </w:p>
        </w:tc>
      </w:tr>
      <w:tr>
        <w:tblPrEx>
          <w:tblLayout w:type="fixed"/>
          <w:tblCellMar>
            <w:top w:w="0" w:type="dxa"/>
            <w:left w:w="0" w:type="dxa"/>
            <w:bottom w:w="0" w:type="dxa"/>
            <w:right w:w="0" w:type="dxa"/>
          </w:tblCellMar>
        </w:tblPrEx>
        <w:trPr>
          <w:trHeight w:val="862" w:hRule="atLeast"/>
        </w:trPr>
        <w:tc>
          <w:tcPr>
            <w:tcW w:w="1923"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经济分类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科目编码</w:t>
            </w:r>
          </w:p>
        </w:tc>
        <w:tc>
          <w:tcPr>
            <w:tcW w:w="37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科目名称</w:t>
            </w:r>
          </w:p>
        </w:tc>
        <w:tc>
          <w:tcPr>
            <w:tcW w:w="3288"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862" w:hRule="atLeast"/>
        </w:trPr>
        <w:tc>
          <w:tcPr>
            <w:tcW w:w="5698" w:type="dxa"/>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         计</w:t>
            </w:r>
          </w:p>
        </w:tc>
        <w:tc>
          <w:tcPr>
            <w:tcW w:w="32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1,097.99</w:t>
            </w:r>
          </w:p>
        </w:tc>
      </w:tr>
      <w:tr>
        <w:tblPrEx>
          <w:tblLayout w:type="fixed"/>
          <w:tblCellMar>
            <w:top w:w="0" w:type="dxa"/>
            <w:left w:w="0" w:type="dxa"/>
            <w:bottom w:w="0" w:type="dxa"/>
            <w:right w:w="0" w:type="dxa"/>
          </w:tblCellMar>
        </w:tblPrEx>
        <w:trPr>
          <w:trHeight w:val="862" w:hRule="atLeast"/>
        </w:trPr>
        <w:tc>
          <w:tcPr>
            <w:tcW w:w="192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w:t>
            </w:r>
          </w:p>
        </w:tc>
        <w:tc>
          <w:tcPr>
            <w:tcW w:w="37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工资福利支出</w:t>
            </w:r>
          </w:p>
        </w:tc>
        <w:tc>
          <w:tcPr>
            <w:tcW w:w="32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918.58</w:t>
            </w:r>
          </w:p>
        </w:tc>
      </w:tr>
      <w:tr>
        <w:tblPrEx>
          <w:tblLayout w:type="fixed"/>
          <w:tblCellMar>
            <w:top w:w="0" w:type="dxa"/>
            <w:left w:w="0" w:type="dxa"/>
            <w:bottom w:w="0" w:type="dxa"/>
            <w:right w:w="0" w:type="dxa"/>
          </w:tblCellMar>
        </w:tblPrEx>
        <w:trPr>
          <w:trHeight w:val="862" w:hRule="atLeast"/>
        </w:trPr>
        <w:tc>
          <w:tcPr>
            <w:tcW w:w="192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w:t>
            </w:r>
          </w:p>
        </w:tc>
        <w:tc>
          <w:tcPr>
            <w:tcW w:w="37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商品和服务支出</w:t>
            </w:r>
          </w:p>
        </w:tc>
        <w:tc>
          <w:tcPr>
            <w:tcW w:w="32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27.99</w:t>
            </w:r>
          </w:p>
        </w:tc>
      </w:tr>
      <w:tr>
        <w:tblPrEx>
          <w:tblLayout w:type="fixed"/>
          <w:tblCellMar>
            <w:top w:w="0" w:type="dxa"/>
            <w:left w:w="0" w:type="dxa"/>
            <w:bottom w:w="0" w:type="dxa"/>
            <w:right w:w="0" w:type="dxa"/>
          </w:tblCellMar>
        </w:tblPrEx>
        <w:trPr>
          <w:trHeight w:val="862" w:hRule="atLeast"/>
        </w:trPr>
        <w:tc>
          <w:tcPr>
            <w:tcW w:w="192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303</w:t>
            </w:r>
          </w:p>
        </w:tc>
        <w:tc>
          <w:tcPr>
            <w:tcW w:w="37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对个人和家庭的补助</w:t>
            </w:r>
          </w:p>
        </w:tc>
        <w:tc>
          <w:tcPr>
            <w:tcW w:w="32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29.78</w:t>
            </w:r>
          </w:p>
        </w:tc>
      </w:tr>
      <w:tr>
        <w:tblPrEx>
          <w:tblLayout w:type="fixed"/>
          <w:tblCellMar>
            <w:top w:w="0" w:type="dxa"/>
            <w:left w:w="0" w:type="dxa"/>
            <w:bottom w:w="0" w:type="dxa"/>
            <w:right w:w="0" w:type="dxa"/>
          </w:tblCellMar>
        </w:tblPrEx>
        <w:trPr>
          <w:trHeight w:val="862" w:hRule="atLeast"/>
        </w:trPr>
        <w:tc>
          <w:tcPr>
            <w:tcW w:w="192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311</w:t>
            </w:r>
          </w:p>
        </w:tc>
        <w:tc>
          <w:tcPr>
            <w:tcW w:w="37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资本性支出（基本建设）</w:t>
            </w:r>
          </w:p>
        </w:tc>
        <w:tc>
          <w:tcPr>
            <w:tcW w:w="32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862" w:hRule="atLeast"/>
        </w:trPr>
        <w:tc>
          <w:tcPr>
            <w:tcW w:w="192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310</w:t>
            </w:r>
          </w:p>
        </w:tc>
        <w:tc>
          <w:tcPr>
            <w:tcW w:w="37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资本性支出</w:t>
            </w:r>
          </w:p>
        </w:tc>
        <w:tc>
          <w:tcPr>
            <w:tcW w:w="32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121.64</w:t>
            </w:r>
          </w:p>
        </w:tc>
      </w:tr>
      <w:tr>
        <w:tblPrEx>
          <w:tblLayout w:type="fixed"/>
          <w:tblCellMar>
            <w:top w:w="0" w:type="dxa"/>
            <w:left w:w="0" w:type="dxa"/>
            <w:bottom w:w="0" w:type="dxa"/>
            <w:right w:w="0" w:type="dxa"/>
          </w:tblCellMar>
        </w:tblPrEx>
        <w:trPr>
          <w:trHeight w:val="862" w:hRule="atLeast"/>
        </w:trPr>
        <w:tc>
          <w:tcPr>
            <w:tcW w:w="192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311</w:t>
            </w:r>
          </w:p>
        </w:tc>
        <w:tc>
          <w:tcPr>
            <w:tcW w:w="37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对企业补助（基本建设）</w:t>
            </w:r>
          </w:p>
        </w:tc>
        <w:tc>
          <w:tcPr>
            <w:tcW w:w="32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862" w:hRule="atLeast"/>
        </w:trPr>
        <w:tc>
          <w:tcPr>
            <w:tcW w:w="192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312</w:t>
            </w:r>
          </w:p>
        </w:tc>
        <w:tc>
          <w:tcPr>
            <w:tcW w:w="37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对企业补助</w:t>
            </w:r>
          </w:p>
        </w:tc>
        <w:tc>
          <w:tcPr>
            <w:tcW w:w="32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862" w:hRule="atLeast"/>
        </w:trPr>
        <w:tc>
          <w:tcPr>
            <w:tcW w:w="192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307</w:t>
            </w:r>
          </w:p>
        </w:tc>
        <w:tc>
          <w:tcPr>
            <w:tcW w:w="37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债务利息及费用支出</w:t>
            </w:r>
          </w:p>
        </w:tc>
        <w:tc>
          <w:tcPr>
            <w:tcW w:w="32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862" w:hRule="atLeast"/>
        </w:trPr>
        <w:tc>
          <w:tcPr>
            <w:tcW w:w="192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399</w:t>
            </w:r>
          </w:p>
        </w:tc>
        <w:tc>
          <w:tcPr>
            <w:tcW w:w="37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其他支出</w:t>
            </w:r>
          </w:p>
        </w:tc>
        <w:tc>
          <w:tcPr>
            <w:tcW w:w="32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bl>
    <w:p>
      <w:pPr>
        <w:pStyle w:val="8"/>
        <w:rPr>
          <w:rFonts w:hint="eastAsia" w:ascii="Times New Roman" w:hAnsi="Times New Roman" w:cs="Times New Roman" w:eastAsiaTheme="minorEastAsia"/>
          <w:highlight w:val="yellow"/>
        </w:rPr>
      </w:pPr>
    </w:p>
    <w:p>
      <w:pPr>
        <w:pStyle w:val="9"/>
        <w:numPr>
          <w:ilvl w:val="0"/>
          <w:numId w:val="2"/>
        </w:numPr>
        <w:ind w:firstLineChars="0"/>
        <w:jc w:val="left"/>
        <w:outlineLvl w:val="1"/>
        <w:rPr>
          <w:rFonts w:ascii="黑体" w:hAnsi="仿宋" w:eastAsia="黑体"/>
          <w:sz w:val="32"/>
          <w:szCs w:val="32"/>
        </w:rPr>
      </w:pPr>
      <w:bookmarkStart w:id="36" w:name="_Toc29552_WPSOffice_Level2"/>
      <w:r>
        <w:rPr>
          <w:rFonts w:hint="eastAsia" w:ascii="黑体" w:hAnsi="仿宋" w:eastAsia="黑体"/>
          <w:sz w:val="32"/>
          <w:szCs w:val="32"/>
        </w:rPr>
        <w:t>一般公共预算财政拨款基本支出决算表</w:t>
      </w:r>
      <w:bookmarkEnd w:id="36"/>
      <w:r>
        <w:rPr>
          <w:rFonts w:hint="eastAsia" w:ascii="黑体" w:hAnsi="仿宋" w:eastAsia="黑体"/>
          <w:sz w:val="32"/>
          <w:szCs w:val="32"/>
        </w:rPr>
        <w:t xml:space="preserve"> </w:t>
      </w:r>
    </w:p>
    <w:tbl>
      <w:tblPr>
        <w:tblStyle w:val="6"/>
        <w:tblW w:w="8986" w:type="dxa"/>
        <w:tblInd w:w="0" w:type="dxa"/>
        <w:shd w:val="clear" w:color="auto" w:fill="auto"/>
        <w:tblLayout w:type="fixed"/>
        <w:tblCellMar>
          <w:top w:w="0" w:type="dxa"/>
          <w:left w:w="0" w:type="dxa"/>
          <w:bottom w:w="0" w:type="dxa"/>
          <w:right w:w="0" w:type="dxa"/>
        </w:tblCellMar>
      </w:tblPr>
      <w:tblGrid>
        <w:gridCol w:w="1205"/>
        <w:gridCol w:w="3830"/>
        <w:gridCol w:w="1437"/>
        <w:gridCol w:w="1255"/>
        <w:gridCol w:w="1259"/>
      </w:tblGrid>
      <w:tr>
        <w:tblPrEx>
          <w:shd w:val="clear" w:color="auto" w:fill="auto"/>
          <w:tblLayout w:type="fixed"/>
          <w:tblCellMar>
            <w:top w:w="0" w:type="dxa"/>
            <w:left w:w="0" w:type="dxa"/>
            <w:bottom w:w="0" w:type="dxa"/>
            <w:right w:w="0" w:type="dxa"/>
          </w:tblCellMar>
        </w:tblPrEx>
        <w:trPr>
          <w:trHeight w:val="769" w:hRule="atLeast"/>
        </w:trPr>
        <w:tc>
          <w:tcPr>
            <w:tcW w:w="5035"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单位名称</w:t>
            </w:r>
          </w:p>
        </w:tc>
        <w:tc>
          <w:tcPr>
            <w:tcW w:w="3951" w:type="dxa"/>
            <w:gridSpan w:val="3"/>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上杭县蓝溪镇人民政府汇总</w:t>
            </w:r>
          </w:p>
        </w:tc>
      </w:tr>
      <w:tr>
        <w:tblPrEx>
          <w:tblLayout w:type="fixed"/>
          <w:tblCellMar>
            <w:top w:w="0" w:type="dxa"/>
            <w:left w:w="0" w:type="dxa"/>
            <w:bottom w:w="0" w:type="dxa"/>
            <w:right w:w="0" w:type="dxa"/>
          </w:tblCellMar>
        </w:tblPrEx>
        <w:trPr>
          <w:trHeight w:val="446" w:hRule="atLeast"/>
        </w:trPr>
        <w:tc>
          <w:tcPr>
            <w:tcW w:w="5035" w:type="dxa"/>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    目</w:t>
            </w:r>
          </w:p>
        </w:tc>
        <w:tc>
          <w:tcPr>
            <w:tcW w:w="1437" w:type="dxa"/>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合     计 </w:t>
            </w:r>
          </w:p>
        </w:tc>
        <w:tc>
          <w:tcPr>
            <w:tcW w:w="1255" w:type="dxa"/>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人员经费</w:t>
            </w:r>
          </w:p>
        </w:tc>
        <w:tc>
          <w:tcPr>
            <w:tcW w:w="1259" w:type="dxa"/>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公用经费</w:t>
            </w:r>
          </w:p>
        </w:tc>
      </w:tr>
      <w:tr>
        <w:tblPrEx>
          <w:tblLayout w:type="fixed"/>
          <w:tblCellMar>
            <w:top w:w="0" w:type="dxa"/>
            <w:left w:w="0" w:type="dxa"/>
            <w:bottom w:w="0" w:type="dxa"/>
            <w:right w:w="0" w:type="dxa"/>
          </w:tblCellMar>
        </w:tblPrEx>
        <w:trPr>
          <w:trHeight w:val="708" w:hRule="atLeast"/>
        </w:trPr>
        <w:tc>
          <w:tcPr>
            <w:tcW w:w="1205"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经济分类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科目编码</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科目名称</w:t>
            </w:r>
          </w:p>
        </w:tc>
        <w:tc>
          <w:tcPr>
            <w:tcW w:w="1437"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55"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59"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567" w:hRule="atLeast"/>
        </w:trPr>
        <w:tc>
          <w:tcPr>
            <w:tcW w:w="5035" w:type="dxa"/>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         计</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976.35</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948.36</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27.99</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工资福利支出</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918.58</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918.58</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30101</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基本工资</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172.02</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172.02</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30102</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津贴补贴</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153.46</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153.46</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30103</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奖金</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219.08</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219.08</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30106</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伙食补助费</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30107</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绩效工资</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30108</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机关事业单位基本养老保险缴费</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103.04</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103.04</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30109</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职业年金缴费</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30110</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职工基本医疗保险缴费</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30111</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公务员医疗补助缴费</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20.00</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30112</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其他社会保障缴费</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30113</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住房公积金</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38.05</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38.05</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30114</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医疗费</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30199</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其他工资福利支出</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212.93</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212.93</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商品和服务支出</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27.99</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27.99</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30201</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办公费</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30202</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印刷费</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30203</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咨询费</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30204</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手续费</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30205</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水费</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30206</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电费</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30207</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邮电费</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30208</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取暖费</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30209</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物业管理费</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30211</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差旅费</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30212</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因公出国(境)费用 </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30213</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维修(护)费</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30214</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租赁费</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30215</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会议费</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30216</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培训费</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30217</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公务接待费</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19.99</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19.99</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30218</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专用材料费</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30224</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被装购置费</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30225</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专用燃料费</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30226</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劳务费</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30227</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委托业务费</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30228</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工会经费</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30229</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福利费</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30231</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公务用车运行维护费</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30239</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其他交通费用</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30240</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税金及附加费用</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30299</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其他商品和服务支出</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303</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对个人和家庭的补助</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29.78</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29.78</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30301</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离休费</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30302</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退休费</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30303</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退职(役)费</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30304</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抚恤金</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14.22</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14.22</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30305</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生活补助</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15.56</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15.56</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30306</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救济费</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30307</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医疗费</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30308</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助学金</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30309</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奖励金</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30310</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个人农业生产补贴</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30399</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其他对个人和家庭的补助支出</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310</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资本性支出</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31001</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房屋建筑物购建</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31002</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办公设备购置</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31003</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专用设备购置</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31005</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基础设施建设</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31006</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大型修缮</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31007</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信息网络及软件购置更新</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31008</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物资储备</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31009</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土地补偿</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31010</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安置补助</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31011</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地上附着物和青苗补偿</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31012</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拆迁补偿</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31013</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公务用车购置</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31019</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其他交通工具购置</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31021</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文物和陈列品购置</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31022</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无形资产购置</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31099</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其他资本性支出</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312</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对企业补助</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31201</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资本金注入</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31203</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政府投资基金股权投资</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31204</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费用补贴</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31205</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利息补贴</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31299</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其他对企业补助</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307</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债务利息及费用支出</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30701</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国内债务付息</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30702</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国外债务付息</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30703</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国内债务发行费用</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30704</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国外债务发行费用</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399</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其他支出</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39906</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赠与</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39907</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国家赔偿费用支出</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39908</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对民间非营利组织和群众性自治组织补贴</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567" w:hRule="atLeast"/>
        </w:trPr>
        <w:tc>
          <w:tcPr>
            <w:tcW w:w="120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39999</w:t>
            </w:r>
          </w:p>
        </w:tc>
        <w:tc>
          <w:tcPr>
            <w:tcW w:w="38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其他支出</w:t>
            </w:r>
          </w:p>
        </w:tc>
        <w:tc>
          <w:tcPr>
            <w:tcW w:w="143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2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2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bl>
    <w:p>
      <w:pPr>
        <w:jc w:val="left"/>
        <w:rPr>
          <w:rFonts w:ascii="黑体" w:hAnsi="仿宋" w:eastAsia="黑体"/>
          <w:sz w:val="32"/>
          <w:szCs w:val="32"/>
        </w:rPr>
      </w:pPr>
    </w:p>
    <w:p>
      <w:pPr>
        <w:pStyle w:val="8"/>
        <w:rPr>
          <w:rFonts w:hint="eastAsia" w:ascii="Times New Roman" w:hAnsi="Times New Roman" w:cs="Times New Roman" w:eastAsiaTheme="minorEastAsia"/>
          <w:highlight w:val="yellow"/>
        </w:rPr>
      </w:pPr>
    </w:p>
    <w:p>
      <w:pPr>
        <w:jc w:val="left"/>
        <w:outlineLvl w:val="1"/>
        <w:rPr>
          <w:rFonts w:ascii="黑体" w:hAnsi="仿宋" w:eastAsia="黑体"/>
          <w:sz w:val="32"/>
          <w:szCs w:val="32"/>
        </w:rPr>
      </w:pPr>
      <w:bookmarkStart w:id="37" w:name="_Toc23048_WPSOffice_Level2"/>
      <w:r>
        <w:rPr>
          <w:rFonts w:hint="eastAsia" w:ascii="黑体" w:hAnsi="仿宋" w:eastAsia="黑体"/>
          <w:sz w:val="32"/>
          <w:szCs w:val="32"/>
        </w:rPr>
        <w:t>八、政府性基金预算财政拨款收入支出决算表</w:t>
      </w:r>
      <w:bookmarkEnd w:id="37"/>
      <w:r>
        <w:rPr>
          <w:rFonts w:hint="eastAsia" w:ascii="黑体" w:hAnsi="仿宋" w:eastAsia="黑体"/>
          <w:sz w:val="32"/>
          <w:szCs w:val="32"/>
        </w:rPr>
        <w:t xml:space="preserve"> </w:t>
      </w:r>
    </w:p>
    <w:tbl>
      <w:tblPr>
        <w:tblStyle w:val="6"/>
        <w:tblW w:w="9168" w:type="dxa"/>
        <w:tblInd w:w="93" w:type="dxa"/>
        <w:tblLayout w:type="fixed"/>
        <w:tblCellMar>
          <w:top w:w="0" w:type="dxa"/>
          <w:left w:w="108" w:type="dxa"/>
          <w:bottom w:w="0" w:type="dxa"/>
          <w:right w:w="108" w:type="dxa"/>
        </w:tblCellMar>
      </w:tblPr>
      <w:tblGrid>
        <w:gridCol w:w="436"/>
        <w:gridCol w:w="436"/>
        <w:gridCol w:w="436"/>
        <w:gridCol w:w="1280"/>
        <w:gridCol w:w="1000"/>
        <w:gridCol w:w="1020"/>
        <w:gridCol w:w="1020"/>
        <w:gridCol w:w="1160"/>
        <w:gridCol w:w="1150"/>
        <w:gridCol w:w="1230"/>
      </w:tblGrid>
      <w:tr>
        <w:tblPrEx>
          <w:tblLayout w:type="fixed"/>
          <w:tblCellMar>
            <w:top w:w="0" w:type="dxa"/>
            <w:left w:w="108" w:type="dxa"/>
            <w:bottom w:w="0" w:type="dxa"/>
            <w:right w:w="108" w:type="dxa"/>
          </w:tblCellMar>
        </w:tblPrEx>
        <w:trPr>
          <w:trHeight w:val="735" w:hRule="atLeast"/>
        </w:trPr>
        <w:tc>
          <w:tcPr>
            <w:tcW w:w="9168" w:type="dxa"/>
            <w:gridSpan w:val="10"/>
            <w:tcBorders>
              <w:top w:val="nil"/>
              <w:left w:val="nil"/>
              <w:bottom w:val="nil"/>
              <w:right w:val="nil"/>
            </w:tcBorders>
            <w:shd w:val="clear" w:color="auto" w:fill="auto"/>
            <w:noWrap/>
            <w:vAlign w:val="center"/>
          </w:tcPr>
          <w:p>
            <w:pPr>
              <w:widowControl/>
              <w:spacing w:line="240" w:lineRule="auto"/>
              <w:jc w:val="center"/>
              <w:rPr>
                <w:rFonts w:ascii="宋体" w:hAnsi="宋体" w:eastAsia="宋体" w:cs="Arial"/>
                <w:color w:val="000000"/>
                <w:kern w:val="0"/>
                <w:sz w:val="44"/>
                <w:szCs w:val="44"/>
              </w:rPr>
            </w:pPr>
            <w:r>
              <w:rPr>
                <w:rFonts w:hint="eastAsia" w:ascii="黑体" w:hAnsi="Arial" w:eastAsia="黑体" w:cs="Arial"/>
                <w:color w:val="000000"/>
                <w:kern w:val="0"/>
                <w:sz w:val="36"/>
                <w:szCs w:val="36"/>
              </w:rPr>
              <w:t>政府性基金预算财政拨款收入支出决算表</w:t>
            </w:r>
          </w:p>
        </w:tc>
      </w:tr>
      <w:tr>
        <w:tblPrEx>
          <w:tblLayout w:type="fixed"/>
          <w:tblCellMar>
            <w:top w:w="0" w:type="dxa"/>
            <w:left w:w="108" w:type="dxa"/>
            <w:bottom w:w="0" w:type="dxa"/>
            <w:right w:w="108" w:type="dxa"/>
          </w:tblCellMar>
        </w:tblPrEx>
        <w:trPr>
          <w:trHeight w:val="300" w:hRule="atLeast"/>
        </w:trPr>
        <w:tc>
          <w:tcPr>
            <w:tcW w:w="436" w:type="dxa"/>
            <w:tcBorders>
              <w:top w:val="nil"/>
              <w:left w:val="nil"/>
              <w:bottom w:val="nil"/>
              <w:right w:val="nil"/>
            </w:tcBorders>
            <w:shd w:val="clear" w:color="auto" w:fill="auto"/>
            <w:noWrap/>
            <w:vAlign w:val="bottom"/>
          </w:tcPr>
          <w:p>
            <w:pPr>
              <w:widowControl/>
              <w:spacing w:line="240" w:lineRule="auto"/>
              <w:jc w:val="left"/>
              <w:rPr>
                <w:rFonts w:ascii="Arial" w:hAnsi="Arial" w:eastAsia="宋体" w:cs="Arial"/>
                <w:color w:val="000000"/>
                <w:kern w:val="0"/>
                <w:sz w:val="20"/>
                <w:szCs w:val="20"/>
              </w:rPr>
            </w:pPr>
          </w:p>
        </w:tc>
        <w:tc>
          <w:tcPr>
            <w:tcW w:w="436" w:type="dxa"/>
            <w:tcBorders>
              <w:top w:val="nil"/>
              <w:left w:val="nil"/>
              <w:bottom w:val="nil"/>
              <w:right w:val="nil"/>
            </w:tcBorders>
            <w:shd w:val="clear" w:color="auto" w:fill="auto"/>
            <w:noWrap/>
            <w:vAlign w:val="bottom"/>
          </w:tcPr>
          <w:p>
            <w:pPr>
              <w:widowControl/>
              <w:spacing w:line="240" w:lineRule="auto"/>
              <w:jc w:val="left"/>
              <w:rPr>
                <w:rFonts w:ascii="Arial" w:hAnsi="Arial" w:eastAsia="宋体" w:cs="Arial"/>
                <w:color w:val="000000"/>
                <w:kern w:val="0"/>
                <w:sz w:val="20"/>
                <w:szCs w:val="20"/>
              </w:rPr>
            </w:pPr>
          </w:p>
        </w:tc>
        <w:tc>
          <w:tcPr>
            <w:tcW w:w="436" w:type="dxa"/>
            <w:tcBorders>
              <w:top w:val="nil"/>
              <w:left w:val="nil"/>
              <w:bottom w:val="nil"/>
              <w:right w:val="nil"/>
            </w:tcBorders>
            <w:shd w:val="clear" w:color="auto" w:fill="auto"/>
            <w:noWrap/>
            <w:vAlign w:val="bottom"/>
          </w:tcPr>
          <w:p>
            <w:pPr>
              <w:widowControl/>
              <w:spacing w:line="240" w:lineRule="auto"/>
              <w:jc w:val="left"/>
              <w:rPr>
                <w:rFonts w:ascii="Arial" w:hAnsi="Arial" w:eastAsia="宋体" w:cs="Arial"/>
                <w:color w:val="000000"/>
                <w:kern w:val="0"/>
                <w:sz w:val="20"/>
                <w:szCs w:val="20"/>
              </w:rPr>
            </w:pPr>
          </w:p>
        </w:tc>
        <w:tc>
          <w:tcPr>
            <w:tcW w:w="1280" w:type="dxa"/>
            <w:tcBorders>
              <w:top w:val="nil"/>
              <w:left w:val="nil"/>
              <w:bottom w:val="nil"/>
              <w:right w:val="nil"/>
            </w:tcBorders>
            <w:shd w:val="clear" w:color="auto" w:fill="auto"/>
            <w:noWrap/>
            <w:vAlign w:val="bottom"/>
          </w:tcPr>
          <w:p>
            <w:pPr>
              <w:widowControl/>
              <w:spacing w:line="240" w:lineRule="auto"/>
              <w:jc w:val="left"/>
              <w:rPr>
                <w:rFonts w:ascii="Arial" w:hAnsi="Arial" w:eastAsia="宋体" w:cs="Arial"/>
                <w:color w:val="000000"/>
                <w:kern w:val="0"/>
                <w:sz w:val="20"/>
                <w:szCs w:val="20"/>
              </w:rPr>
            </w:pPr>
          </w:p>
        </w:tc>
        <w:tc>
          <w:tcPr>
            <w:tcW w:w="1000" w:type="dxa"/>
            <w:tcBorders>
              <w:top w:val="nil"/>
              <w:left w:val="nil"/>
              <w:bottom w:val="nil"/>
              <w:right w:val="nil"/>
            </w:tcBorders>
            <w:shd w:val="clear" w:color="auto" w:fill="auto"/>
            <w:noWrap/>
            <w:vAlign w:val="bottom"/>
          </w:tcPr>
          <w:p>
            <w:pPr>
              <w:widowControl/>
              <w:spacing w:line="240" w:lineRule="auto"/>
              <w:jc w:val="left"/>
              <w:rPr>
                <w:rFonts w:ascii="Arial" w:hAnsi="Arial" w:eastAsia="宋体" w:cs="Arial"/>
                <w:color w:val="000000"/>
                <w:kern w:val="0"/>
                <w:sz w:val="20"/>
                <w:szCs w:val="20"/>
              </w:rPr>
            </w:pPr>
          </w:p>
        </w:tc>
        <w:tc>
          <w:tcPr>
            <w:tcW w:w="1020" w:type="dxa"/>
            <w:tcBorders>
              <w:top w:val="nil"/>
              <w:left w:val="nil"/>
              <w:bottom w:val="nil"/>
              <w:right w:val="nil"/>
            </w:tcBorders>
            <w:shd w:val="clear" w:color="auto" w:fill="auto"/>
            <w:noWrap/>
            <w:vAlign w:val="bottom"/>
          </w:tcPr>
          <w:p>
            <w:pPr>
              <w:widowControl/>
              <w:spacing w:line="240" w:lineRule="auto"/>
              <w:jc w:val="left"/>
              <w:rPr>
                <w:rFonts w:ascii="Arial" w:hAnsi="Arial" w:eastAsia="宋体" w:cs="Arial"/>
                <w:color w:val="000000"/>
                <w:kern w:val="0"/>
                <w:sz w:val="20"/>
                <w:szCs w:val="20"/>
              </w:rPr>
            </w:pPr>
          </w:p>
        </w:tc>
        <w:tc>
          <w:tcPr>
            <w:tcW w:w="1020" w:type="dxa"/>
            <w:tcBorders>
              <w:top w:val="nil"/>
              <w:left w:val="nil"/>
              <w:bottom w:val="nil"/>
              <w:right w:val="nil"/>
            </w:tcBorders>
            <w:shd w:val="clear" w:color="auto" w:fill="auto"/>
            <w:noWrap/>
            <w:vAlign w:val="bottom"/>
          </w:tcPr>
          <w:p>
            <w:pPr>
              <w:widowControl/>
              <w:spacing w:line="240" w:lineRule="auto"/>
              <w:jc w:val="left"/>
              <w:rPr>
                <w:rFonts w:ascii="Arial" w:hAnsi="Arial" w:eastAsia="宋体" w:cs="Arial"/>
                <w:color w:val="000000"/>
                <w:kern w:val="0"/>
                <w:sz w:val="20"/>
                <w:szCs w:val="20"/>
              </w:rPr>
            </w:pPr>
          </w:p>
        </w:tc>
        <w:tc>
          <w:tcPr>
            <w:tcW w:w="1160" w:type="dxa"/>
            <w:tcBorders>
              <w:top w:val="nil"/>
              <w:left w:val="nil"/>
              <w:bottom w:val="nil"/>
              <w:right w:val="nil"/>
            </w:tcBorders>
            <w:shd w:val="clear" w:color="auto" w:fill="auto"/>
            <w:noWrap/>
            <w:vAlign w:val="bottom"/>
          </w:tcPr>
          <w:p>
            <w:pPr>
              <w:widowControl/>
              <w:spacing w:line="240" w:lineRule="auto"/>
              <w:jc w:val="left"/>
              <w:rPr>
                <w:rFonts w:ascii="Arial" w:hAnsi="Arial" w:eastAsia="宋体" w:cs="Arial"/>
                <w:color w:val="000000"/>
                <w:kern w:val="0"/>
                <w:sz w:val="20"/>
                <w:szCs w:val="20"/>
              </w:rPr>
            </w:pPr>
          </w:p>
        </w:tc>
        <w:tc>
          <w:tcPr>
            <w:tcW w:w="1150" w:type="dxa"/>
            <w:tcBorders>
              <w:top w:val="nil"/>
              <w:left w:val="nil"/>
              <w:bottom w:val="nil"/>
              <w:right w:val="nil"/>
            </w:tcBorders>
            <w:shd w:val="clear" w:color="auto" w:fill="auto"/>
            <w:noWrap/>
            <w:vAlign w:val="bottom"/>
          </w:tcPr>
          <w:p>
            <w:pPr>
              <w:widowControl/>
              <w:spacing w:line="240" w:lineRule="auto"/>
              <w:jc w:val="left"/>
              <w:rPr>
                <w:rFonts w:ascii="Arial" w:hAnsi="Arial" w:eastAsia="宋体" w:cs="Arial"/>
                <w:color w:val="000000"/>
                <w:kern w:val="0"/>
                <w:sz w:val="20"/>
                <w:szCs w:val="20"/>
              </w:rPr>
            </w:pPr>
          </w:p>
        </w:tc>
        <w:tc>
          <w:tcPr>
            <w:tcW w:w="1230" w:type="dxa"/>
            <w:tcBorders>
              <w:top w:val="nil"/>
              <w:left w:val="nil"/>
              <w:bottom w:val="nil"/>
              <w:right w:val="nil"/>
            </w:tcBorders>
            <w:shd w:val="clear" w:color="auto" w:fill="auto"/>
            <w:noWrap/>
            <w:vAlign w:val="bottom"/>
          </w:tcPr>
          <w:p>
            <w:pPr>
              <w:widowControl/>
              <w:spacing w:line="240" w:lineRule="auto"/>
              <w:jc w:val="right"/>
              <w:rPr>
                <w:rFonts w:ascii="宋体" w:hAnsi="宋体" w:eastAsia="宋体" w:cs="Arial"/>
                <w:color w:val="000000"/>
                <w:kern w:val="0"/>
                <w:sz w:val="24"/>
                <w:szCs w:val="24"/>
              </w:rPr>
            </w:pPr>
          </w:p>
        </w:tc>
      </w:tr>
      <w:tr>
        <w:tblPrEx>
          <w:tblLayout w:type="fixed"/>
          <w:tblCellMar>
            <w:top w:w="0" w:type="dxa"/>
            <w:left w:w="108" w:type="dxa"/>
            <w:bottom w:w="0" w:type="dxa"/>
            <w:right w:w="108" w:type="dxa"/>
          </w:tblCellMar>
        </w:tblPrEx>
        <w:trPr>
          <w:trHeight w:val="315" w:hRule="atLeast"/>
        </w:trPr>
        <w:tc>
          <w:tcPr>
            <w:tcW w:w="2588" w:type="dxa"/>
            <w:gridSpan w:val="4"/>
            <w:tcBorders>
              <w:top w:val="nil"/>
              <w:left w:val="nil"/>
              <w:bottom w:val="nil"/>
              <w:right w:val="nil"/>
            </w:tcBorders>
            <w:shd w:val="clear" w:color="auto" w:fill="auto"/>
            <w:noWrap/>
            <w:vAlign w:val="bottom"/>
          </w:tcPr>
          <w:p>
            <w:pPr>
              <w:widowControl/>
              <w:spacing w:line="240" w:lineRule="auto"/>
              <w:jc w:val="left"/>
              <w:rPr>
                <w:rFonts w:ascii="宋体" w:hAnsi="宋体" w:eastAsia="宋体" w:cs="Arial"/>
                <w:color w:val="000000"/>
                <w:kern w:val="0"/>
                <w:sz w:val="24"/>
                <w:szCs w:val="24"/>
              </w:rPr>
            </w:pPr>
            <w:r>
              <w:rPr>
                <w:rFonts w:hint="eastAsia" w:ascii="宋体" w:hAnsi="宋体" w:eastAsia="宋体" w:cs="Arial"/>
                <w:color w:val="000000"/>
                <w:kern w:val="0"/>
                <w:sz w:val="24"/>
                <w:szCs w:val="24"/>
              </w:rPr>
              <w:t>编制单位：</w:t>
            </w:r>
          </w:p>
        </w:tc>
        <w:tc>
          <w:tcPr>
            <w:tcW w:w="1000" w:type="dxa"/>
            <w:tcBorders>
              <w:top w:val="nil"/>
              <w:left w:val="nil"/>
              <w:bottom w:val="nil"/>
              <w:right w:val="nil"/>
            </w:tcBorders>
            <w:shd w:val="clear" w:color="auto" w:fill="auto"/>
            <w:noWrap/>
            <w:vAlign w:val="bottom"/>
          </w:tcPr>
          <w:p>
            <w:pPr>
              <w:widowControl/>
              <w:spacing w:line="240" w:lineRule="auto"/>
              <w:jc w:val="left"/>
              <w:rPr>
                <w:rFonts w:ascii="Arial" w:hAnsi="Arial" w:eastAsia="宋体" w:cs="Arial"/>
                <w:color w:val="000000"/>
                <w:kern w:val="0"/>
                <w:sz w:val="20"/>
                <w:szCs w:val="20"/>
              </w:rPr>
            </w:pPr>
          </w:p>
        </w:tc>
        <w:tc>
          <w:tcPr>
            <w:tcW w:w="1020" w:type="dxa"/>
            <w:tcBorders>
              <w:top w:val="nil"/>
              <w:left w:val="nil"/>
              <w:bottom w:val="nil"/>
              <w:right w:val="nil"/>
            </w:tcBorders>
            <w:shd w:val="clear" w:color="auto" w:fill="auto"/>
            <w:noWrap/>
            <w:vAlign w:val="bottom"/>
          </w:tcPr>
          <w:p>
            <w:pPr>
              <w:widowControl/>
              <w:spacing w:line="240" w:lineRule="auto"/>
              <w:jc w:val="center"/>
              <w:rPr>
                <w:rFonts w:ascii="宋体" w:hAnsi="宋体" w:eastAsia="宋体" w:cs="Arial"/>
                <w:color w:val="000000"/>
                <w:kern w:val="0"/>
                <w:sz w:val="24"/>
                <w:szCs w:val="24"/>
              </w:rPr>
            </w:pPr>
          </w:p>
        </w:tc>
        <w:tc>
          <w:tcPr>
            <w:tcW w:w="1020" w:type="dxa"/>
            <w:tcBorders>
              <w:top w:val="nil"/>
              <w:left w:val="nil"/>
              <w:bottom w:val="nil"/>
              <w:right w:val="nil"/>
            </w:tcBorders>
            <w:shd w:val="clear" w:color="auto" w:fill="auto"/>
            <w:noWrap/>
            <w:vAlign w:val="bottom"/>
          </w:tcPr>
          <w:p>
            <w:pPr>
              <w:widowControl/>
              <w:spacing w:line="240" w:lineRule="auto"/>
              <w:jc w:val="left"/>
              <w:rPr>
                <w:rFonts w:ascii="Arial" w:hAnsi="Arial" w:eastAsia="宋体" w:cs="Arial"/>
                <w:color w:val="000000"/>
                <w:kern w:val="0"/>
                <w:sz w:val="20"/>
                <w:szCs w:val="20"/>
              </w:rPr>
            </w:pPr>
          </w:p>
        </w:tc>
        <w:tc>
          <w:tcPr>
            <w:tcW w:w="1160" w:type="dxa"/>
            <w:tcBorders>
              <w:top w:val="nil"/>
              <w:left w:val="nil"/>
              <w:bottom w:val="nil"/>
              <w:right w:val="nil"/>
            </w:tcBorders>
            <w:shd w:val="clear" w:color="auto" w:fill="auto"/>
            <w:noWrap/>
            <w:vAlign w:val="bottom"/>
          </w:tcPr>
          <w:p>
            <w:pPr>
              <w:widowControl/>
              <w:spacing w:line="240" w:lineRule="auto"/>
              <w:jc w:val="left"/>
              <w:rPr>
                <w:rFonts w:ascii="Arial" w:hAnsi="Arial" w:eastAsia="宋体" w:cs="Arial"/>
                <w:color w:val="000000"/>
                <w:kern w:val="0"/>
                <w:sz w:val="20"/>
                <w:szCs w:val="20"/>
              </w:rPr>
            </w:pPr>
          </w:p>
        </w:tc>
        <w:tc>
          <w:tcPr>
            <w:tcW w:w="2380" w:type="dxa"/>
            <w:gridSpan w:val="2"/>
            <w:tcBorders>
              <w:top w:val="nil"/>
              <w:left w:val="nil"/>
              <w:bottom w:val="nil"/>
              <w:right w:val="nil"/>
            </w:tcBorders>
            <w:shd w:val="clear" w:color="auto" w:fill="auto"/>
            <w:noWrap/>
            <w:vAlign w:val="bottom"/>
          </w:tcPr>
          <w:p>
            <w:pPr>
              <w:widowControl/>
              <w:spacing w:line="240" w:lineRule="auto"/>
              <w:jc w:val="right"/>
              <w:rPr>
                <w:rFonts w:ascii="宋体" w:hAnsi="宋体" w:eastAsia="宋体" w:cs="Arial"/>
                <w:color w:val="000000"/>
                <w:kern w:val="0"/>
                <w:sz w:val="24"/>
                <w:szCs w:val="24"/>
              </w:rPr>
            </w:pPr>
            <w:r>
              <w:rPr>
                <w:rFonts w:hint="eastAsia" w:ascii="宋体" w:hAnsi="宋体" w:eastAsia="宋体" w:cs="Arial"/>
                <w:color w:val="000000"/>
                <w:kern w:val="0"/>
                <w:sz w:val="24"/>
                <w:szCs w:val="24"/>
              </w:rPr>
              <w:t>单位：万元</w:t>
            </w:r>
          </w:p>
        </w:tc>
      </w:tr>
      <w:tr>
        <w:tblPrEx>
          <w:tblLayout w:type="fixed"/>
          <w:tblCellMar>
            <w:top w:w="0" w:type="dxa"/>
            <w:left w:w="108" w:type="dxa"/>
            <w:bottom w:w="0" w:type="dxa"/>
            <w:right w:w="108" w:type="dxa"/>
          </w:tblCellMar>
        </w:tblPrEx>
        <w:trPr>
          <w:trHeight w:val="308" w:hRule="atLeast"/>
        </w:trPr>
        <w:tc>
          <w:tcPr>
            <w:tcW w:w="2588" w:type="dxa"/>
            <w:gridSpan w:val="4"/>
            <w:tcBorders>
              <w:top w:val="single" w:color="000000" w:sz="8" w:space="0"/>
              <w:left w:val="single" w:color="000000" w:sz="8" w:space="0"/>
              <w:bottom w:val="single" w:color="000000" w:sz="4" w:space="0"/>
              <w:right w:val="single" w:color="000000" w:sz="4" w:space="0"/>
            </w:tcBorders>
            <w:shd w:val="clear" w:color="auto" w:fill="auto"/>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100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年初结转和结余</w:t>
            </w:r>
          </w:p>
        </w:tc>
        <w:tc>
          <w:tcPr>
            <w:tcW w:w="102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本年收入</w:t>
            </w:r>
          </w:p>
        </w:tc>
        <w:tc>
          <w:tcPr>
            <w:tcW w:w="3330" w:type="dxa"/>
            <w:gridSpan w:val="3"/>
            <w:tcBorders>
              <w:top w:val="single" w:color="000000" w:sz="8" w:space="0"/>
              <w:left w:val="nil"/>
              <w:bottom w:val="single" w:color="000000" w:sz="4" w:space="0"/>
              <w:right w:val="single" w:color="000000" w:sz="4" w:space="0"/>
            </w:tcBorders>
            <w:shd w:val="clear" w:color="auto" w:fill="auto"/>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本年支出</w:t>
            </w:r>
          </w:p>
        </w:tc>
        <w:tc>
          <w:tcPr>
            <w:tcW w:w="123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年末结转和结余</w:t>
            </w:r>
          </w:p>
        </w:tc>
      </w:tr>
      <w:tr>
        <w:tblPrEx>
          <w:tblLayout w:type="fixed"/>
          <w:tblCellMar>
            <w:top w:w="0" w:type="dxa"/>
            <w:left w:w="108" w:type="dxa"/>
            <w:bottom w:w="0" w:type="dxa"/>
            <w:right w:w="108" w:type="dxa"/>
          </w:tblCellMar>
        </w:tblPrEx>
        <w:trPr>
          <w:trHeight w:val="312" w:hRule="atLeast"/>
        </w:trPr>
        <w:tc>
          <w:tcPr>
            <w:tcW w:w="1308" w:type="dxa"/>
            <w:gridSpan w:val="3"/>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支出功能分类科目编码</w:t>
            </w:r>
          </w:p>
        </w:tc>
        <w:tc>
          <w:tcPr>
            <w:tcW w:w="1280" w:type="dxa"/>
            <w:vMerge w:val="restart"/>
            <w:tcBorders>
              <w:top w:val="nil"/>
              <w:left w:val="nil"/>
              <w:bottom w:val="single" w:color="000000" w:sz="4" w:space="0"/>
              <w:right w:val="single" w:color="000000" w:sz="4" w:space="0"/>
            </w:tcBorders>
            <w:shd w:val="clear" w:color="auto" w:fill="auto"/>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000" w:type="dxa"/>
            <w:vMerge w:val="continue"/>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000000"/>
                <w:kern w:val="0"/>
                <w:sz w:val="22"/>
              </w:rPr>
            </w:pPr>
          </w:p>
        </w:tc>
        <w:tc>
          <w:tcPr>
            <w:tcW w:w="1020" w:type="dxa"/>
            <w:vMerge w:val="continue"/>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000000"/>
                <w:kern w:val="0"/>
                <w:sz w:val="22"/>
              </w:rPr>
            </w:pPr>
          </w:p>
        </w:tc>
        <w:tc>
          <w:tcPr>
            <w:tcW w:w="1020" w:type="dxa"/>
            <w:vMerge w:val="restart"/>
            <w:tcBorders>
              <w:top w:val="nil"/>
              <w:left w:val="nil"/>
              <w:bottom w:val="single" w:color="000000" w:sz="4" w:space="0"/>
              <w:right w:val="single" w:color="000000" w:sz="4" w:space="0"/>
            </w:tcBorders>
            <w:shd w:val="clear" w:color="auto" w:fill="auto"/>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小计</w:t>
            </w:r>
          </w:p>
        </w:tc>
        <w:tc>
          <w:tcPr>
            <w:tcW w:w="1160" w:type="dxa"/>
            <w:vMerge w:val="restart"/>
            <w:tcBorders>
              <w:top w:val="nil"/>
              <w:left w:val="single" w:color="000000" w:sz="4" w:space="0"/>
              <w:bottom w:val="nil"/>
              <w:right w:val="single" w:color="000000" w:sz="4" w:space="0"/>
            </w:tcBorders>
            <w:shd w:val="clear" w:color="auto" w:fill="auto"/>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基本支出</w:t>
            </w:r>
          </w:p>
        </w:tc>
        <w:tc>
          <w:tcPr>
            <w:tcW w:w="1150" w:type="dxa"/>
            <w:vMerge w:val="restart"/>
            <w:tcBorders>
              <w:top w:val="nil"/>
              <w:left w:val="nil"/>
              <w:bottom w:val="single" w:color="000000" w:sz="4" w:space="0"/>
              <w:right w:val="single" w:color="000000" w:sz="4" w:space="0"/>
            </w:tcBorders>
            <w:shd w:val="clear" w:color="auto" w:fill="auto"/>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项目支出</w:t>
            </w:r>
          </w:p>
        </w:tc>
        <w:tc>
          <w:tcPr>
            <w:tcW w:w="1230" w:type="dxa"/>
            <w:vMerge w:val="continue"/>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000000"/>
                <w:kern w:val="0"/>
                <w:sz w:val="22"/>
              </w:rPr>
            </w:pPr>
          </w:p>
        </w:tc>
      </w:tr>
      <w:tr>
        <w:tblPrEx>
          <w:tblLayout w:type="fixed"/>
        </w:tblPrEx>
        <w:trPr>
          <w:trHeight w:val="312" w:hRule="atLeast"/>
        </w:trPr>
        <w:tc>
          <w:tcPr>
            <w:tcW w:w="1308" w:type="dxa"/>
            <w:gridSpan w:val="3"/>
            <w:vMerge w:val="continue"/>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color w:val="000000"/>
                <w:kern w:val="0"/>
                <w:sz w:val="22"/>
              </w:rPr>
            </w:pPr>
          </w:p>
        </w:tc>
        <w:tc>
          <w:tcPr>
            <w:tcW w:w="1280" w:type="dxa"/>
            <w:vMerge w:val="continue"/>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000000"/>
                <w:kern w:val="0"/>
                <w:sz w:val="22"/>
              </w:rPr>
            </w:pPr>
          </w:p>
        </w:tc>
        <w:tc>
          <w:tcPr>
            <w:tcW w:w="1000" w:type="dxa"/>
            <w:vMerge w:val="continue"/>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000000"/>
                <w:kern w:val="0"/>
                <w:sz w:val="22"/>
              </w:rPr>
            </w:pPr>
          </w:p>
        </w:tc>
        <w:tc>
          <w:tcPr>
            <w:tcW w:w="1020" w:type="dxa"/>
            <w:vMerge w:val="continue"/>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000000"/>
                <w:kern w:val="0"/>
                <w:sz w:val="22"/>
              </w:rPr>
            </w:pPr>
          </w:p>
        </w:tc>
        <w:tc>
          <w:tcPr>
            <w:tcW w:w="1020" w:type="dxa"/>
            <w:vMerge w:val="continue"/>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000000"/>
                <w:kern w:val="0"/>
                <w:sz w:val="22"/>
              </w:rPr>
            </w:pPr>
          </w:p>
        </w:tc>
        <w:tc>
          <w:tcPr>
            <w:tcW w:w="1160" w:type="dxa"/>
            <w:vMerge w:val="continue"/>
            <w:tcBorders>
              <w:top w:val="nil"/>
              <w:left w:val="single" w:color="000000" w:sz="4" w:space="0"/>
              <w:bottom w:val="nil"/>
              <w:right w:val="single" w:color="000000" w:sz="4" w:space="0"/>
            </w:tcBorders>
            <w:vAlign w:val="center"/>
          </w:tcPr>
          <w:p>
            <w:pPr>
              <w:widowControl/>
              <w:spacing w:line="240" w:lineRule="auto"/>
              <w:jc w:val="left"/>
              <w:rPr>
                <w:rFonts w:ascii="宋体" w:hAnsi="宋体" w:eastAsia="宋体" w:cs="Arial"/>
                <w:color w:val="000000"/>
                <w:kern w:val="0"/>
                <w:sz w:val="22"/>
              </w:rPr>
            </w:pPr>
          </w:p>
        </w:tc>
        <w:tc>
          <w:tcPr>
            <w:tcW w:w="1150" w:type="dxa"/>
            <w:vMerge w:val="continue"/>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000000"/>
                <w:kern w:val="0"/>
                <w:sz w:val="22"/>
              </w:rPr>
            </w:pPr>
          </w:p>
        </w:tc>
        <w:tc>
          <w:tcPr>
            <w:tcW w:w="1230" w:type="dxa"/>
            <w:vMerge w:val="continue"/>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000000"/>
                <w:kern w:val="0"/>
                <w:sz w:val="22"/>
              </w:rPr>
            </w:pPr>
          </w:p>
        </w:tc>
      </w:tr>
      <w:tr>
        <w:tblPrEx>
          <w:tblLayout w:type="fixed"/>
          <w:tblCellMar>
            <w:top w:w="0" w:type="dxa"/>
            <w:left w:w="108" w:type="dxa"/>
            <w:bottom w:w="0" w:type="dxa"/>
            <w:right w:w="108" w:type="dxa"/>
          </w:tblCellMar>
        </w:tblPrEx>
        <w:trPr>
          <w:trHeight w:val="308" w:hRule="atLeast"/>
        </w:trPr>
        <w:tc>
          <w:tcPr>
            <w:tcW w:w="436" w:type="dxa"/>
            <w:vMerge w:val="restart"/>
            <w:tcBorders>
              <w:top w:val="nil"/>
              <w:left w:val="single" w:color="000000" w:sz="8" w:space="0"/>
              <w:bottom w:val="single" w:color="000000" w:sz="4" w:space="0"/>
              <w:right w:val="single" w:color="000000" w:sz="4" w:space="0"/>
            </w:tcBorders>
            <w:shd w:val="clear" w:color="auto" w:fill="auto"/>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类</w:t>
            </w:r>
          </w:p>
        </w:tc>
        <w:tc>
          <w:tcPr>
            <w:tcW w:w="436" w:type="dxa"/>
            <w:vMerge w:val="restart"/>
            <w:tcBorders>
              <w:top w:val="nil"/>
              <w:left w:val="nil"/>
              <w:bottom w:val="single" w:color="000000" w:sz="4" w:space="0"/>
              <w:right w:val="single" w:color="000000" w:sz="4" w:space="0"/>
            </w:tcBorders>
            <w:shd w:val="clear" w:color="auto" w:fill="auto"/>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款</w:t>
            </w:r>
          </w:p>
        </w:tc>
        <w:tc>
          <w:tcPr>
            <w:tcW w:w="436" w:type="dxa"/>
            <w:vMerge w:val="restart"/>
            <w:tcBorders>
              <w:top w:val="nil"/>
              <w:left w:val="nil"/>
              <w:bottom w:val="single" w:color="000000" w:sz="4" w:space="0"/>
              <w:right w:val="single" w:color="000000" w:sz="4" w:space="0"/>
            </w:tcBorders>
            <w:shd w:val="clear" w:color="auto" w:fill="auto"/>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项</w:t>
            </w:r>
          </w:p>
        </w:tc>
        <w:tc>
          <w:tcPr>
            <w:tcW w:w="1280" w:type="dxa"/>
            <w:tcBorders>
              <w:top w:val="nil"/>
              <w:left w:val="nil"/>
              <w:bottom w:val="single" w:color="000000" w:sz="4" w:space="0"/>
              <w:right w:val="single" w:color="000000" w:sz="4" w:space="0"/>
            </w:tcBorders>
            <w:shd w:val="clear" w:color="auto" w:fill="auto"/>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1000" w:type="dxa"/>
            <w:tcBorders>
              <w:top w:val="nil"/>
              <w:left w:val="nil"/>
              <w:bottom w:val="single" w:color="000000" w:sz="4" w:space="0"/>
              <w:right w:val="single" w:color="000000" w:sz="4" w:space="0"/>
            </w:tcBorders>
            <w:shd w:val="clear" w:color="auto" w:fill="auto"/>
            <w:noWrap/>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1020" w:type="dxa"/>
            <w:tcBorders>
              <w:top w:val="nil"/>
              <w:left w:val="nil"/>
              <w:bottom w:val="single" w:color="000000" w:sz="4" w:space="0"/>
              <w:right w:val="single" w:color="000000" w:sz="4" w:space="0"/>
            </w:tcBorders>
            <w:shd w:val="clear" w:color="auto" w:fill="auto"/>
            <w:noWrap/>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020" w:type="dxa"/>
            <w:tcBorders>
              <w:top w:val="nil"/>
              <w:left w:val="nil"/>
              <w:bottom w:val="single" w:color="000000" w:sz="4" w:space="0"/>
              <w:right w:val="single" w:color="000000" w:sz="4" w:space="0"/>
            </w:tcBorders>
            <w:shd w:val="clear" w:color="auto" w:fill="auto"/>
            <w:noWrap/>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7</w:t>
            </w:r>
          </w:p>
        </w:tc>
        <w:tc>
          <w:tcPr>
            <w:tcW w:w="116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8</w:t>
            </w:r>
          </w:p>
        </w:tc>
        <w:tc>
          <w:tcPr>
            <w:tcW w:w="1150" w:type="dxa"/>
            <w:tcBorders>
              <w:top w:val="nil"/>
              <w:left w:val="nil"/>
              <w:bottom w:val="single" w:color="000000" w:sz="4" w:space="0"/>
              <w:right w:val="single" w:color="000000" w:sz="4" w:space="0"/>
            </w:tcBorders>
            <w:shd w:val="clear" w:color="auto" w:fill="auto"/>
            <w:noWrap/>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11</w:t>
            </w:r>
          </w:p>
        </w:tc>
        <w:tc>
          <w:tcPr>
            <w:tcW w:w="1230" w:type="dxa"/>
            <w:tcBorders>
              <w:top w:val="nil"/>
              <w:left w:val="nil"/>
              <w:bottom w:val="single" w:color="000000" w:sz="4" w:space="0"/>
              <w:right w:val="single" w:color="000000" w:sz="4" w:space="0"/>
            </w:tcBorders>
            <w:shd w:val="clear" w:color="auto" w:fill="auto"/>
            <w:noWrap/>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12</w:t>
            </w:r>
          </w:p>
        </w:tc>
      </w:tr>
      <w:tr>
        <w:tblPrEx>
          <w:tblLayout w:type="fixed"/>
          <w:tblCellMar>
            <w:top w:w="0" w:type="dxa"/>
            <w:left w:w="108" w:type="dxa"/>
            <w:bottom w:w="0" w:type="dxa"/>
            <w:right w:w="108" w:type="dxa"/>
          </w:tblCellMar>
        </w:tblPrEx>
        <w:trPr>
          <w:trHeight w:val="308" w:hRule="atLeast"/>
        </w:trPr>
        <w:tc>
          <w:tcPr>
            <w:tcW w:w="436" w:type="dxa"/>
            <w:vMerge w:val="continue"/>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color w:val="000000"/>
                <w:kern w:val="0"/>
                <w:sz w:val="22"/>
              </w:rPr>
            </w:pPr>
          </w:p>
        </w:tc>
        <w:tc>
          <w:tcPr>
            <w:tcW w:w="436" w:type="dxa"/>
            <w:vMerge w:val="continue"/>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000000"/>
                <w:kern w:val="0"/>
                <w:sz w:val="22"/>
              </w:rPr>
            </w:pPr>
          </w:p>
        </w:tc>
        <w:tc>
          <w:tcPr>
            <w:tcW w:w="436" w:type="dxa"/>
            <w:vMerge w:val="continue"/>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000000"/>
                <w:kern w:val="0"/>
                <w:sz w:val="22"/>
              </w:rPr>
            </w:pPr>
          </w:p>
        </w:tc>
        <w:tc>
          <w:tcPr>
            <w:tcW w:w="1280" w:type="dxa"/>
            <w:tcBorders>
              <w:top w:val="nil"/>
              <w:left w:val="nil"/>
              <w:bottom w:val="single" w:color="000000" w:sz="4" w:space="0"/>
              <w:right w:val="single" w:color="000000" w:sz="4" w:space="0"/>
            </w:tcBorders>
            <w:shd w:val="clear" w:color="auto" w:fill="auto"/>
            <w:vAlign w:val="center"/>
          </w:tcPr>
          <w:p>
            <w:pPr>
              <w:widowControl/>
              <w:spacing w:line="240" w:lineRule="auto"/>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1000" w:type="dxa"/>
            <w:tcBorders>
              <w:top w:val="nil"/>
              <w:left w:val="nil"/>
              <w:bottom w:val="single" w:color="000000" w:sz="4" w:space="0"/>
              <w:right w:val="single" w:color="000000" w:sz="4" w:space="0"/>
            </w:tcBorders>
            <w:shd w:val="clear" w:color="auto" w:fill="auto"/>
            <w:noWrap/>
            <w:vAlign w:val="center"/>
          </w:tcPr>
          <w:p>
            <w:pPr>
              <w:widowControl/>
              <w:spacing w:line="240" w:lineRule="auto"/>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20" w:type="dxa"/>
            <w:tcBorders>
              <w:top w:val="nil"/>
              <w:left w:val="nil"/>
              <w:bottom w:val="single" w:color="000000" w:sz="4" w:space="0"/>
              <w:right w:val="single" w:color="000000" w:sz="4" w:space="0"/>
            </w:tcBorders>
            <w:shd w:val="clear" w:color="auto" w:fill="auto"/>
            <w:noWrap/>
            <w:vAlign w:val="center"/>
          </w:tcPr>
          <w:p>
            <w:pPr>
              <w:widowControl/>
              <w:spacing w:line="240" w:lineRule="auto"/>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20" w:type="dxa"/>
            <w:tcBorders>
              <w:top w:val="nil"/>
              <w:left w:val="nil"/>
              <w:bottom w:val="single" w:color="000000" w:sz="4" w:space="0"/>
              <w:right w:val="single" w:color="000000" w:sz="4" w:space="0"/>
            </w:tcBorders>
            <w:shd w:val="clear" w:color="auto" w:fill="auto"/>
            <w:noWrap/>
            <w:vAlign w:val="center"/>
          </w:tcPr>
          <w:p>
            <w:pPr>
              <w:widowControl/>
              <w:spacing w:line="240" w:lineRule="auto"/>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60" w:type="dxa"/>
            <w:tcBorders>
              <w:top w:val="nil"/>
              <w:left w:val="nil"/>
              <w:bottom w:val="single" w:color="000000" w:sz="4" w:space="0"/>
              <w:right w:val="single" w:color="000000" w:sz="4" w:space="0"/>
            </w:tcBorders>
            <w:shd w:val="clear" w:color="auto" w:fill="auto"/>
            <w:noWrap/>
            <w:vAlign w:val="center"/>
          </w:tcPr>
          <w:p>
            <w:pPr>
              <w:widowControl/>
              <w:spacing w:line="240" w:lineRule="auto"/>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50" w:type="dxa"/>
            <w:tcBorders>
              <w:top w:val="nil"/>
              <w:left w:val="nil"/>
              <w:bottom w:val="single" w:color="000000" w:sz="4" w:space="0"/>
              <w:right w:val="single" w:color="000000" w:sz="4" w:space="0"/>
            </w:tcBorders>
            <w:shd w:val="clear" w:color="auto" w:fill="auto"/>
            <w:noWrap/>
            <w:vAlign w:val="center"/>
          </w:tcPr>
          <w:p>
            <w:pPr>
              <w:widowControl/>
              <w:spacing w:line="240" w:lineRule="auto"/>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230" w:type="dxa"/>
            <w:tcBorders>
              <w:top w:val="nil"/>
              <w:left w:val="nil"/>
              <w:bottom w:val="single" w:color="000000" w:sz="4" w:space="0"/>
              <w:right w:val="single" w:color="000000" w:sz="4" w:space="0"/>
            </w:tcBorders>
            <w:shd w:val="clear" w:color="auto" w:fill="auto"/>
            <w:noWrap/>
            <w:vAlign w:val="center"/>
          </w:tcPr>
          <w:p>
            <w:pPr>
              <w:widowControl/>
              <w:spacing w:line="240" w:lineRule="auto"/>
              <w:jc w:val="right"/>
              <w:rPr>
                <w:rFonts w:ascii="宋体" w:hAnsi="宋体" w:eastAsia="宋体" w:cs="Arial"/>
                <w:color w:val="000000"/>
                <w:kern w:val="0"/>
                <w:sz w:val="22"/>
              </w:rPr>
            </w:pPr>
            <w:r>
              <w:rPr>
                <w:rFonts w:hint="eastAsia" w:ascii="宋体" w:hAnsi="宋体" w:eastAsia="宋体" w:cs="Arial"/>
                <w:color w:val="000000"/>
                <w:kern w:val="0"/>
                <w:sz w:val="22"/>
              </w:rPr>
              <w:t>　</w:t>
            </w:r>
          </w:p>
        </w:tc>
      </w:tr>
    </w:tbl>
    <w:p>
      <w:pPr>
        <w:ind w:firstLine="480" w:firstLineChars="150"/>
        <w:jc w:val="left"/>
        <w:rPr>
          <w:rFonts w:ascii="仿宋" w:hAnsi="仿宋" w:eastAsia="仿宋"/>
          <w:sz w:val="32"/>
          <w:szCs w:val="32"/>
        </w:rPr>
      </w:pPr>
    </w:p>
    <w:p>
      <w:pPr>
        <w:jc w:val="left"/>
        <w:outlineLvl w:val="1"/>
        <w:rPr>
          <w:rFonts w:ascii="黑体" w:hAnsi="仿宋" w:eastAsia="黑体"/>
          <w:sz w:val="32"/>
          <w:szCs w:val="32"/>
        </w:rPr>
      </w:pPr>
      <w:bookmarkStart w:id="38" w:name="_Toc7993_WPSOffice_Level2"/>
      <w:r>
        <w:rPr>
          <w:rFonts w:hint="eastAsia" w:ascii="黑体" w:hAnsi="仿宋" w:eastAsia="黑体"/>
          <w:sz w:val="32"/>
          <w:szCs w:val="32"/>
        </w:rPr>
        <w:t>九、机构运行信息表</w:t>
      </w:r>
      <w:bookmarkEnd w:id="38"/>
    </w:p>
    <w:tbl>
      <w:tblPr>
        <w:tblStyle w:val="6"/>
        <w:tblW w:w="8986" w:type="dxa"/>
        <w:tblInd w:w="0" w:type="dxa"/>
        <w:shd w:val="clear" w:color="auto" w:fill="auto"/>
        <w:tblLayout w:type="fixed"/>
        <w:tblCellMar>
          <w:top w:w="0" w:type="dxa"/>
          <w:left w:w="0" w:type="dxa"/>
          <w:bottom w:w="0" w:type="dxa"/>
          <w:right w:w="0" w:type="dxa"/>
        </w:tblCellMar>
      </w:tblPr>
      <w:tblGrid>
        <w:gridCol w:w="3230"/>
        <w:gridCol w:w="836"/>
        <w:gridCol w:w="4290"/>
        <w:gridCol w:w="630"/>
      </w:tblGrid>
      <w:tr>
        <w:tblPrEx>
          <w:shd w:val="clear" w:color="auto" w:fill="auto"/>
          <w:tblLayout w:type="fixed"/>
          <w:tblCellMar>
            <w:top w:w="0" w:type="dxa"/>
            <w:left w:w="0" w:type="dxa"/>
            <w:bottom w:w="0" w:type="dxa"/>
            <w:right w:w="0" w:type="dxa"/>
          </w:tblCellMar>
        </w:tblPrEx>
        <w:trPr>
          <w:trHeight w:val="769" w:hRule="atLeast"/>
        </w:trPr>
        <w:tc>
          <w:tcPr>
            <w:tcW w:w="32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单位名称</w:t>
            </w:r>
          </w:p>
        </w:tc>
        <w:tc>
          <w:tcPr>
            <w:tcW w:w="5756" w:type="dxa"/>
            <w:gridSpan w:val="3"/>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上杭县蓝溪镇人民政府汇总</w:t>
            </w:r>
          </w:p>
        </w:tc>
      </w:tr>
      <w:tr>
        <w:tblPrEx>
          <w:tblLayout w:type="fixed"/>
          <w:tblCellMar>
            <w:top w:w="0" w:type="dxa"/>
            <w:left w:w="0" w:type="dxa"/>
            <w:bottom w:w="0" w:type="dxa"/>
            <w:right w:w="0" w:type="dxa"/>
          </w:tblCellMar>
        </w:tblPrEx>
        <w:trPr>
          <w:trHeight w:val="308" w:hRule="atLeast"/>
        </w:trPr>
        <w:tc>
          <w:tcPr>
            <w:tcW w:w="3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  目</w:t>
            </w:r>
          </w:p>
        </w:tc>
        <w:tc>
          <w:tcPr>
            <w:tcW w:w="8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统计数</w:t>
            </w:r>
          </w:p>
        </w:tc>
        <w:tc>
          <w:tcPr>
            <w:tcW w:w="42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  目</w:t>
            </w:r>
          </w:p>
        </w:tc>
        <w:tc>
          <w:tcPr>
            <w:tcW w:w="6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统计数</w:t>
            </w:r>
          </w:p>
        </w:tc>
      </w:tr>
      <w:tr>
        <w:tblPrEx>
          <w:tblLayout w:type="fixed"/>
          <w:tblCellMar>
            <w:top w:w="0" w:type="dxa"/>
            <w:left w:w="0" w:type="dxa"/>
            <w:bottom w:w="0" w:type="dxa"/>
            <w:right w:w="0" w:type="dxa"/>
          </w:tblCellMar>
        </w:tblPrEx>
        <w:trPr>
          <w:trHeight w:val="308" w:hRule="atLeast"/>
        </w:trPr>
        <w:tc>
          <w:tcPr>
            <w:tcW w:w="3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一、“三公”经费支出</w:t>
            </w:r>
          </w:p>
        </w:tc>
        <w:tc>
          <w:tcPr>
            <w:tcW w:w="8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4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二、机关运行经费</w:t>
            </w: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27.99</w:t>
            </w:r>
          </w:p>
        </w:tc>
      </w:tr>
      <w:tr>
        <w:tblPrEx>
          <w:tblLayout w:type="fixed"/>
          <w:tblCellMar>
            <w:top w:w="0" w:type="dxa"/>
            <w:left w:w="0" w:type="dxa"/>
            <w:bottom w:w="0" w:type="dxa"/>
            <w:right w:w="0" w:type="dxa"/>
          </w:tblCellMar>
        </w:tblPrEx>
        <w:trPr>
          <w:trHeight w:val="308" w:hRule="atLeast"/>
        </w:trPr>
        <w:tc>
          <w:tcPr>
            <w:tcW w:w="3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（一）支出合计</w:t>
            </w:r>
          </w:p>
        </w:tc>
        <w:tc>
          <w:tcPr>
            <w:tcW w:w="8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24.99</w:t>
            </w:r>
          </w:p>
        </w:tc>
        <w:tc>
          <w:tcPr>
            <w:tcW w:w="4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（一）行政单位</w:t>
            </w: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27.99</w:t>
            </w:r>
          </w:p>
        </w:tc>
      </w:tr>
      <w:tr>
        <w:tblPrEx>
          <w:tblLayout w:type="fixed"/>
          <w:tblCellMar>
            <w:top w:w="0" w:type="dxa"/>
            <w:left w:w="0" w:type="dxa"/>
            <w:bottom w:w="0" w:type="dxa"/>
            <w:right w:w="0" w:type="dxa"/>
          </w:tblCellMar>
        </w:tblPrEx>
        <w:trPr>
          <w:trHeight w:val="308" w:hRule="atLeast"/>
        </w:trPr>
        <w:tc>
          <w:tcPr>
            <w:tcW w:w="3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1.因公出国（境）费</w:t>
            </w:r>
          </w:p>
        </w:tc>
        <w:tc>
          <w:tcPr>
            <w:tcW w:w="8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4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（二）参照公务员法管理事业单位</w:t>
            </w: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2.公务用车购置及运行维护费</w:t>
            </w:r>
          </w:p>
        </w:tc>
        <w:tc>
          <w:tcPr>
            <w:tcW w:w="8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w:t>
            </w:r>
          </w:p>
        </w:tc>
        <w:tc>
          <w:tcPr>
            <w:tcW w:w="4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三、国有资产占用情况</w:t>
            </w: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tblPrEx>
          <w:tblLayout w:type="fixed"/>
          <w:tblCellMar>
            <w:top w:w="0" w:type="dxa"/>
            <w:left w:w="0" w:type="dxa"/>
            <w:bottom w:w="0" w:type="dxa"/>
            <w:right w:w="0" w:type="dxa"/>
          </w:tblCellMar>
        </w:tblPrEx>
        <w:trPr>
          <w:trHeight w:val="308" w:hRule="atLeast"/>
        </w:trPr>
        <w:tc>
          <w:tcPr>
            <w:tcW w:w="3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（1）公务用车购置费</w:t>
            </w:r>
          </w:p>
        </w:tc>
        <w:tc>
          <w:tcPr>
            <w:tcW w:w="8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4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（一）车辆数合计（辆）</w:t>
            </w: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2.00</w:t>
            </w:r>
          </w:p>
        </w:tc>
      </w:tr>
      <w:tr>
        <w:tblPrEx>
          <w:tblLayout w:type="fixed"/>
          <w:tblCellMar>
            <w:top w:w="0" w:type="dxa"/>
            <w:left w:w="0" w:type="dxa"/>
            <w:bottom w:w="0" w:type="dxa"/>
            <w:right w:w="0" w:type="dxa"/>
          </w:tblCellMar>
        </w:tblPrEx>
        <w:trPr>
          <w:trHeight w:val="308" w:hRule="atLeast"/>
        </w:trPr>
        <w:tc>
          <w:tcPr>
            <w:tcW w:w="3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（2）公务用车运行维护费</w:t>
            </w:r>
          </w:p>
        </w:tc>
        <w:tc>
          <w:tcPr>
            <w:tcW w:w="8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w:t>
            </w:r>
          </w:p>
        </w:tc>
        <w:tc>
          <w:tcPr>
            <w:tcW w:w="4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1.副部（省）级及以上领导用车</w:t>
            </w: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3.公务接待费</w:t>
            </w:r>
          </w:p>
        </w:tc>
        <w:tc>
          <w:tcPr>
            <w:tcW w:w="8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19.99</w:t>
            </w:r>
          </w:p>
        </w:tc>
        <w:tc>
          <w:tcPr>
            <w:tcW w:w="4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2.主要领导干部用车</w:t>
            </w: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2.00</w:t>
            </w:r>
          </w:p>
        </w:tc>
      </w:tr>
      <w:tr>
        <w:tblPrEx>
          <w:tblLayout w:type="fixed"/>
          <w:tblCellMar>
            <w:top w:w="0" w:type="dxa"/>
            <w:left w:w="0" w:type="dxa"/>
            <w:bottom w:w="0" w:type="dxa"/>
            <w:right w:w="0" w:type="dxa"/>
          </w:tblCellMar>
        </w:tblPrEx>
        <w:trPr>
          <w:trHeight w:val="308" w:hRule="atLeast"/>
        </w:trPr>
        <w:tc>
          <w:tcPr>
            <w:tcW w:w="3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（1）国内接待费</w:t>
            </w:r>
          </w:p>
        </w:tc>
        <w:tc>
          <w:tcPr>
            <w:tcW w:w="8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19.99</w:t>
            </w:r>
          </w:p>
        </w:tc>
        <w:tc>
          <w:tcPr>
            <w:tcW w:w="4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3.机要通信用车</w:t>
            </w: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其中：外事接待费</w:t>
            </w:r>
          </w:p>
        </w:tc>
        <w:tc>
          <w:tcPr>
            <w:tcW w:w="8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4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4.应急保障用车</w:t>
            </w: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（2）国（境）外接待费</w:t>
            </w:r>
          </w:p>
        </w:tc>
        <w:tc>
          <w:tcPr>
            <w:tcW w:w="8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4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5.执法执勤用车</w:t>
            </w: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（二）相关统计数</w:t>
            </w:r>
          </w:p>
        </w:tc>
        <w:tc>
          <w:tcPr>
            <w:tcW w:w="8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4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6.特种专业技术用车</w:t>
            </w: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1.因公出国（境）团组数（个）</w:t>
            </w:r>
          </w:p>
        </w:tc>
        <w:tc>
          <w:tcPr>
            <w:tcW w:w="8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4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7.离退休干部用车</w:t>
            </w: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2.因公出国（境）人次数（人）</w:t>
            </w:r>
          </w:p>
        </w:tc>
        <w:tc>
          <w:tcPr>
            <w:tcW w:w="8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4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8.其他用车</w:t>
            </w: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3.公务用车购置数（辆）</w:t>
            </w:r>
          </w:p>
        </w:tc>
        <w:tc>
          <w:tcPr>
            <w:tcW w:w="8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4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（二）单价50万元以上通用设备（台，套）</w:t>
            </w: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4.公务用车保有量（辆）</w:t>
            </w:r>
          </w:p>
        </w:tc>
        <w:tc>
          <w:tcPr>
            <w:tcW w:w="8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2.00</w:t>
            </w:r>
          </w:p>
        </w:tc>
        <w:tc>
          <w:tcPr>
            <w:tcW w:w="4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（三）单价100万元以上专用设备（台，套）</w:t>
            </w: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5.国内公务接待批次（个）</w:t>
            </w:r>
          </w:p>
        </w:tc>
        <w:tc>
          <w:tcPr>
            <w:tcW w:w="8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467.00</w:t>
            </w:r>
          </w:p>
        </w:tc>
        <w:tc>
          <w:tcPr>
            <w:tcW w:w="4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四、政府采购支出信息</w:t>
            </w: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tblPrEx>
          <w:tblLayout w:type="fixed"/>
          <w:tblCellMar>
            <w:top w:w="0" w:type="dxa"/>
            <w:left w:w="0" w:type="dxa"/>
            <w:bottom w:w="0" w:type="dxa"/>
            <w:right w:w="0" w:type="dxa"/>
          </w:tblCellMar>
        </w:tblPrEx>
        <w:trPr>
          <w:trHeight w:val="308" w:hRule="atLeast"/>
        </w:trPr>
        <w:tc>
          <w:tcPr>
            <w:tcW w:w="3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其中：外事接待批次（个）</w:t>
            </w:r>
          </w:p>
        </w:tc>
        <w:tc>
          <w:tcPr>
            <w:tcW w:w="8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4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（一）政府采购支出合计</w:t>
            </w: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20.21</w:t>
            </w:r>
          </w:p>
        </w:tc>
      </w:tr>
      <w:tr>
        <w:tblPrEx>
          <w:tblLayout w:type="fixed"/>
          <w:tblCellMar>
            <w:top w:w="0" w:type="dxa"/>
            <w:left w:w="0" w:type="dxa"/>
            <w:bottom w:w="0" w:type="dxa"/>
            <w:right w:w="0" w:type="dxa"/>
          </w:tblCellMar>
        </w:tblPrEx>
        <w:trPr>
          <w:trHeight w:val="308" w:hRule="atLeast"/>
        </w:trPr>
        <w:tc>
          <w:tcPr>
            <w:tcW w:w="3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6.国内公务接待人次（人）</w:t>
            </w:r>
          </w:p>
        </w:tc>
        <w:tc>
          <w:tcPr>
            <w:tcW w:w="8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4,699.00</w:t>
            </w:r>
          </w:p>
        </w:tc>
        <w:tc>
          <w:tcPr>
            <w:tcW w:w="4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1．政府采购货物支出</w:t>
            </w: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20.21</w:t>
            </w:r>
          </w:p>
        </w:tc>
      </w:tr>
      <w:tr>
        <w:tblPrEx>
          <w:tblLayout w:type="fixed"/>
          <w:tblCellMar>
            <w:top w:w="0" w:type="dxa"/>
            <w:left w:w="0" w:type="dxa"/>
            <w:bottom w:w="0" w:type="dxa"/>
            <w:right w:w="0" w:type="dxa"/>
          </w:tblCellMar>
        </w:tblPrEx>
        <w:trPr>
          <w:trHeight w:val="308" w:hRule="atLeast"/>
        </w:trPr>
        <w:tc>
          <w:tcPr>
            <w:tcW w:w="3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其中：外事接待人次（人）</w:t>
            </w:r>
          </w:p>
        </w:tc>
        <w:tc>
          <w:tcPr>
            <w:tcW w:w="8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4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2．政府采购工程支出</w:t>
            </w: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7.国（境）外公务接待批次（个）</w:t>
            </w:r>
          </w:p>
        </w:tc>
        <w:tc>
          <w:tcPr>
            <w:tcW w:w="8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4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3．政府采购服务支出</w:t>
            </w: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8.国（境）外公务接待人次（人）</w:t>
            </w:r>
          </w:p>
        </w:tc>
        <w:tc>
          <w:tcPr>
            <w:tcW w:w="8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4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（二）政府采购授予中小企业合同金额</w:t>
            </w: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8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4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其中：授予小微企业合同金额</w:t>
            </w:r>
          </w:p>
        </w:tc>
        <w:tc>
          <w:tcPr>
            <w:tcW w:w="6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bl>
    <w:p>
      <w:pPr>
        <w:pStyle w:val="8"/>
        <w:rPr>
          <w:rFonts w:hint="eastAsia" w:ascii="Times New Roman" w:hAnsi="Times New Roman" w:cs="Times New Roman" w:eastAsiaTheme="minorEastAsia"/>
          <w:highlight w:val="yellow"/>
        </w:rPr>
      </w:pPr>
    </w:p>
    <w:p>
      <w:pPr>
        <w:spacing w:line="600" w:lineRule="exact"/>
        <w:jc w:val="center"/>
        <w:rPr>
          <w:rFonts w:ascii="黑体" w:hAnsi="黑体" w:eastAsia="黑体"/>
          <w:sz w:val="36"/>
          <w:szCs w:val="36"/>
        </w:rPr>
      </w:pPr>
    </w:p>
    <w:p>
      <w:pPr>
        <w:spacing w:line="600" w:lineRule="exact"/>
        <w:jc w:val="center"/>
        <w:outlineLvl w:val="0"/>
        <w:rPr>
          <w:rFonts w:ascii="黑体" w:hAnsi="黑体" w:eastAsia="黑体"/>
          <w:sz w:val="36"/>
          <w:szCs w:val="36"/>
        </w:rPr>
      </w:pPr>
      <w:bookmarkStart w:id="39" w:name="_Toc29320_WPSOffice_Level1"/>
      <w:r>
        <w:rPr>
          <w:rFonts w:hint="eastAsia" w:ascii="黑体" w:hAnsi="黑体" w:eastAsia="黑体"/>
          <w:sz w:val="36"/>
          <w:szCs w:val="36"/>
        </w:rPr>
        <w:t>第三部分 2019年度部门决算情况说明</w:t>
      </w:r>
      <w:bookmarkEnd w:id="39"/>
    </w:p>
    <w:p>
      <w:pPr>
        <w:spacing w:line="600" w:lineRule="exact"/>
        <w:rPr>
          <w:rFonts w:ascii="仿宋" w:hAnsi="仿宋" w:eastAsia="仿宋"/>
          <w:sz w:val="32"/>
          <w:szCs w:val="32"/>
        </w:rPr>
      </w:pPr>
    </w:p>
    <w:p>
      <w:pPr>
        <w:spacing w:line="600" w:lineRule="exact"/>
        <w:ind w:firstLine="643" w:firstLineChars="200"/>
        <w:outlineLvl w:val="1"/>
        <w:rPr>
          <w:rFonts w:hint="eastAsia" w:ascii="楷体_GB2312" w:hAnsi="楷体_GB2312" w:eastAsia="楷体_GB2312" w:cs="楷体_GB2312"/>
          <w:b/>
          <w:bCs/>
          <w:sz w:val="32"/>
          <w:szCs w:val="32"/>
        </w:rPr>
      </w:pPr>
      <w:bookmarkStart w:id="40" w:name="_Toc25000_WPSOffice_Level2"/>
      <w:r>
        <w:rPr>
          <w:rFonts w:hint="eastAsia" w:ascii="楷体_GB2312" w:hAnsi="楷体_GB2312" w:eastAsia="楷体_GB2312" w:cs="楷体_GB2312"/>
          <w:b/>
          <w:bCs/>
          <w:sz w:val="32"/>
          <w:szCs w:val="32"/>
        </w:rPr>
        <w:t>一、收入支出决算总体情况说明</w:t>
      </w:r>
      <w:bookmarkEnd w:id="40"/>
    </w:p>
    <w:p>
      <w:pPr>
        <w:tabs>
          <w:tab w:val="left" w:pos="7513"/>
        </w:tabs>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2019年</w:t>
      </w:r>
      <w:r>
        <w:rPr>
          <w:rFonts w:hint="eastAsia" w:ascii="仿宋_GB2312" w:hAnsi="仿宋_GB2312" w:eastAsia="仿宋_GB2312" w:cs="仿宋_GB2312"/>
          <w:sz w:val="32"/>
          <w:szCs w:val="32"/>
          <w:lang w:eastAsia="zh-CN"/>
        </w:rPr>
        <w:t>上</w:t>
      </w:r>
      <w:r>
        <w:rPr>
          <w:rFonts w:hint="eastAsia" w:ascii="仿宋_GB2312" w:hAnsi="仿宋_GB2312" w:eastAsia="仿宋_GB2312" w:cs="仿宋_GB2312"/>
          <w:sz w:val="32"/>
          <w:szCs w:val="32"/>
          <w:lang w:eastAsia="zh-CN"/>
        </w:rPr>
        <w:t>杭县蓝溪镇人民政府</w:t>
      </w:r>
      <w:r>
        <w:rPr>
          <w:rFonts w:hint="eastAsia" w:ascii="仿宋_GB2312" w:hAnsi="仿宋_GB2312" w:eastAsia="仿宋_GB2312" w:cs="仿宋_GB2312"/>
          <w:sz w:val="32"/>
          <w:szCs w:val="32"/>
        </w:rPr>
        <w:t>年初结转和结余</w:t>
      </w:r>
      <w:r>
        <w:rPr>
          <w:rFonts w:hint="eastAsia" w:ascii="仿宋_GB2312" w:hAnsi="仿宋_GB2312" w:eastAsia="仿宋_GB2312" w:cs="仿宋_GB2312"/>
          <w:sz w:val="32"/>
          <w:szCs w:val="32"/>
          <w:lang w:val="en-US" w:eastAsia="zh-CN"/>
        </w:rPr>
        <w:t>26.37</w:t>
      </w:r>
      <w:r>
        <w:rPr>
          <w:rFonts w:hint="eastAsia" w:ascii="仿宋_GB2312" w:hAnsi="仿宋_GB2312" w:eastAsia="仿宋_GB2312" w:cs="仿宋_GB2312"/>
          <w:sz w:val="32"/>
          <w:szCs w:val="32"/>
        </w:rPr>
        <w:t>万元，本年收入</w:t>
      </w:r>
      <w:r>
        <w:rPr>
          <w:rFonts w:hint="eastAsia" w:ascii="仿宋_GB2312" w:hAnsi="仿宋_GB2312" w:eastAsia="仿宋_GB2312" w:cs="仿宋_GB2312"/>
          <w:sz w:val="32"/>
          <w:szCs w:val="32"/>
          <w:lang w:val="en-US" w:eastAsia="zh-CN"/>
        </w:rPr>
        <w:t>1912</w:t>
      </w:r>
      <w:r>
        <w:rPr>
          <w:rFonts w:hint="eastAsia" w:ascii="仿宋_GB2312" w:hAnsi="仿宋_GB2312" w:eastAsia="仿宋_GB2312" w:cs="仿宋_GB2312"/>
          <w:sz w:val="32"/>
          <w:szCs w:val="32"/>
        </w:rPr>
        <w:t>万元，本年支出</w:t>
      </w:r>
      <w:r>
        <w:rPr>
          <w:rFonts w:hint="eastAsia" w:ascii="仿宋_GB2312" w:hAnsi="仿宋_GB2312" w:eastAsia="仿宋_GB2312" w:cs="仿宋_GB2312"/>
          <w:sz w:val="32"/>
          <w:szCs w:val="32"/>
          <w:lang w:val="en-US" w:eastAsia="zh-CN"/>
        </w:rPr>
        <w:t>1910</w:t>
      </w:r>
      <w:r>
        <w:rPr>
          <w:rFonts w:hint="eastAsia" w:ascii="仿宋_GB2312" w:hAnsi="仿宋_GB2312" w:eastAsia="仿宋_GB2312" w:cs="仿宋_GB2312"/>
          <w:sz w:val="32"/>
          <w:szCs w:val="32"/>
        </w:rPr>
        <w:t>万元，事业基金弥补收支差额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万元，结余分配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万元，年末结转和结余</w:t>
      </w:r>
      <w:r>
        <w:rPr>
          <w:rFonts w:hint="eastAsia" w:ascii="仿宋_GB2312" w:hAnsi="仿宋_GB2312" w:eastAsia="仿宋_GB2312" w:cs="仿宋_GB2312"/>
          <w:sz w:val="32"/>
          <w:szCs w:val="32"/>
          <w:lang w:val="en-US" w:eastAsia="zh-CN"/>
        </w:rPr>
        <w:t>26.37</w:t>
      </w:r>
      <w:r>
        <w:rPr>
          <w:rFonts w:hint="eastAsia" w:ascii="仿宋_GB2312" w:hAnsi="仿宋_GB2312" w:eastAsia="仿宋_GB2312" w:cs="仿宋_GB2312"/>
          <w:sz w:val="32"/>
          <w:szCs w:val="32"/>
        </w:rPr>
        <w:t>万元。</w:t>
      </w:r>
    </w:p>
    <w:p>
      <w:pPr>
        <w:autoSpaceDE w:val="0"/>
        <w:autoSpaceDN w:val="0"/>
        <w:adjustRightIn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（一）2019年收入</w:t>
      </w:r>
      <w:r>
        <w:rPr>
          <w:rFonts w:hint="eastAsia" w:ascii="仿宋_GB2312" w:hAnsi="仿宋_GB2312" w:eastAsia="仿宋_GB2312" w:cs="仿宋_GB2312"/>
          <w:sz w:val="32"/>
          <w:szCs w:val="32"/>
          <w:lang w:val="en-US" w:eastAsia="zh-CN"/>
        </w:rPr>
        <w:t>1912</w:t>
      </w:r>
      <w:r>
        <w:rPr>
          <w:rFonts w:hint="eastAsia" w:ascii="仿宋_GB2312" w:hAnsi="仿宋_GB2312" w:eastAsia="仿宋_GB2312" w:cs="仿宋_GB2312"/>
          <w:sz w:val="32"/>
          <w:szCs w:val="32"/>
        </w:rPr>
        <w:t>万元，比</w:t>
      </w:r>
      <w:r>
        <w:rPr>
          <w:rFonts w:hint="eastAsia" w:ascii="仿宋_GB2312" w:hAnsi="仿宋_GB2312" w:eastAsia="仿宋_GB2312" w:cs="仿宋_GB2312"/>
          <w:sz w:val="32"/>
          <w:szCs w:val="32"/>
          <w:lang w:val="en-US" w:eastAsia="zh-CN"/>
        </w:rPr>
        <w:t>2018</w:t>
      </w:r>
      <w:r>
        <w:rPr>
          <w:rFonts w:hint="eastAsia" w:ascii="仿宋_GB2312" w:hAnsi="仿宋_GB2312" w:eastAsia="仿宋_GB2312" w:cs="仿宋_GB2312"/>
          <w:sz w:val="32"/>
          <w:szCs w:val="32"/>
        </w:rPr>
        <w:t>年决算数增加</w:t>
      </w:r>
      <w:r>
        <w:rPr>
          <w:rFonts w:hint="eastAsia" w:ascii="仿宋_GB2312" w:hAnsi="仿宋_GB2312" w:eastAsia="仿宋_GB2312" w:cs="仿宋_GB2312"/>
          <w:sz w:val="32"/>
          <w:szCs w:val="32"/>
          <w:lang w:val="en-US" w:eastAsia="zh-CN"/>
        </w:rPr>
        <w:t>1772.79</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7.85</w:t>
      </w:r>
      <w:r>
        <w:rPr>
          <w:rFonts w:hint="eastAsia" w:ascii="仿宋_GB2312" w:hAnsi="仿宋_GB2312" w:eastAsia="仿宋_GB2312" w:cs="仿宋_GB2312"/>
          <w:sz w:val="32"/>
          <w:szCs w:val="32"/>
        </w:rPr>
        <w:t>％，具体情况如下：</w:t>
      </w:r>
    </w:p>
    <w:p>
      <w:pPr>
        <w:autoSpaceDE w:val="0"/>
        <w:autoSpaceDN w:val="0"/>
        <w:adjustRightInd w:val="0"/>
        <w:spacing w:line="600" w:lineRule="exact"/>
        <w:ind w:left="160" w:leftChars="76"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1.财政拨款收入</w:t>
      </w:r>
      <w:r>
        <w:rPr>
          <w:rFonts w:hint="eastAsia" w:ascii="仿宋_GB2312" w:hAnsi="仿宋_GB2312" w:eastAsia="仿宋_GB2312" w:cs="仿宋_GB2312"/>
          <w:sz w:val="32"/>
          <w:szCs w:val="32"/>
          <w:lang w:val="en-US" w:eastAsia="zh-CN"/>
        </w:rPr>
        <w:t>1097.99</w:t>
      </w:r>
      <w:r>
        <w:rPr>
          <w:rFonts w:hint="eastAsia" w:ascii="仿宋_GB2312" w:hAnsi="仿宋_GB2312" w:eastAsia="仿宋_GB2312" w:cs="仿宋_GB2312"/>
          <w:sz w:val="32"/>
          <w:szCs w:val="32"/>
        </w:rPr>
        <w:t>万元，其中政府性基金</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autoSpaceDE w:val="0"/>
        <w:autoSpaceDN w:val="0"/>
        <w:adjustRightIn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2.事业收入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autoSpaceDE w:val="0"/>
        <w:autoSpaceDN w:val="0"/>
        <w:adjustRightIn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3.经营收入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autoSpaceDE w:val="0"/>
        <w:autoSpaceDN w:val="0"/>
        <w:adjustRightIn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4.上级补助收入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autoSpaceDE w:val="0"/>
        <w:autoSpaceDN w:val="0"/>
        <w:adjustRightIn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5.附属单位上缴收入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autoSpaceDE w:val="0"/>
        <w:autoSpaceDN w:val="0"/>
        <w:adjustRightIn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6.其他收入</w:t>
      </w:r>
      <w:r>
        <w:rPr>
          <w:rFonts w:hint="eastAsia" w:ascii="仿宋_GB2312" w:hAnsi="仿宋_GB2312" w:eastAsia="仿宋_GB2312" w:cs="仿宋_GB2312"/>
          <w:sz w:val="32"/>
          <w:szCs w:val="32"/>
          <w:lang w:val="en-US" w:eastAsia="zh-CN"/>
        </w:rPr>
        <w:t>814.12</w:t>
      </w:r>
      <w:r>
        <w:rPr>
          <w:rFonts w:hint="eastAsia" w:ascii="仿宋_GB2312" w:hAnsi="仿宋_GB2312" w:eastAsia="仿宋_GB2312" w:cs="仿宋_GB2312"/>
          <w:sz w:val="32"/>
          <w:szCs w:val="32"/>
        </w:rPr>
        <w:t>万元。</w:t>
      </w:r>
    </w:p>
    <w:p>
      <w:pPr>
        <w:autoSpaceDE w:val="0"/>
        <w:autoSpaceDN w:val="0"/>
        <w:adjustRightIn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（二）2019年支出</w:t>
      </w:r>
      <w:r>
        <w:rPr>
          <w:rFonts w:hint="eastAsia" w:ascii="仿宋_GB2312" w:hAnsi="仿宋_GB2312" w:eastAsia="仿宋_GB2312" w:cs="仿宋_GB2312"/>
          <w:sz w:val="32"/>
          <w:szCs w:val="32"/>
          <w:lang w:val="en-US" w:eastAsia="zh-CN"/>
        </w:rPr>
        <w:t>1910</w:t>
      </w:r>
      <w:r>
        <w:rPr>
          <w:rFonts w:hint="eastAsia" w:ascii="仿宋_GB2312" w:hAnsi="仿宋_GB2312" w:eastAsia="仿宋_GB2312" w:cs="仿宋_GB2312"/>
          <w:sz w:val="32"/>
          <w:szCs w:val="32"/>
        </w:rPr>
        <w:t>万元，比</w:t>
      </w:r>
      <w:r>
        <w:rPr>
          <w:rFonts w:hint="eastAsia" w:ascii="仿宋_GB2312" w:hAnsi="仿宋_GB2312" w:eastAsia="仿宋_GB2312" w:cs="仿宋_GB2312"/>
          <w:sz w:val="32"/>
          <w:szCs w:val="32"/>
          <w:lang w:val="en-US" w:eastAsia="zh-CN"/>
        </w:rPr>
        <w:t>2018</w:t>
      </w:r>
      <w:r>
        <w:rPr>
          <w:rFonts w:hint="eastAsia" w:ascii="仿宋_GB2312" w:hAnsi="仿宋_GB2312" w:eastAsia="仿宋_GB2312" w:cs="仿宋_GB2312"/>
          <w:sz w:val="32"/>
          <w:szCs w:val="32"/>
        </w:rPr>
        <w:t>年决算数增加</w:t>
      </w:r>
      <w:r>
        <w:rPr>
          <w:rFonts w:hint="eastAsia" w:ascii="仿宋_GB2312" w:hAnsi="仿宋_GB2312" w:eastAsia="仿宋_GB2312" w:cs="仿宋_GB2312"/>
          <w:sz w:val="32"/>
          <w:szCs w:val="32"/>
          <w:lang w:val="en-US" w:eastAsia="zh-CN"/>
        </w:rPr>
        <w:t>187.21</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10.56</w:t>
      </w:r>
      <w:r>
        <w:rPr>
          <w:rFonts w:hint="eastAsia" w:ascii="仿宋_GB2312" w:hAnsi="仿宋_GB2312" w:eastAsia="仿宋_GB2312" w:cs="仿宋_GB2312"/>
          <w:sz w:val="32"/>
          <w:szCs w:val="32"/>
        </w:rPr>
        <w:t>％，具体情况如下：</w:t>
      </w:r>
    </w:p>
    <w:p>
      <w:pPr>
        <w:tabs>
          <w:tab w:val="left" w:pos="7513"/>
        </w:tabs>
        <w:adjustRightInd w:val="0"/>
        <w:snapToGrid w:val="0"/>
        <w:spacing w:line="600" w:lineRule="exact"/>
        <w:ind w:left="237" w:leftChars="113"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1.基本支出</w:t>
      </w:r>
      <w:r>
        <w:rPr>
          <w:rFonts w:hint="eastAsia" w:ascii="仿宋_GB2312" w:hAnsi="仿宋_GB2312" w:eastAsia="仿宋_GB2312" w:cs="仿宋_GB2312"/>
          <w:sz w:val="32"/>
          <w:szCs w:val="32"/>
          <w:lang w:val="en-US" w:eastAsia="zh-CN"/>
        </w:rPr>
        <w:t>1162.08</w:t>
      </w:r>
      <w:r>
        <w:rPr>
          <w:rFonts w:hint="eastAsia" w:ascii="仿宋_GB2312" w:hAnsi="仿宋_GB2312" w:eastAsia="仿宋_GB2312" w:cs="仿宋_GB2312"/>
          <w:sz w:val="32"/>
          <w:szCs w:val="32"/>
        </w:rPr>
        <w:t>万元。其中，人员支出</w:t>
      </w:r>
      <w:r>
        <w:rPr>
          <w:rFonts w:hint="eastAsia" w:ascii="仿宋_GB2312" w:hAnsi="仿宋_GB2312" w:eastAsia="仿宋_GB2312" w:cs="仿宋_GB2312"/>
          <w:sz w:val="32"/>
          <w:szCs w:val="32"/>
          <w:lang w:val="en-US" w:eastAsia="zh-CN"/>
        </w:rPr>
        <w:t>1134.08</w:t>
      </w:r>
      <w:r>
        <w:rPr>
          <w:rFonts w:hint="eastAsia" w:ascii="仿宋_GB2312" w:hAnsi="仿宋_GB2312" w:eastAsia="仿宋_GB2312" w:cs="仿宋_GB2312"/>
          <w:sz w:val="32"/>
          <w:szCs w:val="32"/>
        </w:rPr>
        <w:t>万元，公用支出</w:t>
      </w: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rPr>
        <w:t>万元。</w:t>
      </w:r>
    </w:p>
    <w:p>
      <w:pPr>
        <w:tabs>
          <w:tab w:val="left" w:pos="7513"/>
        </w:tabs>
        <w:adjustRightInd w:val="0"/>
        <w:snapToGrid w:val="0"/>
        <w:spacing w:line="600" w:lineRule="exact"/>
        <w:ind w:left="716" w:leftChars="34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2.项目支出</w:t>
      </w:r>
      <w:r>
        <w:rPr>
          <w:rFonts w:hint="eastAsia" w:ascii="仿宋_GB2312" w:hAnsi="仿宋_GB2312" w:eastAsia="仿宋_GB2312" w:cs="仿宋_GB2312"/>
          <w:sz w:val="32"/>
          <w:szCs w:val="32"/>
          <w:lang w:val="en-US" w:eastAsia="zh-CN"/>
        </w:rPr>
        <w:t>747.92</w:t>
      </w:r>
      <w:r>
        <w:rPr>
          <w:rFonts w:hint="eastAsia" w:ascii="仿宋_GB2312" w:hAnsi="仿宋_GB2312" w:eastAsia="仿宋_GB2312" w:cs="仿宋_GB2312"/>
          <w:sz w:val="32"/>
          <w:szCs w:val="32"/>
        </w:rPr>
        <w:t>万元。</w:t>
      </w:r>
    </w:p>
    <w:p>
      <w:pPr>
        <w:tabs>
          <w:tab w:val="left" w:pos="7513"/>
        </w:tabs>
        <w:adjustRightInd w:val="0"/>
        <w:snapToGrid w:val="0"/>
        <w:spacing w:line="600" w:lineRule="exact"/>
        <w:ind w:left="716" w:leftChars="34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3.上缴上级支出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bookmarkStart w:id="48" w:name="_GoBack"/>
      <w:bookmarkEnd w:id="48"/>
    </w:p>
    <w:p>
      <w:pPr>
        <w:tabs>
          <w:tab w:val="left" w:pos="7513"/>
        </w:tabs>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4.经营支出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5.对附属单位补助支出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spacing w:line="600" w:lineRule="exact"/>
        <w:ind w:firstLine="643" w:firstLineChars="200"/>
        <w:outlineLvl w:val="1"/>
        <w:rPr>
          <w:rFonts w:hint="eastAsia" w:ascii="楷体_GB2312" w:hAnsi="楷体_GB2312" w:eastAsia="楷体_GB2312" w:cs="楷体_GB2312"/>
          <w:b/>
          <w:bCs/>
          <w:sz w:val="32"/>
          <w:szCs w:val="32"/>
        </w:rPr>
      </w:pPr>
      <w:bookmarkStart w:id="41" w:name="_Toc11657_WPSOffice_Level2"/>
      <w:r>
        <w:rPr>
          <w:rFonts w:hint="eastAsia" w:ascii="楷体_GB2312" w:hAnsi="楷体_GB2312" w:eastAsia="楷体_GB2312" w:cs="楷体_GB2312"/>
          <w:b/>
          <w:bCs/>
          <w:sz w:val="32"/>
          <w:szCs w:val="32"/>
        </w:rPr>
        <w:t>二、一般公共预算拨款支出决算情况说明</w:t>
      </w:r>
      <w:bookmarkEnd w:id="41"/>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2019年一般公共预算拨款支出</w:t>
      </w:r>
      <w:r>
        <w:rPr>
          <w:rFonts w:hint="eastAsia" w:ascii="仿宋_GB2312" w:hAnsi="仿宋_GB2312" w:eastAsia="仿宋_GB2312" w:cs="仿宋_GB2312"/>
          <w:sz w:val="32"/>
          <w:szCs w:val="32"/>
          <w:lang w:val="en-US" w:eastAsia="zh-CN"/>
        </w:rPr>
        <w:t>1097.99</w:t>
      </w:r>
      <w:r>
        <w:rPr>
          <w:rFonts w:hint="eastAsia" w:ascii="仿宋_GB2312" w:hAnsi="仿宋_GB2312" w:eastAsia="仿宋_GB2312" w:cs="仿宋_GB2312"/>
          <w:sz w:val="32"/>
          <w:szCs w:val="32"/>
        </w:rPr>
        <w:t>万元，比上年决算数增加</w:t>
      </w:r>
      <w:r>
        <w:rPr>
          <w:rFonts w:hint="eastAsia" w:ascii="仿宋_GB2312" w:hAnsi="仿宋_GB2312" w:eastAsia="仿宋_GB2312" w:cs="仿宋_GB2312"/>
          <w:sz w:val="32"/>
          <w:szCs w:val="32"/>
          <w:lang w:val="en-US" w:eastAsia="zh-CN"/>
        </w:rPr>
        <w:t>153.52</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16.25</w:t>
      </w:r>
      <w:r>
        <w:rPr>
          <w:rFonts w:hint="eastAsia" w:ascii="仿宋_GB2312" w:hAnsi="仿宋_GB2312" w:eastAsia="仿宋_GB2312" w:cs="仿宋_GB2312"/>
          <w:sz w:val="32"/>
          <w:szCs w:val="32"/>
        </w:rPr>
        <w:t>%，具体情况如下(按项级科目分类统计)：</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（一）工资福利支出（项级科目）</w:t>
      </w:r>
      <w:r>
        <w:rPr>
          <w:rFonts w:hint="eastAsia" w:ascii="仿宋_GB2312" w:hAnsi="仿宋_GB2312" w:eastAsia="仿宋_GB2312" w:cs="仿宋_GB2312"/>
          <w:sz w:val="32"/>
          <w:szCs w:val="32"/>
          <w:lang w:val="en-US" w:eastAsia="zh-CN"/>
        </w:rPr>
        <w:t>918.58</w:t>
      </w:r>
      <w:r>
        <w:rPr>
          <w:rFonts w:hint="eastAsia" w:ascii="仿宋_GB2312" w:hAnsi="仿宋_GB2312" w:eastAsia="仿宋_GB2312" w:cs="仿宋_GB2312"/>
          <w:sz w:val="32"/>
          <w:szCs w:val="32"/>
        </w:rPr>
        <w:t>万元，较上年决算数增加</w:t>
      </w:r>
      <w:r>
        <w:rPr>
          <w:rFonts w:hint="eastAsia" w:ascii="仿宋_GB2312" w:hAnsi="仿宋_GB2312" w:eastAsia="仿宋_GB2312" w:cs="仿宋_GB2312"/>
          <w:sz w:val="32"/>
          <w:szCs w:val="32"/>
          <w:lang w:val="en-US" w:eastAsia="zh-CN"/>
        </w:rPr>
        <w:t>68.21</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eastAsia="zh-CN"/>
        </w:rPr>
        <w:t>人员变动及人员福利发放调整</w:t>
      </w:r>
      <w:r>
        <w:rPr>
          <w:rFonts w:hint="eastAsia" w:ascii="仿宋_GB2312" w:hAnsi="仿宋_GB2312" w:eastAsia="仿宋_GB2312" w:cs="仿宋_GB2312"/>
          <w:sz w:val="32"/>
          <w:szCs w:val="32"/>
        </w:rPr>
        <w:t>。</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（二）商品和服务支出（项级科目）</w:t>
      </w: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rPr>
        <w:t>万元，较2016年决算数未增加。</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（三）对个人和家庭的补助（项级科目）</w:t>
      </w:r>
      <w:r>
        <w:rPr>
          <w:rFonts w:hint="eastAsia" w:ascii="仿宋_GB2312" w:hAnsi="仿宋_GB2312" w:eastAsia="仿宋_GB2312" w:cs="仿宋_GB2312"/>
          <w:sz w:val="32"/>
          <w:szCs w:val="32"/>
          <w:lang w:val="en-US" w:eastAsia="zh-CN"/>
        </w:rPr>
        <w:t>29.78</w:t>
      </w:r>
      <w:r>
        <w:rPr>
          <w:rFonts w:hint="eastAsia" w:ascii="仿宋_GB2312" w:hAnsi="仿宋_GB2312" w:eastAsia="仿宋_GB2312" w:cs="仿宋_GB2312"/>
          <w:sz w:val="32"/>
          <w:szCs w:val="32"/>
        </w:rPr>
        <w:t>万元，较上年决算数减少</w:t>
      </w:r>
      <w:r>
        <w:rPr>
          <w:rFonts w:hint="eastAsia" w:ascii="仿宋_GB2312" w:hAnsi="仿宋_GB2312" w:eastAsia="仿宋_GB2312" w:cs="仿宋_GB2312"/>
          <w:sz w:val="32"/>
          <w:szCs w:val="32"/>
          <w:lang w:val="en-US" w:eastAsia="zh-CN"/>
        </w:rPr>
        <w:t>3.9</w:t>
      </w:r>
      <w:r>
        <w:rPr>
          <w:rFonts w:hint="eastAsia" w:ascii="仿宋_GB2312" w:hAnsi="仿宋_GB2312" w:eastAsia="仿宋_GB2312" w:cs="仿宋_GB2312"/>
          <w:sz w:val="32"/>
          <w:szCs w:val="32"/>
        </w:rPr>
        <w:t>万元，下降</w:t>
      </w:r>
      <w:r>
        <w:rPr>
          <w:rFonts w:hint="eastAsia" w:ascii="仿宋_GB2312" w:hAnsi="仿宋_GB2312" w:eastAsia="仿宋_GB2312" w:cs="仿宋_GB2312"/>
          <w:sz w:val="32"/>
          <w:szCs w:val="32"/>
          <w:lang w:val="en-US" w:eastAsia="zh-CN"/>
        </w:rPr>
        <w:t>15.07</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eastAsia="zh-CN"/>
        </w:rPr>
        <w:t>统计方式转变</w:t>
      </w:r>
      <w:r>
        <w:rPr>
          <w:rFonts w:hint="eastAsia" w:ascii="仿宋_GB2312" w:hAnsi="仿宋_GB2312" w:eastAsia="仿宋_GB2312" w:cs="仿宋_GB2312"/>
          <w:sz w:val="32"/>
          <w:szCs w:val="32"/>
        </w:rPr>
        <w:t>。</w:t>
      </w:r>
    </w:p>
    <w:p>
      <w:pPr>
        <w:spacing w:line="600" w:lineRule="exact"/>
        <w:ind w:firstLine="640" w:firstLineChars="200"/>
        <w:rPr>
          <w:rFonts w:hint="eastAsia" w:ascii="仿宋" w:hAnsi="仿宋" w:eastAsia="仿宋"/>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资本性支出</w:t>
      </w:r>
      <w:r>
        <w:rPr>
          <w:rFonts w:hint="eastAsia" w:ascii="仿宋_GB2312" w:hAnsi="仿宋_GB2312" w:eastAsia="仿宋_GB2312" w:cs="仿宋_GB2312"/>
          <w:sz w:val="32"/>
          <w:szCs w:val="32"/>
        </w:rPr>
        <w:t>（项级科目）</w:t>
      </w:r>
      <w:r>
        <w:rPr>
          <w:rFonts w:hint="eastAsia" w:ascii="仿宋_GB2312" w:hAnsi="仿宋_GB2312" w:eastAsia="仿宋_GB2312" w:cs="仿宋_GB2312"/>
          <w:sz w:val="32"/>
          <w:szCs w:val="32"/>
          <w:lang w:val="en-US" w:eastAsia="zh-CN"/>
        </w:rPr>
        <w:t>121.64</w:t>
      </w:r>
      <w:r>
        <w:rPr>
          <w:rFonts w:hint="eastAsia" w:ascii="仿宋_GB2312" w:hAnsi="仿宋_GB2312" w:eastAsia="仿宋_GB2312" w:cs="仿宋_GB2312"/>
          <w:sz w:val="32"/>
          <w:szCs w:val="32"/>
        </w:rPr>
        <w:t>万元，较上年决算数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55.53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84</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eastAsia="zh-CN"/>
        </w:rPr>
        <w:t>统计方式转变</w:t>
      </w:r>
      <w:r>
        <w:rPr>
          <w:rFonts w:hint="eastAsia" w:ascii="仿宋_GB2312" w:hAnsi="仿宋_GB2312" w:eastAsia="仿宋_GB2312" w:cs="仿宋_GB2312"/>
          <w:sz w:val="32"/>
          <w:szCs w:val="32"/>
        </w:rPr>
        <w:t>。</w:t>
      </w:r>
    </w:p>
    <w:p>
      <w:pPr>
        <w:tabs>
          <w:tab w:val="left" w:pos="7513"/>
        </w:tabs>
        <w:adjustRightInd w:val="0"/>
        <w:snapToGrid w:val="0"/>
        <w:spacing w:line="600" w:lineRule="exact"/>
        <w:ind w:firstLine="643" w:firstLineChars="200"/>
        <w:outlineLvl w:val="1"/>
        <w:rPr>
          <w:rFonts w:hint="eastAsia" w:ascii="仿宋_GB2312" w:hAnsi="仿宋_GB2312" w:eastAsia="仿宋_GB2312" w:cs="仿宋_GB2312"/>
          <w:b/>
          <w:bCs w:val="0"/>
          <w:sz w:val="32"/>
          <w:szCs w:val="32"/>
        </w:rPr>
      </w:pPr>
      <w:bookmarkStart w:id="42" w:name="_Toc29897_WPSOffice_Level2"/>
      <w:r>
        <w:rPr>
          <w:rFonts w:hint="eastAsia" w:ascii="仿宋_GB2312" w:hAnsi="仿宋_GB2312" w:eastAsia="仿宋_GB2312" w:cs="仿宋_GB2312"/>
          <w:b/>
          <w:bCs w:val="0"/>
          <w:sz w:val="32"/>
          <w:szCs w:val="32"/>
        </w:rPr>
        <w:t>三、政府性基金支出决算情况说明</w:t>
      </w:r>
      <w:bookmarkEnd w:id="42"/>
    </w:p>
    <w:p>
      <w:pPr>
        <w:keepNext w:val="0"/>
        <w:keepLines w:val="0"/>
        <w:pageBreakBefore w:val="0"/>
        <w:widowControl w:val="0"/>
        <w:tabs>
          <w:tab w:val="left" w:pos="7513"/>
        </w:tabs>
        <w:kinsoku/>
        <w:wordWrap/>
        <w:overflowPunct/>
        <w:topLinePunct w:val="0"/>
        <w:bidi w:val="0"/>
        <w:adjustRightInd w:val="0"/>
        <w:snapToGrid w:val="0"/>
        <w:spacing w:line="620" w:lineRule="exact"/>
        <w:ind w:firstLine="640" w:firstLineChars="200"/>
        <w:textAlignment w:val="auto"/>
        <w:rPr>
          <w:rFonts w:hint="eastAsia" w:ascii="楷体" w:hAnsi="楷体" w:eastAsia="仿宋_GB2312"/>
          <w:sz w:val="32"/>
          <w:szCs w:val="32"/>
          <w:lang w:eastAsia="zh-CN"/>
        </w:rPr>
      </w:pPr>
      <w:r>
        <w:rPr>
          <w:rFonts w:hint="eastAsia" w:ascii="仿宋" w:hAnsi="仿宋" w:eastAsia="仿宋" w:cs="仿宋_GB2312"/>
          <w:sz w:val="32"/>
          <w:szCs w:val="32"/>
        </w:rPr>
        <w:t>2019</w:t>
      </w:r>
      <w:r>
        <w:rPr>
          <w:rFonts w:hint="eastAsia" w:ascii="仿宋_GB2312" w:hAnsi="仿宋" w:eastAsia="仿宋_GB2312" w:cs="仿宋_GB2312"/>
          <w:sz w:val="32"/>
          <w:szCs w:val="32"/>
        </w:rPr>
        <w:t>年度无政府性基金支出</w:t>
      </w:r>
      <w:r>
        <w:rPr>
          <w:rFonts w:hint="eastAsia" w:ascii="仿宋_GB2312" w:hAnsi="仿宋" w:eastAsia="仿宋_GB2312" w:cs="仿宋_GB2312"/>
          <w:sz w:val="32"/>
          <w:szCs w:val="32"/>
          <w:lang w:eastAsia="zh-CN"/>
        </w:rPr>
        <w:t>。</w:t>
      </w:r>
    </w:p>
    <w:p>
      <w:pPr>
        <w:tabs>
          <w:tab w:val="left" w:pos="7513"/>
        </w:tabs>
        <w:adjustRightInd w:val="0"/>
        <w:snapToGrid w:val="0"/>
        <w:spacing w:line="600" w:lineRule="exact"/>
        <w:ind w:firstLine="643" w:firstLineChars="200"/>
        <w:outlineLvl w:val="1"/>
        <w:rPr>
          <w:rFonts w:hint="eastAsia" w:ascii="仿宋_GB2312" w:hAnsi="仿宋_GB2312" w:eastAsia="仿宋_GB2312" w:cs="仿宋_GB2312"/>
          <w:b/>
          <w:bCs w:val="0"/>
          <w:sz w:val="32"/>
          <w:szCs w:val="32"/>
        </w:rPr>
      </w:pPr>
      <w:bookmarkStart w:id="43" w:name="_Toc12555_WPSOffice_Level2"/>
      <w:r>
        <w:rPr>
          <w:rFonts w:hint="eastAsia" w:ascii="仿宋_GB2312" w:hAnsi="仿宋_GB2312" w:eastAsia="仿宋_GB2312" w:cs="仿宋_GB2312"/>
          <w:b/>
          <w:bCs w:val="0"/>
          <w:sz w:val="32"/>
          <w:szCs w:val="32"/>
        </w:rPr>
        <w:t>四、一般公共预算财政拨款基本支出决算情况说明</w:t>
      </w:r>
      <w:bookmarkEnd w:id="43"/>
    </w:p>
    <w:p>
      <w:pPr>
        <w:tabs>
          <w:tab w:val="left" w:pos="7513"/>
        </w:tabs>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2019年度一般公共预算财政拨款基本支出</w:t>
      </w:r>
      <w:r>
        <w:rPr>
          <w:rFonts w:hint="eastAsia" w:ascii="仿宋_GB2312" w:hAnsi="仿宋_GB2312" w:eastAsia="仿宋_GB2312" w:cs="仿宋_GB2312"/>
          <w:sz w:val="32"/>
          <w:szCs w:val="32"/>
          <w:lang w:val="en-US" w:eastAsia="zh-CN"/>
        </w:rPr>
        <w:t>976.35</w:t>
      </w:r>
      <w:r>
        <w:rPr>
          <w:rFonts w:hint="eastAsia" w:ascii="仿宋_GB2312" w:hAnsi="仿宋_GB2312" w:eastAsia="仿宋_GB2312" w:cs="仿宋_GB2312"/>
          <w:sz w:val="32"/>
          <w:szCs w:val="32"/>
        </w:rPr>
        <w:t>万元，其中：</w:t>
      </w:r>
    </w:p>
    <w:p>
      <w:pPr>
        <w:tabs>
          <w:tab w:val="left" w:pos="7513"/>
        </w:tabs>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（一）人员经费</w:t>
      </w:r>
      <w:r>
        <w:rPr>
          <w:rFonts w:hint="eastAsia" w:ascii="仿宋_GB2312" w:hAnsi="仿宋_GB2312" w:eastAsia="仿宋_GB2312" w:cs="仿宋_GB2312"/>
          <w:sz w:val="32"/>
          <w:szCs w:val="32"/>
          <w:lang w:val="en-US" w:eastAsia="zh-CN"/>
        </w:rPr>
        <w:t>890.58</w:t>
      </w:r>
      <w:r>
        <w:rPr>
          <w:rFonts w:hint="eastAsia" w:ascii="仿宋_GB2312" w:hAnsi="仿宋_GB2312" w:eastAsia="仿宋_GB2312" w:cs="仿宋_GB2312"/>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采暖补贴、物业服务补贴、其他对个人和家庭的补助支出。</w:t>
      </w:r>
    </w:p>
    <w:p>
      <w:pPr>
        <w:tabs>
          <w:tab w:val="left" w:pos="7513"/>
        </w:tabs>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（二）公用经费</w:t>
      </w: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其他资本性支出。</w:t>
      </w:r>
    </w:p>
    <w:p>
      <w:pPr>
        <w:tabs>
          <w:tab w:val="left" w:pos="7513"/>
        </w:tabs>
        <w:adjustRightInd w:val="0"/>
        <w:snapToGrid w:val="0"/>
        <w:spacing w:line="600" w:lineRule="exact"/>
        <w:ind w:firstLine="643" w:firstLineChars="200"/>
        <w:outlineLvl w:val="1"/>
        <w:rPr>
          <w:rFonts w:hint="eastAsia" w:ascii="楷体_GB2312" w:hAnsi="楷体_GB2312" w:eastAsia="楷体_GB2312" w:cs="楷体_GB2312"/>
          <w:b/>
          <w:bCs w:val="0"/>
          <w:sz w:val="32"/>
          <w:szCs w:val="32"/>
        </w:rPr>
      </w:pPr>
      <w:bookmarkStart w:id="44" w:name="_Toc20017_WPSOffice_Level2"/>
      <w:r>
        <w:rPr>
          <w:rFonts w:hint="eastAsia" w:ascii="楷体_GB2312" w:hAnsi="楷体_GB2312" w:eastAsia="楷体_GB2312" w:cs="楷体_GB2312"/>
          <w:b/>
          <w:bCs w:val="0"/>
          <w:sz w:val="32"/>
          <w:szCs w:val="32"/>
        </w:rPr>
        <w:t>五、一般公共预算拨款“三公”经费支出决算情况说明</w:t>
      </w:r>
      <w:bookmarkEnd w:id="44"/>
    </w:p>
    <w:p>
      <w:pPr>
        <w:tabs>
          <w:tab w:val="left" w:pos="7513"/>
        </w:tabs>
        <w:adjustRightInd w:val="0"/>
        <w:snapToGrid w:val="0"/>
        <w:spacing w:line="600" w:lineRule="exact"/>
        <w:ind w:firstLine="704" w:firstLineChars="22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2019年度“三公”经费财政拨款支出</w:t>
      </w:r>
      <w:r>
        <w:rPr>
          <w:rFonts w:hint="eastAsia" w:ascii="仿宋_GB2312" w:hAnsi="仿宋_GB2312" w:eastAsia="仿宋_GB2312" w:cs="仿宋_GB2312"/>
          <w:sz w:val="32"/>
          <w:szCs w:val="32"/>
          <w:highlight w:val="none"/>
          <w:lang w:val="en-US" w:eastAsia="zh-CN"/>
        </w:rPr>
        <w:t>24.99</w:t>
      </w:r>
      <w:r>
        <w:rPr>
          <w:rFonts w:hint="eastAsia" w:ascii="仿宋_GB2312" w:hAnsi="仿宋_GB2312" w:eastAsia="仿宋_GB2312" w:cs="仿宋_GB2312"/>
          <w:sz w:val="32"/>
          <w:szCs w:val="32"/>
          <w:highlight w:val="none"/>
        </w:rPr>
        <w:t>万元，比年初预算的</w:t>
      </w:r>
      <w:r>
        <w:rPr>
          <w:rFonts w:hint="eastAsia" w:ascii="仿宋_GB2312" w:hAnsi="仿宋_GB2312" w:eastAsia="仿宋_GB2312" w:cs="仿宋_GB2312"/>
          <w:sz w:val="32"/>
          <w:szCs w:val="32"/>
          <w:highlight w:val="none"/>
          <w:lang w:val="en-US" w:eastAsia="zh-CN"/>
        </w:rPr>
        <w:t>25</w:t>
      </w:r>
      <w:r>
        <w:rPr>
          <w:rFonts w:hint="eastAsia" w:ascii="仿宋_GB2312" w:hAnsi="仿宋_GB2312" w:eastAsia="仿宋_GB2312" w:cs="仿宋_GB2312"/>
          <w:sz w:val="32"/>
          <w:szCs w:val="32"/>
          <w:highlight w:val="none"/>
        </w:rPr>
        <w:t>万元下降</w:t>
      </w:r>
      <w:r>
        <w:rPr>
          <w:rFonts w:hint="eastAsia" w:ascii="仿宋_GB2312" w:hAnsi="仿宋_GB2312" w:eastAsia="仿宋_GB2312" w:cs="仿宋_GB2312"/>
          <w:sz w:val="32"/>
          <w:szCs w:val="32"/>
          <w:highlight w:val="none"/>
          <w:lang w:val="en-US" w:eastAsia="zh-CN"/>
        </w:rPr>
        <w:t>0.01</w:t>
      </w:r>
      <w:r>
        <w:rPr>
          <w:rFonts w:hint="eastAsia" w:ascii="仿宋_GB2312" w:hAnsi="仿宋_GB2312" w:eastAsia="仿宋_GB2312" w:cs="仿宋_GB2312"/>
          <w:sz w:val="32"/>
          <w:szCs w:val="32"/>
          <w:highlight w:val="none"/>
        </w:rPr>
        <w:t>%。主要原因是</w:t>
      </w:r>
      <w:r>
        <w:rPr>
          <w:rFonts w:hint="eastAsia" w:ascii="仿宋_GB2312" w:hAnsi="仿宋_GB2312" w:eastAsia="仿宋_GB2312" w:cs="仿宋_GB2312"/>
          <w:sz w:val="32"/>
          <w:szCs w:val="32"/>
          <w:highlight w:val="none"/>
          <w:lang w:eastAsia="zh-CN"/>
        </w:rPr>
        <w:t>经费紧缩</w:t>
      </w:r>
      <w:r>
        <w:rPr>
          <w:rFonts w:hint="eastAsia" w:ascii="仿宋_GB2312" w:hAnsi="仿宋_GB2312" w:eastAsia="仿宋_GB2312" w:cs="仿宋_GB2312"/>
          <w:sz w:val="32"/>
          <w:szCs w:val="32"/>
          <w:highlight w:val="none"/>
        </w:rPr>
        <w:t>。具体情况如下：</w:t>
      </w:r>
      <w:r>
        <w:rPr>
          <w:rFonts w:hint="eastAsia" w:ascii="仿宋_GB2312" w:hAnsi="仿宋_GB2312" w:eastAsia="仿宋_GB2312" w:cs="仿宋_GB2312"/>
          <w:sz w:val="32"/>
          <w:szCs w:val="32"/>
          <w:highlight w:val="none"/>
        </w:rPr>
        <w:br w:type="textWrapping"/>
      </w:r>
      <w:r>
        <w:rPr>
          <w:rFonts w:hint="eastAsia" w:ascii="仿宋_GB2312" w:hAnsi="仿宋_GB2312" w:eastAsia="仿宋_GB2312" w:cs="仿宋_GB2312"/>
          <w:sz w:val="32"/>
          <w:szCs w:val="32"/>
          <w:highlight w:val="none"/>
        </w:rPr>
        <w:t>　　（一）因公出国（境）费支出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p>
    <w:p>
      <w:pPr>
        <w:tabs>
          <w:tab w:val="left" w:pos="7513"/>
        </w:tabs>
        <w:adjustRightInd w:val="0"/>
        <w:snapToGrid w:val="0"/>
        <w:spacing w:line="600" w:lineRule="exact"/>
        <w:ind w:firstLine="645"/>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highlight w:val="none"/>
        </w:rPr>
        <w:t>（二）公务用车购置及运行费支出</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rPr>
        <w:t>其中：无公务用车购置费；公务用车运行费5万元，主要用于公务用车燃油、维修、保险等方面支出，年末公务用车保有量2辆。与201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年相比，公务用车购置费和运行费相同。</w:t>
      </w:r>
    </w:p>
    <w:p>
      <w:pPr>
        <w:tabs>
          <w:tab w:val="left" w:pos="7513"/>
        </w:tabs>
        <w:adjustRightInd w:val="0"/>
        <w:snapToGrid w:val="0"/>
        <w:spacing w:line="600" w:lineRule="exac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（三）公务接待费支出</w:t>
      </w:r>
      <w:r>
        <w:rPr>
          <w:rFonts w:hint="eastAsia" w:ascii="仿宋_GB2312" w:hAnsi="仿宋_GB2312" w:eastAsia="仿宋_GB2312" w:cs="仿宋_GB2312"/>
          <w:sz w:val="32"/>
          <w:szCs w:val="32"/>
          <w:highlight w:val="none"/>
          <w:lang w:val="en-US" w:eastAsia="zh-CN"/>
        </w:rPr>
        <w:t>19.99</w:t>
      </w:r>
      <w:r>
        <w:rPr>
          <w:rFonts w:hint="eastAsia" w:ascii="仿宋_GB2312" w:hAnsi="仿宋_GB2312" w:eastAsia="仿宋_GB2312" w:cs="仿宋_GB2312"/>
          <w:sz w:val="32"/>
          <w:szCs w:val="32"/>
          <w:highlight w:val="none"/>
        </w:rPr>
        <w:t>万元，比年初预算的</w:t>
      </w: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rPr>
        <w:t>万元下降</w:t>
      </w:r>
      <w:r>
        <w:rPr>
          <w:rFonts w:hint="eastAsia" w:ascii="仿宋_GB2312" w:hAnsi="仿宋_GB2312" w:eastAsia="仿宋_GB2312" w:cs="仿宋_GB2312"/>
          <w:sz w:val="32"/>
          <w:szCs w:val="32"/>
          <w:highlight w:val="none"/>
          <w:lang w:val="en-US" w:eastAsia="zh-CN"/>
        </w:rPr>
        <w:t>0.01</w:t>
      </w:r>
      <w:r>
        <w:rPr>
          <w:rFonts w:hint="eastAsia" w:ascii="仿宋_GB2312" w:hAnsi="仿宋_GB2312" w:eastAsia="仿宋_GB2312" w:cs="仿宋_GB2312"/>
          <w:sz w:val="32"/>
          <w:szCs w:val="32"/>
          <w:highlight w:val="none"/>
        </w:rPr>
        <w:t>%。主要原因是</w:t>
      </w:r>
      <w:r>
        <w:rPr>
          <w:rFonts w:hint="eastAsia" w:ascii="仿宋_GB2312" w:hAnsi="仿宋_GB2312" w:eastAsia="仿宋_GB2312" w:cs="仿宋_GB2312"/>
          <w:sz w:val="32"/>
          <w:szCs w:val="32"/>
          <w:highlight w:val="none"/>
          <w:lang w:eastAsia="zh-CN"/>
        </w:rPr>
        <w:t>经费紧缩</w:t>
      </w:r>
      <w:r>
        <w:rPr>
          <w:rFonts w:hint="eastAsia" w:ascii="仿宋_GB2312" w:hAnsi="仿宋_GB2312" w:eastAsia="仿宋_GB2312" w:cs="仿宋_GB2312"/>
          <w:sz w:val="32"/>
          <w:szCs w:val="32"/>
          <w:highlight w:val="none"/>
        </w:rPr>
        <w:t>。</w:t>
      </w:r>
    </w:p>
    <w:p>
      <w:pPr>
        <w:tabs>
          <w:tab w:val="left" w:pos="7513"/>
        </w:tabs>
        <w:adjustRightInd w:val="0"/>
        <w:snapToGrid w:val="0"/>
        <w:spacing w:line="600" w:lineRule="exact"/>
        <w:ind w:firstLine="640" w:firstLineChars="200"/>
        <w:outlineLvl w:val="1"/>
        <w:rPr>
          <w:rFonts w:ascii="黑体" w:hAnsi="黑体" w:eastAsia="黑体"/>
          <w:sz w:val="32"/>
          <w:szCs w:val="32"/>
        </w:rPr>
      </w:pPr>
      <w:bookmarkStart w:id="45" w:name="_Toc10538_WPSOffice_Level2"/>
      <w:r>
        <w:rPr>
          <w:rFonts w:hint="eastAsia" w:ascii="黑体" w:hAnsi="黑体" w:eastAsia="黑体"/>
          <w:sz w:val="32"/>
          <w:szCs w:val="32"/>
        </w:rPr>
        <w:t>六、预算绩效情况说明</w:t>
      </w:r>
      <w:bookmarkEnd w:id="45"/>
    </w:p>
    <w:p>
      <w:pPr>
        <w:ind w:firstLine="643" w:firstLineChars="200"/>
        <w:rPr>
          <w:rFonts w:ascii="楷体" w:hAnsi="楷体" w:eastAsia="楷体"/>
          <w:b/>
          <w:sz w:val="32"/>
          <w:szCs w:val="32"/>
        </w:rPr>
      </w:pPr>
      <w:r>
        <w:rPr>
          <w:rFonts w:hint="eastAsia" w:ascii="楷体" w:hAnsi="楷体" w:eastAsia="楷体"/>
          <w:b/>
          <w:sz w:val="32"/>
          <w:szCs w:val="32"/>
        </w:rPr>
        <w:t>（一）绩效管理工作开展情况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根据预算绩效管理要求，共对</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个清单项目实施绩效监控，分别是</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，涉及财政拨款资金</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万元。同时，对</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万元业务费实施绩效监控。</w:t>
      </w:r>
    </w:p>
    <w:p>
      <w:pPr>
        <w:ind w:firstLine="643"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（二）绩效自评工作开展情况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共对</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个部门业务费开展绩效自评，涉及财政拨款资金共计</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万元。根据年初设定的绩效目标，本年度绩效自评主要采取“对标评价”的方式展开，自评结果等次为“优”“良”“中”“差”的项目各是</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w:t>
      </w:r>
    </w:p>
    <w:p>
      <w:pPr>
        <w:ind w:firstLine="640" w:firstLineChars="200"/>
        <w:rPr>
          <w:rFonts w:hint="eastAsia" w:ascii="楷体_GB2312" w:hAnsi="楷体_GB2312" w:eastAsia="楷体_GB2312" w:cs="楷体_GB2312"/>
          <w:sz w:val="32"/>
          <w:szCs w:val="32"/>
        </w:rPr>
      </w:pPr>
      <w:r>
        <w:rPr>
          <w:rFonts w:hint="eastAsia" w:ascii="仿宋_GB2312" w:hAnsi="仿宋_GB2312" w:eastAsia="仿宋_GB2312" w:cs="仿宋_GB2312"/>
          <w:sz w:val="32"/>
          <w:szCs w:val="32"/>
        </w:rPr>
        <w:t>共对</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个部门共计</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个清单项目实施绩效自评，涉及财政拨款资金共计</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万元。评价结果为“优”的项目是</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个，“良”的项目是</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个，“中”的项目是</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个，“差”的项目是</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w:t>
      </w:r>
    </w:p>
    <w:p>
      <w:pPr>
        <w:ind w:firstLine="643"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（三）重点评价工作开展情况</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共对</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rPr>
        <w:t>年度共计</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个清单项目实施财政重点评价，涉及财政拨款资金共计</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万元，涉及</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等领域。评价结果为“优”的项目是</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个，“良”的项目是</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个，“中”的项目是</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个，“差”的项目是</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w:t>
      </w:r>
    </w:p>
    <w:p>
      <w:pPr>
        <w:tabs>
          <w:tab w:val="left" w:pos="7513"/>
        </w:tabs>
        <w:adjustRightInd w:val="0"/>
        <w:snapToGrid w:val="0"/>
        <w:spacing w:line="600" w:lineRule="exact"/>
        <w:ind w:firstLine="640" w:firstLineChars="200"/>
        <w:outlineLvl w:val="1"/>
        <w:rPr>
          <w:rFonts w:ascii="黑体" w:hAnsi="黑体" w:eastAsia="黑体"/>
          <w:sz w:val="32"/>
          <w:szCs w:val="32"/>
        </w:rPr>
      </w:pPr>
      <w:bookmarkStart w:id="46" w:name="_Toc18542_WPSOffice_Level2"/>
      <w:r>
        <w:rPr>
          <w:rFonts w:hint="eastAsia" w:ascii="黑体" w:hAnsi="黑体" w:eastAsia="黑体"/>
          <w:sz w:val="32"/>
          <w:szCs w:val="32"/>
        </w:rPr>
        <w:t>七、其他重要事项说明</w:t>
      </w:r>
      <w:bookmarkEnd w:id="46"/>
    </w:p>
    <w:p>
      <w:pPr>
        <w:tabs>
          <w:tab w:val="left" w:pos="7513"/>
        </w:tabs>
        <w:adjustRightInd w:val="0"/>
        <w:snapToGrid w:val="0"/>
        <w:spacing w:line="600" w:lineRule="exact"/>
        <w:ind w:firstLine="643" w:firstLineChars="200"/>
        <w:rPr>
          <w:rFonts w:ascii="黑体" w:hAnsi="黑体" w:eastAsia="黑体" w:cs="仿宋_GB2312"/>
          <w:bCs/>
          <w:sz w:val="32"/>
          <w:szCs w:val="32"/>
        </w:rPr>
      </w:pPr>
      <w:r>
        <w:rPr>
          <w:rFonts w:hint="eastAsia" w:ascii="楷体" w:hAnsi="楷体" w:eastAsia="楷体"/>
          <w:b/>
          <w:sz w:val="32"/>
          <w:szCs w:val="32"/>
        </w:rPr>
        <w:t>（一）机关运行经费</w:t>
      </w:r>
    </w:p>
    <w:p>
      <w:pPr>
        <w:tabs>
          <w:tab w:val="left" w:pos="7513"/>
        </w:tabs>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2019年度机关运行经费支出</w:t>
      </w:r>
      <w:r>
        <w:rPr>
          <w:rFonts w:hint="eastAsia" w:ascii="仿宋_GB2312" w:hAnsi="仿宋_GB2312" w:eastAsia="仿宋_GB2312" w:cs="仿宋_GB2312"/>
          <w:sz w:val="32"/>
          <w:szCs w:val="32"/>
          <w:lang w:val="en-US" w:eastAsia="zh-CN"/>
        </w:rPr>
        <w:t>27.99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与上年基本持平</w:t>
      </w:r>
      <w:r>
        <w:rPr>
          <w:rFonts w:hint="eastAsia" w:ascii="仿宋_GB2312" w:hAnsi="仿宋_GB2312" w:eastAsia="仿宋_GB2312" w:cs="仿宋_GB2312"/>
          <w:sz w:val="32"/>
          <w:szCs w:val="32"/>
        </w:rPr>
        <w:t>。</w:t>
      </w:r>
    </w:p>
    <w:p>
      <w:pPr>
        <w:autoSpaceDE w:val="0"/>
        <w:autoSpaceDN w:val="0"/>
        <w:adjustRightInd w:val="0"/>
        <w:spacing w:line="600" w:lineRule="exact"/>
        <w:ind w:firstLine="643" w:firstLineChars="200"/>
        <w:jc w:val="left"/>
        <w:rPr>
          <w:rFonts w:ascii="黑体" w:hAnsi="黑体" w:eastAsia="黑体" w:cs="仿宋_GB2312"/>
          <w:kern w:val="0"/>
          <w:sz w:val="32"/>
          <w:szCs w:val="32"/>
        </w:rPr>
      </w:pPr>
      <w:r>
        <w:rPr>
          <w:rFonts w:hint="eastAsia" w:ascii="楷体" w:hAnsi="楷体" w:eastAsia="楷体"/>
          <w:b/>
          <w:sz w:val="32"/>
          <w:szCs w:val="32"/>
        </w:rPr>
        <w:t>（二）政府采购情况</w:t>
      </w:r>
    </w:p>
    <w:p>
      <w:pPr>
        <w:autoSpaceDE w:val="0"/>
        <w:autoSpaceDN w:val="0"/>
        <w:adjustRightInd w:val="0"/>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本部门</w:t>
      </w:r>
      <w:r>
        <w:rPr>
          <w:rFonts w:hint="eastAsia" w:ascii="仿宋_GB2312" w:hAnsi="仿宋_GB2312" w:eastAsia="仿宋_GB2312" w:cs="仿宋_GB2312"/>
          <w:sz w:val="32"/>
          <w:szCs w:val="32"/>
        </w:rPr>
        <w:t>2019年度</w:t>
      </w:r>
      <w:r>
        <w:rPr>
          <w:rFonts w:hint="eastAsia" w:ascii="仿宋_GB2312" w:hAnsi="仿宋_GB2312" w:eastAsia="仿宋_GB2312" w:cs="仿宋_GB2312"/>
          <w:kern w:val="0"/>
          <w:sz w:val="32"/>
          <w:szCs w:val="32"/>
        </w:rPr>
        <w:t>政府采购支出总额</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kern w:val="0"/>
          <w:sz w:val="32"/>
          <w:szCs w:val="32"/>
        </w:rPr>
        <w:t>万元，其中：政府采购货物支出</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kern w:val="0"/>
          <w:sz w:val="32"/>
          <w:szCs w:val="32"/>
        </w:rPr>
        <w:t>万元、政府采购工程支出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kern w:val="0"/>
          <w:sz w:val="32"/>
          <w:szCs w:val="32"/>
        </w:rPr>
        <w:t>万元、政府采购服务支出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sz w:val="32"/>
          <w:szCs w:val="32"/>
        </w:rPr>
        <w:t>授予中小企业合同金</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万元，占政府采购支出总额的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%，其中：授予小微企业合同金额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万元，占政府采购支出总额的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pPr>
        <w:tabs>
          <w:tab w:val="left" w:pos="7513"/>
        </w:tabs>
        <w:adjustRightInd w:val="0"/>
        <w:snapToGrid w:val="0"/>
        <w:spacing w:line="600" w:lineRule="exact"/>
        <w:ind w:firstLine="707" w:firstLineChars="220"/>
        <w:rPr>
          <w:rFonts w:ascii="黑体" w:hAnsi="黑体" w:eastAsia="黑体" w:cs="Times New Roman"/>
          <w:sz w:val="32"/>
          <w:szCs w:val="32"/>
        </w:rPr>
      </w:pPr>
      <w:r>
        <w:rPr>
          <w:rFonts w:hint="eastAsia" w:ascii="楷体" w:hAnsi="楷体" w:eastAsia="楷体"/>
          <w:b/>
          <w:sz w:val="32"/>
          <w:szCs w:val="32"/>
        </w:rPr>
        <w:t>（三）国有资产占用使用情况</w:t>
      </w:r>
    </w:p>
    <w:p>
      <w:pPr>
        <w:tabs>
          <w:tab w:val="left" w:pos="7513"/>
        </w:tabs>
        <w:adjustRightInd w:val="0"/>
        <w:snapToGrid w:val="0"/>
        <w:spacing w:line="600" w:lineRule="exact"/>
        <w:ind w:firstLine="704" w:firstLineChars="22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w:t>
      </w:r>
      <w:r>
        <w:rPr>
          <w:rFonts w:hint="eastAsia" w:ascii="仿宋_GB2312" w:hAnsi="仿宋_GB2312" w:eastAsia="仿宋_GB2312" w:cs="仿宋_GB2312"/>
          <w:sz w:val="32"/>
          <w:szCs w:val="32"/>
        </w:rPr>
        <w:t>2019</w:t>
      </w:r>
      <w:r>
        <w:rPr>
          <w:rFonts w:hint="eastAsia" w:ascii="仿宋_GB2312" w:hAnsi="仿宋_GB2312" w:eastAsia="仿宋_GB2312" w:cs="仿宋_GB2312"/>
          <w:kern w:val="0"/>
          <w:sz w:val="32"/>
          <w:szCs w:val="32"/>
        </w:rPr>
        <w:t>年12月31日，本部门共有车辆</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kern w:val="0"/>
          <w:sz w:val="32"/>
          <w:szCs w:val="32"/>
        </w:rPr>
        <w:t>辆，其中：副部（省）级以上领导用车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kern w:val="0"/>
          <w:sz w:val="32"/>
          <w:szCs w:val="32"/>
        </w:rPr>
        <w:t>辆、主要领导干部用车</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kern w:val="0"/>
          <w:sz w:val="32"/>
          <w:szCs w:val="32"/>
        </w:rPr>
        <w:t>辆、机要通信用车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kern w:val="0"/>
          <w:sz w:val="32"/>
          <w:szCs w:val="32"/>
        </w:rPr>
        <w:t>辆、应急保障用车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kern w:val="0"/>
          <w:sz w:val="32"/>
          <w:szCs w:val="32"/>
        </w:rPr>
        <w:t>辆、执法执勤用车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kern w:val="0"/>
          <w:sz w:val="32"/>
          <w:szCs w:val="32"/>
        </w:rPr>
        <w:t>辆、特种专业技术用车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kern w:val="0"/>
          <w:sz w:val="32"/>
          <w:szCs w:val="32"/>
        </w:rPr>
        <w:t>辆、离退休干部用车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kern w:val="0"/>
          <w:sz w:val="32"/>
          <w:szCs w:val="32"/>
        </w:rPr>
        <w:t>辆、其他用车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kern w:val="0"/>
          <w:sz w:val="32"/>
          <w:szCs w:val="32"/>
        </w:rPr>
        <w:t>辆；单价50万元（含）以上通用设备</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kern w:val="0"/>
          <w:sz w:val="32"/>
          <w:szCs w:val="32"/>
        </w:rPr>
        <w:t>台（套），单价100万元（含）以上专用设备</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kern w:val="0"/>
          <w:sz w:val="32"/>
          <w:szCs w:val="32"/>
        </w:rPr>
        <w:t>台（套）。</w:t>
      </w:r>
    </w:p>
    <w:p>
      <w:pPr>
        <w:autoSpaceDE w:val="0"/>
        <w:autoSpaceDN w:val="0"/>
        <w:adjustRightInd w:val="0"/>
        <w:spacing w:line="600" w:lineRule="exact"/>
        <w:ind w:firstLine="640" w:firstLineChars="200"/>
        <w:jc w:val="left"/>
        <w:rPr>
          <w:rFonts w:ascii="仿宋" w:hAnsi="仿宋" w:eastAsia="仿宋" w:cs="仿宋_GB2312"/>
          <w:sz w:val="32"/>
          <w:szCs w:val="32"/>
        </w:rPr>
      </w:pPr>
    </w:p>
    <w:p>
      <w:pPr>
        <w:autoSpaceDE w:val="0"/>
        <w:autoSpaceDN w:val="0"/>
        <w:adjustRightInd w:val="0"/>
        <w:spacing w:line="600" w:lineRule="exact"/>
        <w:ind w:firstLine="720" w:firstLineChars="200"/>
        <w:jc w:val="center"/>
        <w:outlineLvl w:val="0"/>
        <w:rPr>
          <w:rFonts w:ascii="仿宋" w:hAnsi="仿宋" w:eastAsia="仿宋"/>
          <w:b/>
          <w:sz w:val="32"/>
          <w:szCs w:val="32"/>
        </w:rPr>
      </w:pPr>
      <w:bookmarkStart w:id="47" w:name="_Toc17662_WPSOffice_Level1"/>
      <w:r>
        <w:rPr>
          <w:rFonts w:hint="eastAsia" w:ascii="黑体" w:hAnsi="黑体" w:eastAsia="黑体"/>
          <w:sz w:val="36"/>
          <w:szCs w:val="36"/>
        </w:rPr>
        <w:t>第四部分 名词解释</w:t>
      </w:r>
      <w:bookmarkEnd w:id="47"/>
    </w:p>
    <w:p>
      <w:pPr>
        <w:autoSpaceDE w:val="0"/>
        <w:autoSpaceDN w:val="0"/>
        <w:adjustRightInd w:val="0"/>
        <w:spacing w:line="600" w:lineRule="exact"/>
        <w:ind w:firstLine="640" w:firstLineChars="200"/>
        <w:jc w:val="left"/>
        <w:rPr>
          <w:rFonts w:ascii="仿宋" w:hAnsi="仿宋" w:eastAsia="仿宋" w:cs="仿宋_GB2312"/>
          <w:kern w:val="0"/>
          <w:sz w:val="32"/>
          <w:szCs w:val="32"/>
        </w:rPr>
      </w:pP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 xml:space="preserve">一、财政拨款收入：指省级财政当年拨付的资金。 </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二、事业收入：指事业单位开展专业业务活动及辅助活动所取得的收入。</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 xml:space="preserve">三、经营收入：指事业单位在专业业务活动及其辅助活动之外开展非独立核算经营活动取得的收入。 </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四、其他收入：指除上述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 xml:space="preserve">等以外的收入。主要是按规定动用的售房收入、存款利息收入等。 </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五、用事业基金弥补收支差额：指事业单位在当年的</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其他收入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 xml:space="preserve">不足以安排当年支出的情况下，使用以前年度积累的事业基金（事业单位当年收支相抵后按国家规定提取、用于弥补以后年度收支差额的基金）弥补本年度收支缺口的资金。 </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六、年初结转和结余：指以前年度尚未完成、结转到本年按有关规定继续使用的资金。</w:t>
      </w:r>
    </w:p>
    <w:p>
      <w:pPr>
        <w:pStyle w:val="8"/>
        <w:spacing w:line="600" w:lineRule="exact"/>
        <w:ind w:firstLine="640"/>
        <w:rPr>
          <w:rFonts w:ascii="仿宋" w:hAnsi="仿宋" w:eastAsia="仿宋" w:cs="仿宋"/>
          <w:sz w:val="32"/>
          <w:szCs w:val="32"/>
        </w:rPr>
      </w:pPr>
      <w:r>
        <w:rPr>
          <w:rFonts w:hint="eastAsia" w:ascii="仿宋" w:hAnsi="仿宋" w:eastAsia="仿宋" w:cs="仿宋"/>
          <w:sz w:val="32"/>
          <w:szCs w:val="32"/>
        </w:rPr>
        <w:t xml:space="preserve">七、结余分配：指事业单位按规定提取的职工福利基金、事业基金和缴纳的所得税，以及建设单位按规定应交回的基本建设竣工项目结余资金。 </w:t>
      </w:r>
    </w:p>
    <w:p>
      <w:pPr>
        <w:pStyle w:val="8"/>
        <w:spacing w:line="600" w:lineRule="exact"/>
        <w:ind w:firstLine="640"/>
        <w:rPr>
          <w:rFonts w:ascii="仿宋" w:hAnsi="仿宋" w:eastAsia="仿宋" w:cs="仿宋"/>
          <w:sz w:val="32"/>
          <w:szCs w:val="32"/>
        </w:rPr>
      </w:pPr>
      <w:r>
        <w:rPr>
          <w:rFonts w:hint="eastAsia" w:ascii="仿宋" w:hAnsi="仿宋" w:eastAsia="仿宋" w:cs="仿宋"/>
          <w:sz w:val="32"/>
          <w:szCs w:val="32"/>
        </w:rPr>
        <w:t xml:space="preserve">八、年末结转和结余：指本年度或以前年度预算安排、因客观条件发生变化无法按原计划实施，需延迟到以后年度按有关规定继续使用的资金。 </w:t>
      </w:r>
    </w:p>
    <w:p>
      <w:pPr>
        <w:pStyle w:val="8"/>
        <w:spacing w:line="600" w:lineRule="exact"/>
        <w:ind w:firstLine="640"/>
        <w:rPr>
          <w:rFonts w:ascii="仿宋" w:hAnsi="仿宋" w:eastAsia="仿宋" w:cs="仿宋"/>
          <w:sz w:val="32"/>
          <w:szCs w:val="32"/>
        </w:rPr>
      </w:pPr>
      <w:r>
        <w:rPr>
          <w:rFonts w:hint="eastAsia" w:ascii="仿宋" w:hAnsi="仿宋" w:eastAsia="仿宋" w:cs="仿宋"/>
          <w:sz w:val="32"/>
          <w:szCs w:val="32"/>
        </w:rPr>
        <w:t xml:space="preserve">九、基本支出：指为保障机构正常运转、完成日常工作任务而发生的人员支出和公用支出。 </w:t>
      </w:r>
    </w:p>
    <w:p>
      <w:pPr>
        <w:pStyle w:val="8"/>
        <w:spacing w:line="600" w:lineRule="exact"/>
        <w:ind w:firstLine="640"/>
        <w:rPr>
          <w:rFonts w:ascii="仿宋" w:hAnsi="仿宋" w:eastAsia="仿宋" w:cs="仿宋"/>
          <w:sz w:val="32"/>
          <w:szCs w:val="32"/>
        </w:rPr>
      </w:pPr>
      <w:r>
        <w:rPr>
          <w:rFonts w:hint="eastAsia" w:ascii="仿宋" w:hAnsi="仿宋" w:eastAsia="仿宋" w:cs="仿宋"/>
          <w:sz w:val="32"/>
          <w:szCs w:val="32"/>
        </w:rPr>
        <w:t xml:space="preserve">十、项目支出：指在基本支出之外为完成特定行政任务和事业发展目标所发生的支出。 </w:t>
      </w:r>
    </w:p>
    <w:p>
      <w:pPr>
        <w:pStyle w:val="8"/>
        <w:spacing w:line="600" w:lineRule="exact"/>
        <w:ind w:firstLine="640"/>
        <w:rPr>
          <w:rFonts w:ascii="仿宋" w:hAnsi="仿宋" w:eastAsia="仿宋" w:cs="仿宋"/>
          <w:sz w:val="32"/>
          <w:szCs w:val="32"/>
        </w:rPr>
      </w:pPr>
      <w:r>
        <w:rPr>
          <w:rFonts w:hint="eastAsia" w:ascii="仿宋" w:hAnsi="仿宋" w:eastAsia="仿宋" w:cs="仿宋"/>
          <w:sz w:val="32"/>
          <w:szCs w:val="32"/>
        </w:rPr>
        <w:t xml:space="preserve">十一、经营支出：指事业单位在专业业务活动及其辅助活动之外开展非独立核算经营活动发生的支出。 </w:t>
      </w:r>
    </w:p>
    <w:p>
      <w:pPr>
        <w:pStyle w:val="8"/>
        <w:spacing w:line="600" w:lineRule="exact"/>
        <w:ind w:firstLine="640"/>
        <w:rPr>
          <w:rFonts w:ascii="仿宋" w:hAnsi="仿宋" w:eastAsia="仿宋" w:cs="仿宋"/>
          <w:sz w:val="32"/>
          <w:szCs w:val="32"/>
        </w:rPr>
      </w:pPr>
      <w:r>
        <w:rPr>
          <w:rFonts w:hint="eastAsia" w:ascii="仿宋" w:hAnsi="仿宋" w:eastAsia="仿宋" w:cs="仿宋"/>
          <w:sz w:val="32"/>
          <w:szCs w:val="32"/>
        </w:rPr>
        <w:t>十二、</w:t>
      </w:r>
      <w:r>
        <w:rPr>
          <w:rFonts w:ascii="仿宋" w:hAnsi="仿宋" w:eastAsia="仿宋" w:cs="仿宋"/>
          <w:sz w:val="32"/>
          <w:szCs w:val="32"/>
        </w:rPr>
        <w:t>“</w:t>
      </w:r>
      <w:r>
        <w:rPr>
          <w:rFonts w:hint="eastAsia" w:ascii="仿宋" w:hAnsi="仿宋" w:eastAsia="仿宋" w:cs="仿宋"/>
          <w:sz w:val="32"/>
          <w:szCs w:val="32"/>
        </w:rPr>
        <w:t>三公</w:t>
      </w:r>
      <w:r>
        <w:rPr>
          <w:rFonts w:ascii="仿宋" w:hAnsi="仿宋" w:eastAsia="仿宋" w:cs="仿宋"/>
          <w:sz w:val="32"/>
          <w:szCs w:val="32"/>
        </w:rPr>
        <w:t>”</w:t>
      </w:r>
      <w:r>
        <w:rPr>
          <w:rFonts w:hint="eastAsia" w:ascii="仿宋" w:hAnsi="仿宋" w:eastAsia="仿宋" w:cs="仿宋"/>
          <w:sz w:val="32"/>
          <w:szCs w:val="32"/>
        </w:rPr>
        <w:t>经费：纳入省级财政预决算管理的</w:t>
      </w:r>
      <w:r>
        <w:rPr>
          <w:rFonts w:ascii="仿宋" w:hAnsi="仿宋" w:eastAsia="仿宋" w:cs="仿宋"/>
          <w:sz w:val="32"/>
          <w:szCs w:val="32"/>
        </w:rPr>
        <w:t>“</w:t>
      </w:r>
      <w:r>
        <w:rPr>
          <w:rFonts w:hint="eastAsia" w:ascii="仿宋" w:hAnsi="仿宋" w:eastAsia="仿宋" w:cs="仿宋"/>
          <w:sz w:val="32"/>
          <w:szCs w:val="32"/>
        </w:rPr>
        <w:t>三公</w:t>
      </w:r>
      <w:r>
        <w:rPr>
          <w:rFonts w:ascii="仿宋" w:hAnsi="仿宋" w:eastAsia="仿宋" w:cs="仿宋"/>
          <w:sz w:val="32"/>
          <w:szCs w:val="32"/>
        </w:rPr>
        <w:t>”</w:t>
      </w:r>
      <w:r>
        <w:rPr>
          <w:rFonts w:hint="eastAsia" w:ascii="仿宋" w:hAnsi="仿宋" w:eastAsia="仿宋" w:cs="仿宋"/>
          <w:sz w:val="32"/>
          <w:szCs w:val="32"/>
        </w:rPr>
        <w:t xml:space="preserve">经费，是指省级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ind w:firstLine="640" w:firstLineChars="200"/>
        <w:jc w:val="left"/>
        <w:rPr>
          <w:rFonts w:ascii="仿宋" w:hAnsi="仿宋" w:eastAsia="仿宋"/>
          <w:sz w:val="32"/>
          <w:szCs w:val="32"/>
        </w:rPr>
      </w:pPr>
      <w:r>
        <w:rPr>
          <w:rFonts w:hint="eastAsia" w:ascii="仿宋" w:hAnsi="仿宋" w:eastAsia="仿宋" w:cs="仿宋"/>
          <w:color w:val="000000"/>
          <w:kern w:val="0"/>
          <w:sz w:val="32"/>
          <w:szCs w:val="32"/>
        </w:rPr>
        <w:t>十三、机关运行经费：为保障行政单位（含参照公务员法管理的事业单位）运行用于购买货物和服务的各项资金，包括办公及印刷费、邮电费、差旅费、会议</w:t>
      </w:r>
      <w:r>
        <w:rPr>
          <w:rFonts w:hint="eastAsia" w:ascii="仿宋" w:hAnsi="仿宋" w:eastAsia="仿宋"/>
          <w:sz w:val="32"/>
          <w:szCs w:val="32"/>
        </w:rPr>
        <w:t>费、福利费、日常维修费、专用材料及一般设备购置费、办公用房水电费、办公用房取暖费、办公用房物业管理费、公务用车运行维护费以及其他费用。</w:t>
      </w:r>
    </w:p>
    <w:sectPr>
      <w:footerReference r:id="rId9" w:type="default"/>
      <w:pgSz w:w="11906" w:h="16838"/>
      <w:pgMar w:top="1440" w:right="1474" w:bottom="1440" w:left="1474" w:header="851" w:footer="992" w:gutter="0"/>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黑体.....">
    <w:altName w:val="黑体"/>
    <w:panose1 w:val="00000000000000000000"/>
    <w:charset w:val="86"/>
    <w:family w:val="swiss"/>
    <w:pitch w:val="default"/>
    <w:sig w:usb0="00000000" w:usb1="00000000" w:usb2="00000010" w:usb3="00000000" w:csb0="00040000" w:csb1="00000000"/>
  </w:font>
  <w:font w:name="方正小标宋简体">
    <w:altName w:val="仿宋_GB2312"/>
    <w:panose1 w:val="00000000000000000000"/>
    <w:charset w:val="86"/>
    <w:family w:val="script"/>
    <w:pitch w:val="default"/>
    <w:sig w:usb0="00000000" w:usb1="00000000" w:usb2="00000010" w:usb3="00000000" w:csb0="00040000" w:csb1="00000000"/>
  </w:font>
  <w:font w:name="仿宋">
    <w:altName w:val="宋体"/>
    <w:panose1 w:val="00000000000000000000"/>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altName w:val="楷体_GB2312"/>
    <w:panose1 w:val="00000000000000000000"/>
    <w:charset w:val="86"/>
    <w:family w:val="modern"/>
    <w:pitch w:val="default"/>
    <w:sig w:usb0="00000000" w:usb1="00000000" w:usb2="00000016" w:usb3="00000000" w:csb0="00040001" w:csb1="00000000"/>
  </w:font>
  <w:font w:name="Tahoma">
    <w:panose1 w:val="020B0604030504040204"/>
    <w:charset w:val="00"/>
    <w:family w:val="auto"/>
    <w:pitch w:val="default"/>
    <w:sig w:usb0="61007A87" w:usb1="80000000" w:usb2="00000008" w:usb3="00000000" w:csb0="200101FF" w:csb1="20280000"/>
  </w:font>
  <w:font w:name="楷体_GB2312">
    <w:panose1 w:val="0201060903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003" w:usb1="080E0000" w:usb2="00000000" w:usb3="00000000" w:csb0="00040001" w:csb1="00000000"/>
  </w:font>
  <w:font w:name="DotumChe">
    <w:panose1 w:val="020B0609000101010101"/>
    <w:charset w:val="81"/>
    <w:family w:val="auto"/>
    <w:pitch w:val="default"/>
    <w:sig w:usb0="B00002AF" w:usb1="69D77CFB" w:usb2="00000030" w:usb3="00000000" w:csb0="4008009F" w:csb1="DFD70000"/>
  </w:font>
  <w:font w:name="Cambria">
    <w:panose1 w:val="02040503050406030204"/>
    <w:charset w:val="00"/>
    <w:family w:val="auto"/>
    <w:pitch w:val="default"/>
    <w:sig w:usb0="A00002EF" w:usb1="4000004B" w:usb2="00000000" w:usb3="00000000" w:csb0="2000009F" w:csb1="00000000"/>
  </w:font>
  <w:font w:name="宋体-PUA">
    <w:panose1 w:val="02010600030101010101"/>
    <w:charset w:val="86"/>
    <w:family w:val="auto"/>
    <w:pitch w:val="default"/>
    <w:sig w:usb0="00000000" w:usb1="1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84404197"/>
      <w:docPartObj>
        <w:docPartGallery w:val="autotext"/>
      </w:docPartObj>
    </w:sdtPr>
    <w:sdtContent>
      <w:p>
        <w:pPr>
          <w:pStyle w:val="3"/>
          <w:jc w:val="center"/>
        </w:pPr>
        <w:r>
          <w:fldChar w:fldCharType="begin"/>
        </w:r>
        <w:r>
          <w:instrText xml:space="preserve">PAGE   \* MERGEFORMAT</w:instrText>
        </w:r>
        <w:r>
          <w:fldChar w:fldCharType="separate"/>
        </w:r>
        <w:r>
          <w:rPr>
            <w:lang w:val="zh-CN"/>
          </w:rPr>
          <w:t>1</w:t>
        </w:r>
        <w:r>
          <w:fldChar w:fldCharType="end"/>
        </w:r>
      </w:p>
    </w:sdtContent>
  </w:sdt>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C60CC20"/>
    <w:multiLevelType w:val="singleLevel"/>
    <w:tmpl w:val="FC60CC20"/>
    <w:lvl w:ilvl="0" w:tentative="0">
      <w:start w:val="1"/>
      <w:numFmt w:val="chineseCounting"/>
      <w:suff w:val="space"/>
      <w:lvlText w:val="第%1部分"/>
      <w:lvlJc w:val="left"/>
      <w:rPr>
        <w:rFonts w:hint="eastAsia"/>
      </w:rPr>
    </w:lvl>
  </w:abstractNum>
  <w:abstractNum w:abstractNumId="1">
    <w:nsid w:val="6BF56BA8"/>
    <w:multiLevelType w:val="multilevel"/>
    <w:tmpl w:val="6BF56BA8"/>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B409A9"/>
    <w:rsid w:val="0002351C"/>
    <w:rsid w:val="00051C06"/>
    <w:rsid w:val="0007452D"/>
    <w:rsid w:val="00086558"/>
    <w:rsid w:val="000B15EB"/>
    <w:rsid w:val="000E559D"/>
    <w:rsid w:val="000F1138"/>
    <w:rsid w:val="0010732F"/>
    <w:rsid w:val="0012746F"/>
    <w:rsid w:val="001618A9"/>
    <w:rsid w:val="001902C5"/>
    <w:rsid w:val="00193F98"/>
    <w:rsid w:val="001A0FC3"/>
    <w:rsid w:val="001C0FCB"/>
    <w:rsid w:val="001E09A7"/>
    <w:rsid w:val="00215A7F"/>
    <w:rsid w:val="0027318D"/>
    <w:rsid w:val="002C6AB2"/>
    <w:rsid w:val="00306AAB"/>
    <w:rsid w:val="00307912"/>
    <w:rsid w:val="00340EF1"/>
    <w:rsid w:val="003C28CE"/>
    <w:rsid w:val="003F76FA"/>
    <w:rsid w:val="004F1FFD"/>
    <w:rsid w:val="004F60FA"/>
    <w:rsid w:val="005103AE"/>
    <w:rsid w:val="00540990"/>
    <w:rsid w:val="00551698"/>
    <w:rsid w:val="005636F9"/>
    <w:rsid w:val="00586165"/>
    <w:rsid w:val="005C4F6D"/>
    <w:rsid w:val="005C7CE0"/>
    <w:rsid w:val="006344C4"/>
    <w:rsid w:val="0064397E"/>
    <w:rsid w:val="00644184"/>
    <w:rsid w:val="006A3BD6"/>
    <w:rsid w:val="006D6AF4"/>
    <w:rsid w:val="006E094F"/>
    <w:rsid w:val="00776C80"/>
    <w:rsid w:val="007A599F"/>
    <w:rsid w:val="007B05ED"/>
    <w:rsid w:val="007B0B86"/>
    <w:rsid w:val="007B6D34"/>
    <w:rsid w:val="007F1BFC"/>
    <w:rsid w:val="00812434"/>
    <w:rsid w:val="00832783"/>
    <w:rsid w:val="008570CD"/>
    <w:rsid w:val="00857B1A"/>
    <w:rsid w:val="00883CFD"/>
    <w:rsid w:val="0089210B"/>
    <w:rsid w:val="008D6DB5"/>
    <w:rsid w:val="009132B2"/>
    <w:rsid w:val="009B40E6"/>
    <w:rsid w:val="00AA51A1"/>
    <w:rsid w:val="00AF47E3"/>
    <w:rsid w:val="00B02F45"/>
    <w:rsid w:val="00B409A9"/>
    <w:rsid w:val="00B6333A"/>
    <w:rsid w:val="00B949B5"/>
    <w:rsid w:val="00BB547D"/>
    <w:rsid w:val="00BD45E7"/>
    <w:rsid w:val="00BE21C6"/>
    <w:rsid w:val="00C07CB4"/>
    <w:rsid w:val="00C122CC"/>
    <w:rsid w:val="00C43427"/>
    <w:rsid w:val="00C82ECE"/>
    <w:rsid w:val="00CC6497"/>
    <w:rsid w:val="00CD26E1"/>
    <w:rsid w:val="00CD35BB"/>
    <w:rsid w:val="00CD49AD"/>
    <w:rsid w:val="00D0143C"/>
    <w:rsid w:val="00D502CB"/>
    <w:rsid w:val="00D52F5C"/>
    <w:rsid w:val="00D74882"/>
    <w:rsid w:val="00E104EE"/>
    <w:rsid w:val="00E47C61"/>
    <w:rsid w:val="00E57FE8"/>
    <w:rsid w:val="00E61B46"/>
    <w:rsid w:val="00E70C9D"/>
    <w:rsid w:val="00E933DB"/>
    <w:rsid w:val="00EA50C7"/>
    <w:rsid w:val="00EB5C39"/>
    <w:rsid w:val="00EE5E11"/>
    <w:rsid w:val="00EF1A66"/>
    <w:rsid w:val="00F01815"/>
    <w:rsid w:val="00F26985"/>
    <w:rsid w:val="00FB707A"/>
    <w:rsid w:val="028C77DE"/>
    <w:rsid w:val="03306B4F"/>
    <w:rsid w:val="057D0274"/>
    <w:rsid w:val="07AC549F"/>
    <w:rsid w:val="097228B2"/>
    <w:rsid w:val="0B993404"/>
    <w:rsid w:val="0D0456EA"/>
    <w:rsid w:val="10BB678F"/>
    <w:rsid w:val="11201F12"/>
    <w:rsid w:val="124C1C9A"/>
    <w:rsid w:val="1BAF43AD"/>
    <w:rsid w:val="1E312445"/>
    <w:rsid w:val="21594D3B"/>
    <w:rsid w:val="27D761B0"/>
    <w:rsid w:val="2B5C3381"/>
    <w:rsid w:val="2C19565E"/>
    <w:rsid w:val="32147FA4"/>
    <w:rsid w:val="325078A3"/>
    <w:rsid w:val="32670332"/>
    <w:rsid w:val="3AED50DE"/>
    <w:rsid w:val="3F911F76"/>
    <w:rsid w:val="46121E04"/>
    <w:rsid w:val="47382A93"/>
    <w:rsid w:val="48DF0ED8"/>
    <w:rsid w:val="4B2027B7"/>
    <w:rsid w:val="502B373F"/>
    <w:rsid w:val="50FB3967"/>
    <w:rsid w:val="52F86ECF"/>
    <w:rsid w:val="540D121D"/>
    <w:rsid w:val="59D76FFF"/>
    <w:rsid w:val="5C375C55"/>
    <w:rsid w:val="5C487E3C"/>
    <w:rsid w:val="5D560E48"/>
    <w:rsid w:val="5E686993"/>
    <w:rsid w:val="5F5354BE"/>
    <w:rsid w:val="6597151F"/>
    <w:rsid w:val="68DB4398"/>
    <w:rsid w:val="6A1A4517"/>
    <w:rsid w:val="6B1D7679"/>
    <w:rsid w:val="6CE903B4"/>
    <w:rsid w:val="6E32055D"/>
    <w:rsid w:val="709F3BC3"/>
    <w:rsid w:val="70E21472"/>
    <w:rsid w:val="73F3777E"/>
    <w:rsid w:val="753C0B0F"/>
    <w:rsid w:val="75AA27CD"/>
    <w:rsid w:val="75FD6452"/>
    <w:rsid w:val="762F7584"/>
    <w:rsid w:val="79C42F98"/>
    <w:rsid w:val="7B493AB2"/>
    <w:rsid w:val="7C66365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0"/>
    <w:semiHidden/>
    <w:unhideWhenUsed/>
    <w:qFormat/>
    <w:uiPriority w:val="99"/>
    <w:pPr>
      <w:spacing w:line="240" w:lineRule="auto"/>
    </w:pPr>
    <w:rPr>
      <w:sz w:val="18"/>
      <w:szCs w:val="18"/>
    </w:rPr>
  </w:style>
  <w:style w:type="paragraph" w:styleId="3">
    <w:name w:val="footer"/>
    <w:basedOn w:val="1"/>
    <w:link w:val="12"/>
    <w:unhideWhenUsed/>
    <w:qFormat/>
    <w:uiPriority w:val="99"/>
    <w:pPr>
      <w:tabs>
        <w:tab w:val="center" w:pos="4153"/>
        <w:tab w:val="right" w:pos="8306"/>
      </w:tabs>
      <w:snapToGrid w:val="0"/>
      <w:spacing w:line="240" w:lineRule="auto"/>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5">
    <w:name w:val="Normal (Web)"/>
    <w:basedOn w:val="1"/>
    <w:unhideWhenUsed/>
    <w:qFormat/>
    <w:uiPriority w:val="0"/>
    <w:pPr>
      <w:spacing w:before="100" w:beforeAutospacing="1" w:after="100" w:afterAutospacing="1"/>
      <w:jc w:val="left"/>
    </w:pPr>
    <w:rPr>
      <w:rFonts w:cs="Times New Roman"/>
      <w:kern w:val="0"/>
      <w:sz w:val="24"/>
      <w:szCs w:val="22"/>
    </w:rPr>
  </w:style>
  <w:style w:type="paragraph" w:customStyle="1" w:styleId="8">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9">
    <w:name w:val="List Paragraph"/>
    <w:basedOn w:val="1"/>
    <w:qFormat/>
    <w:uiPriority w:val="34"/>
    <w:pPr>
      <w:ind w:firstLine="420" w:firstLineChars="200"/>
    </w:pPr>
  </w:style>
  <w:style w:type="character" w:customStyle="1" w:styleId="10">
    <w:name w:val="批注框文本 Char"/>
    <w:basedOn w:val="7"/>
    <w:link w:val="2"/>
    <w:semiHidden/>
    <w:qFormat/>
    <w:uiPriority w:val="99"/>
    <w:rPr>
      <w:sz w:val="18"/>
      <w:szCs w:val="18"/>
    </w:rPr>
  </w:style>
  <w:style w:type="character" w:customStyle="1" w:styleId="11">
    <w:name w:val="页眉 Char"/>
    <w:basedOn w:val="7"/>
    <w:link w:val="4"/>
    <w:qFormat/>
    <w:uiPriority w:val="99"/>
    <w:rPr>
      <w:sz w:val="18"/>
      <w:szCs w:val="18"/>
    </w:rPr>
  </w:style>
  <w:style w:type="character" w:customStyle="1" w:styleId="12">
    <w:name w:val="页脚 Char"/>
    <w:basedOn w:val="7"/>
    <w:link w:val="3"/>
    <w:qFormat/>
    <w:uiPriority w:val="99"/>
    <w:rPr>
      <w:sz w:val="18"/>
      <w:szCs w:val="18"/>
    </w:rPr>
  </w:style>
  <w:style w:type="paragraph" w:styleId="13">
    <w:name w:val="No Spacing"/>
    <w:link w:val="14"/>
    <w:qFormat/>
    <w:uiPriority w:val="1"/>
    <w:rPr>
      <w:rFonts w:asciiTheme="minorHAnsi" w:hAnsiTheme="minorHAnsi" w:eastAsiaTheme="minorEastAsia" w:cstheme="minorBidi"/>
      <w:kern w:val="0"/>
      <w:sz w:val="22"/>
      <w:szCs w:val="22"/>
      <w:lang w:val="en-US" w:eastAsia="zh-CN" w:bidi="ar-SA"/>
    </w:rPr>
  </w:style>
  <w:style w:type="character" w:customStyle="1" w:styleId="14">
    <w:name w:val="无间隔 Char"/>
    <w:basedOn w:val="7"/>
    <w:link w:val="13"/>
    <w:qFormat/>
    <w:uiPriority w:val="1"/>
    <w:rPr>
      <w:kern w:val="0"/>
      <w:sz w:val="22"/>
    </w:rPr>
  </w:style>
  <w:style w:type="paragraph" w:customStyle="1" w:styleId="15">
    <w:name w:val="WPSOffice手动目录 1"/>
    <w:uiPriority w:val="0"/>
    <w:pPr>
      <w:ind w:leftChars="0"/>
    </w:pPr>
    <w:rPr>
      <w:sz w:val="20"/>
      <w:szCs w:val="20"/>
    </w:rPr>
  </w:style>
  <w:style w:type="paragraph" w:customStyle="1" w:styleId="16">
    <w:name w:val="WPSOffice手动目录 2"/>
    <w:uiPriority w:val="0"/>
    <w:pPr>
      <w:ind w:leftChars="200"/>
    </w:pPr>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glossaryDocument" Target="glossary/document.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7a2d62c8-9fe2-4272-9c1b-78b3a73ff9cb}"/>
        <w:style w:val=""/>
        <w:category>
          <w:name w:val="常规"/>
          <w:gallery w:val="placeholder"/>
        </w:category>
        <w:types>
          <w:type w:val="bbPlcHdr"/>
        </w:types>
        <w:behaviors>
          <w:behavior w:val="content"/>
        </w:behaviors>
        <w:description w:val=""/>
        <w:guid w:val="{7a2d62c8-9fe2-4272-9c1b-78b3a73ff9cb}"/>
      </w:docPartPr>
      <w:docPartBody>
        <w:p>
          <w:r>
            <w:rPr>
              <w:color w:val="808080"/>
            </w:rPr>
            <w:t>单击此处输入文字。</w:t>
          </w:r>
        </w:p>
      </w:docPartBody>
    </w:docPart>
    <w:docPart>
      <w:docPartPr>
        <w:name w:val="{09ec3362-2600-4d21-8716-c5ed88990117}"/>
        <w:style w:val=""/>
        <w:category>
          <w:name w:val="常规"/>
          <w:gallery w:val="placeholder"/>
        </w:category>
        <w:types>
          <w:type w:val="bbPlcHdr"/>
        </w:types>
        <w:behaviors>
          <w:behavior w:val="content"/>
        </w:behaviors>
        <w:description w:val=""/>
        <w:guid w:val="{09ec3362-2600-4d21-8716-c5ed88990117}"/>
      </w:docPartPr>
      <w:docPartBody>
        <w:p>
          <w:r>
            <w:rPr>
              <w:color w:val="808080"/>
            </w:rPr>
            <w:t>单击此处输入文字。</w:t>
          </w:r>
        </w:p>
      </w:docPartBody>
    </w:docPart>
    <w:docPart>
      <w:docPartPr>
        <w:name w:val="{3a07354a-fe15-458d-acfb-3473e0f670c9}"/>
        <w:style w:val=""/>
        <w:category>
          <w:name w:val="常规"/>
          <w:gallery w:val="placeholder"/>
        </w:category>
        <w:types>
          <w:type w:val="bbPlcHdr"/>
        </w:types>
        <w:behaviors>
          <w:behavior w:val="content"/>
        </w:behaviors>
        <w:description w:val=""/>
        <w:guid w:val="{3a07354a-fe15-458d-acfb-3473e0f670c9}"/>
      </w:docPartPr>
      <w:docPartBody>
        <w:p>
          <w:r>
            <w:rPr>
              <w:color w:val="808080"/>
            </w:rPr>
            <w:t>单击此处输入文字。</w:t>
          </w:r>
        </w:p>
      </w:docPartBody>
    </w:docPart>
    <w:docPart>
      <w:docPartPr>
        <w:name w:val="{8f4f162c-f16e-4731-9f80-40d04f6dd62b}"/>
        <w:style w:val=""/>
        <w:category>
          <w:name w:val="常规"/>
          <w:gallery w:val="placeholder"/>
        </w:category>
        <w:types>
          <w:type w:val="bbPlcHdr"/>
        </w:types>
        <w:behaviors>
          <w:behavior w:val="content"/>
        </w:behaviors>
        <w:description w:val=""/>
        <w:guid w:val="{8f4f162c-f16e-4731-9f80-40d04f6dd62b}"/>
      </w:docPartPr>
      <w:docPartBody>
        <w:p>
          <w:r>
            <w:rPr>
              <w:color w:val="808080"/>
            </w:rPr>
            <w:t>单击此处输入文字。</w:t>
          </w:r>
        </w:p>
      </w:docPartBody>
    </w:docPart>
    <w:docPart>
      <w:docPartPr>
        <w:name w:val="{1f19b50f-958a-435b-a3d1-ea3363cbdf6a}"/>
        <w:style w:val=""/>
        <w:category>
          <w:name w:val="常规"/>
          <w:gallery w:val="placeholder"/>
        </w:category>
        <w:types>
          <w:type w:val="bbPlcHdr"/>
        </w:types>
        <w:behaviors>
          <w:behavior w:val="content"/>
        </w:behaviors>
        <w:description w:val=""/>
        <w:guid w:val="{1f19b50f-958a-435b-a3d1-ea3363cbdf6a}"/>
      </w:docPartPr>
      <w:docPartBody>
        <w:p>
          <w:r>
            <w:rPr>
              <w:color w:val="808080"/>
            </w:rPr>
            <w:t>单击此处输入文字。</w:t>
          </w:r>
        </w:p>
      </w:docPartBody>
    </w:docPart>
    <w:docPart>
      <w:docPartPr>
        <w:name w:val="{6d215288-63c3-4a0b-84a4-a9f4ade51771}"/>
        <w:style w:val=""/>
        <w:category>
          <w:name w:val="常规"/>
          <w:gallery w:val="placeholder"/>
        </w:category>
        <w:types>
          <w:type w:val="bbPlcHdr"/>
        </w:types>
        <w:behaviors>
          <w:behavior w:val="content"/>
        </w:behaviors>
        <w:description w:val=""/>
        <w:guid w:val="{6d215288-63c3-4a0b-84a4-a9f4ade51771}"/>
      </w:docPartPr>
      <w:docPartBody>
        <w:p>
          <w:r>
            <w:rPr>
              <w:color w:val="808080"/>
            </w:rPr>
            <w:t>单击此处输入文字。</w:t>
          </w:r>
        </w:p>
      </w:docPartBody>
    </w:docPart>
    <w:docPart>
      <w:docPartPr>
        <w:name w:val="{28af989f-db95-459d-aa1e-a445f5a47621}"/>
        <w:style w:val=""/>
        <w:category>
          <w:name w:val="常规"/>
          <w:gallery w:val="placeholder"/>
        </w:category>
        <w:types>
          <w:type w:val="bbPlcHdr"/>
        </w:types>
        <w:behaviors>
          <w:behavior w:val="content"/>
        </w:behaviors>
        <w:description w:val=""/>
        <w:guid w:val="{28af989f-db95-459d-aa1e-a445f5a47621}"/>
      </w:docPartPr>
      <w:docPartBody>
        <w:p>
          <w:r>
            <w:rPr>
              <w:color w:val="808080"/>
            </w:rPr>
            <w:t>单击此处输入文字。</w:t>
          </w:r>
        </w:p>
      </w:docPartBody>
    </w:docPart>
    <w:docPart>
      <w:docPartPr>
        <w:name w:val="{46f3c2aa-6211-4e73-ad83-f336d8b43db6}"/>
        <w:style w:val=""/>
        <w:category>
          <w:name w:val="常规"/>
          <w:gallery w:val="placeholder"/>
        </w:category>
        <w:types>
          <w:type w:val="bbPlcHdr"/>
        </w:types>
        <w:behaviors>
          <w:behavior w:val="content"/>
        </w:behaviors>
        <w:description w:val=""/>
        <w:guid w:val="{46f3c2aa-6211-4e73-ad83-f336d8b43db6}"/>
      </w:docPartPr>
      <w:docPartBody>
        <w:p>
          <w:r>
            <w:rPr>
              <w:color w:val="808080"/>
            </w:rPr>
            <w:t>单击此处输入文字。</w:t>
          </w:r>
        </w:p>
      </w:docPartBody>
    </w:docPart>
    <w:docPart>
      <w:docPartPr>
        <w:name w:val="{f2583825-a50a-494f-9d6e-aa2204f8885e}"/>
        <w:style w:val=""/>
        <w:category>
          <w:name w:val="常规"/>
          <w:gallery w:val="placeholder"/>
        </w:category>
        <w:types>
          <w:type w:val="bbPlcHdr"/>
        </w:types>
        <w:behaviors>
          <w:behavior w:val="content"/>
        </w:behaviors>
        <w:description w:val=""/>
        <w:guid w:val="{f2583825-a50a-494f-9d6e-aa2204f8885e}"/>
      </w:docPartPr>
      <w:docPartBody>
        <w:p>
          <w:r>
            <w:rPr>
              <w:color w:val="808080"/>
            </w:rPr>
            <w:t>单击此处输入文字。</w:t>
          </w:r>
        </w:p>
      </w:docPartBody>
    </w:docPart>
    <w:docPart>
      <w:docPartPr>
        <w:name w:val="{ff7df2db-3b29-48a7-871c-e7ead2c50b7e}"/>
        <w:style w:val=""/>
        <w:category>
          <w:name w:val="常规"/>
          <w:gallery w:val="placeholder"/>
        </w:category>
        <w:types>
          <w:type w:val="bbPlcHdr"/>
        </w:types>
        <w:behaviors>
          <w:behavior w:val="content"/>
        </w:behaviors>
        <w:description w:val=""/>
        <w:guid w:val="{ff7df2db-3b29-48a7-871c-e7ead2c50b7e}"/>
      </w:docPartPr>
      <w:docPartBody>
        <w:p>
          <w:r>
            <w:rPr>
              <w:color w:val="808080"/>
            </w:rPr>
            <w:t>单击此处输入文字。</w:t>
          </w:r>
        </w:p>
      </w:docPartBody>
    </w:docPart>
    <w:docPart>
      <w:docPartPr>
        <w:name w:val="{438dfc8e-8f5a-4944-9975-31aa6d993945}"/>
        <w:style w:val=""/>
        <w:category>
          <w:name w:val="常规"/>
          <w:gallery w:val="placeholder"/>
        </w:category>
        <w:types>
          <w:type w:val="bbPlcHdr"/>
        </w:types>
        <w:behaviors>
          <w:behavior w:val="content"/>
        </w:behaviors>
        <w:description w:val=""/>
        <w:guid w:val="{438dfc8e-8f5a-4944-9975-31aa6d993945}"/>
      </w:docPartPr>
      <w:docPartBody>
        <w:p>
          <w:r>
            <w:rPr>
              <w:color w:val="808080"/>
            </w:rPr>
            <w:t>单击此处输入文字。</w:t>
          </w:r>
        </w:p>
      </w:docPartBody>
    </w:docPart>
    <w:docPart>
      <w:docPartPr>
        <w:name w:val="{85708eb8-1a2a-4cc7-95c2-39a31b1db103}"/>
        <w:style w:val=""/>
        <w:category>
          <w:name w:val="常规"/>
          <w:gallery w:val="placeholder"/>
        </w:category>
        <w:types>
          <w:type w:val="bbPlcHdr"/>
        </w:types>
        <w:behaviors>
          <w:behavior w:val="content"/>
        </w:behaviors>
        <w:description w:val=""/>
        <w:guid w:val="{85708eb8-1a2a-4cc7-95c2-39a31b1db103}"/>
      </w:docPartPr>
      <w:docPartBody>
        <w:p>
          <w:r>
            <w:rPr>
              <w:color w:val="808080"/>
            </w:rPr>
            <w:t>单击此处输入文字。</w:t>
          </w:r>
        </w:p>
      </w:docPartBody>
    </w:docPart>
    <w:docPart>
      <w:docPartPr>
        <w:name w:val="{a02a1814-7514-4177-bd17-17635ab9fb10}"/>
        <w:style w:val=""/>
        <w:category>
          <w:name w:val="常规"/>
          <w:gallery w:val="placeholder"/>
        </w:category>
        <w:types>
          <w:type w:val="bbPlcHdr"/>
        </w:types>
        <w:behaviors>
          <w:behavior w:val="content"/>
        </w:behaviors>
        <w:description w:val=""/>
        <w:guid w:val="{a02a1814-7514-4177-bd17-17635ab9fb10}"/>
      </w:docPartPr>
      <w:docPartBody>
        <w:p>
          <w:r>
            <w:rPr>
              <w:color w:val="808080"/>
            </w:rPr>
            <w:t>单击此处输入文字。</w:t>
          </w:r>
        </w:p>
      </w:docPartBody>
    </w:docPart>
    <w:docPart>
      <w:docPartPr>
        <w:name w:val="{eccf0de3-7e35-4a6b-b80e-c1320a87096c}"/>
        <w:style w:val=""/>
        <w:category>
          <w:name w:val="常规"/>
          <w:gallery w:val="placeholder"/>
        </w:category>
        <w:types>
          <w:type w:val="bbPlcHdr"/>
        </w:types>
        <w:behaviors>
          <w:behavior w:val="content"/>
        </w:behaviors>
        <w:description w:val=""/>
        <w:guid w:val="{eccf0de3-7e35-4a6b-b80e-c1320a87096c}"/>
      </w:docPartPr>
      <w:docPartBody>
        <w:p>
          <w:r>
            <w:rPr>
              <w:color w:val="808080"/>
            </w:rPr>
            <w:t>单击此处输入文字。</w:t>
          </w:r>
        </w:p>
      </w:docPartBody>
    </w:docPart>
    <w:docPart>
      <w:docPartPr>
        <w:name w:val="{df4ef711-9521-4791-8ec3-19b8fea66352}"/>
        <w:style w:val=""/>
        <w:category>
          <w:name w:val="常规"/>
          <w:gallery w:val="placeholder"/>
        </w:category>
        <w:types>
          <w:type w:val="bbPlcHdr"/>
        </w:types>
        <w:behaviors>
          <w:behavior w:val="content"/>
        </w:behaviors>
        <w:description w:val=""/>
        <w:guid w:val="{df4ef711-9521-4791-8ec3-19b8fea66352}"/>
      </w:docPartPr>
      <w:docPartBody>
        <w:p>
          <w:r>
            <w:rPr>
              <w:color w:val="808080"/>
            </w:rPr>
            <w:t>单击此处输入文字。</w:t>
          </w:r>
        </w:p>
      </w:docPartBody>
    </w:docPart>
    <w:docPart>
      <w:docPartPr>
        <w:name w:val="{982eecdc-1f1e-4def-9cc8-32ee3805a500}"/>
        <w:style w:val=""/>
        <w:category>
          <w:name w:val="常规"/>
          <w:gallery w:val="placeholder"/>
        </w:category>
        <w:types>
          <w:type w:val="bbPlcHdr"/>
        </w:types>
        <w:behaviors>
          <w:behavior w:val="content"/>
        </w:behaviors>
        <w:description w:val=""/>
        <w:guid w:val="{982eecdc-1f1e-4def-9cc8-32ee3805a500}"/>
      </w:docPartPr>
      <w:docPartBody>
        <w:p>
          <w:r>
            <w:rPr>
              <w:color w:val="808080"/>
            </w:rPr>
            <w:t>单击此处输入文字。</w:t>
          </w:r>
        </w:p>
      </w:docPartBody>
    </w:docPart>
    <w:docPart>
      <w:docPartPr>
        <w:name w:val="{d84550b5-9ffc-47ff-9ee4-589d9d1bd166}"/>
        <w:style w:val=""/>
        <w:category>
          <w:name w:val="常规"/>
          <w:gallery w:val="placeholder"/>
        </w:category>
        <w:types>
          <w:type w:val="bbPlcHdr"/>
        </w:types>
        <w:behaviors>
          <w:behavior w:val="content"/>
        </w:behaviors>
        <w:description w:val=""/>
        <w:guid w:val="{d84550b5-9ffc-47ff-9ee4-589d9d1bd166}"/>
      </w:docPartPr>
      <w:docPartBody>
        <w:p>
          <w:r>
            <w:rPr>
              <w:color w:val="808080"/>
            </w:rPr>
            <w:t>单击此处输入文字。</w:t>
          </w:r>
        </w:p>
      </w:docPartBody>
    </w:docPart>
    <w:docPart>
      <w:docPartPr>
        <w:name w:val="{8aaf2753-f08e-430d-92f4-7879a1e134a1}"/>
        <w:style w:val=""/>
        <w:category>
          <w:name w:val="常规"/>
          <w:gallery w:val="placeholder"/>
        </w:category>
        <w:types>
          <w:type w:val="bbPlcHdr"/>
        </w:types>
        <w:behaviors>
          <w:behavior w:val="content"/>
        </w:behaviors>
        <w:description w:val=""/>
        <w:guid w:val="{8aaf2753-f08e-430d-92f4-7879a1e134a1}"/>
      </w:docPartPr>
      <w:docPartBody>
        <w:p>
          <w:r>
            <w:rPr>
              <w:color w:val="808080"/>
            </w:rPr>
            <w:t>单击此处输入文字。</w:t>
          </w:r>
        </w:p>
      </w:docPartBody>
    </w:docPart>
    <w:docPart>
      <w:docPartPr>
        <w:name w:val="{43ffe6b7-ec51-4aff-8642-149f2fb06b8b}"/>
        <w:style w:val=""/>
        <w:category>
          <w:name w:val="常规"/>
          <w:gallery w:val="placeholder"/>
        </w:category>
        <w:types>
          <w:type w:val="bbPlcHdr"/>
        </w:types>
        <w:behaviors>
          <w:behavior w:val="content"/>
        </w:behaviors>
        <w:description w:val=""/>
        <w:guid w:val="{43ffe6b7-ec51-4aff-8642-149f2fb06b8b}"/>
      </w:docPartPr>
      <w:docPartBody>
        <w:p>
          <w:r>
            <w:rPr>
              <w:color w:val="808080"/>
            </w:rPr>
            <w:t>单击此处输入文字。</w:t>
          </w:r>
        </w:p>
      </w:docPartBody>
    </w:docPart>
    <w:docPart>
      <w:docPartPr>
        <w:name w:val="{bc88fd33-7e42-4425-bf02-ddd843c92b61}"/>
        <w:style w:val=""/>
        <w:category>
          <w:name w:val="常规"/>
          <w:gallery w:val="placeholder"/>
        </w:category>
        <w:types>
          <w:type w:val="bbPlcHdr"/>
        </w:types>
        <w:behaviors>
          <w:behavior w:val="content"/>
        </w:behaviors>
        <w:description w:val=""/>
        <w:guid w:val="{bc88fd33-7e42-4425-bf02-ddd843c92b61}"/>
      </w:docPartPr>
      <w:docPartBody>
        <w:p>
          <w:r>
            <w:rPr>
              <w:color w:val="808080"/>
            </w:rPr>
            <w:t>单击此处输入文字。</w:t>
          </w:r>
        </w:p>
      </w:docPartBody>
    </w:docPart>
    <w:docPart>
      <w:docPartPr>
        <w:name w:val="{f86ab524-346d-4331-9e77-6507986f1fd2}"/>
        <w:style w:val=""/>
        <w:category>
          <w:name w:val="常规"/>
          <w:gallery w:val="placeholder"/>
        </w:category>
        <w:types>
          <w:type w:val="bbPlcHdr"/>
        </w:types>
        <w:behaviors>
          <w:behavior w:val="content"/>
        </w:behaviors>
        <w:description w:val=""/>
        <w:guid w:val="{f86ab524-346d-4331-9e77-6507986f1fd2}"/>
      </w:docPartPr>
      <w:docPartBody>
        <w:p>
          <w:r>
            <w:rPr>
              <w:color w:val="808080"/>
            </w:rPr>
            <w:t>单击此处输入文字。</w:t>
          </w:r>
        </w:p>
      </w:docPartBody>
    </w:docPart>
    <w:docPart>
      <w:docPartPr>
        <w:name w:val="{523a2005-4b85-4ca0-93c8-c2afcc62d35f}"/>
        <w:style w:val=""/>
        <w:category>
          <w:name w:val="常规"/>
          <w:gallery w:val="placeholder"/>
        </w:category>
        <w:types>
          <w:type w:val="bbPlcHdr"/>
        </w:types>
        <w:behaviors>
          <w:behavior w:val="content"/>
        </w:behaviors>
        <w:description w:val=""/>
        <w:guid w:val="{523a2005-4b85-4ca0-93c8-c2afcc62d35f}"/>
      </w:docPartPr>
      <w:docPartBody>
        <w:p>
          <w:r>
            <w:rPr>
              <w:color w:val="808080"/>
            </w:rPr>
            <w:t>单击此处输入文字。</w:t>
          </w:r>
        </w:p>
      </w:docPartBody>
    </w:docPart>
    <w:docPart>
      <w:docPartPr>
        <w:name w:val="{fcd01317-5984-4e5d-ad10-bd8af983f951}"/>
        <w:style w:val=""/>
        <w:category>
          <w:name w:val="常规"/>
          <w:gallery w:val="placeholder"/>
        </w:category>
        <w:types>
          <w:type w:val="bbPlcHdr"/>
        </w:types>
        <w:behaviors>
          <w:behavior w:val="content"/>
        </w:behaviors>
        <w:description w:val=""/>
        <w:guid w:val="{fcd01317-5984-4e5d-ad10-bd8af983f951}"/>
      </w:docPartPr>
      <w:docPartBody>
        <w:p>
          <w:r>
            <w:rPr>
              <w:color w:val="808080"/>
            </w:rPr>
            <w:t>单击此处输入文字。</w:t>
          </w:r>
        </w:p>
      </w:docPartBody>
    </w:docPart>
    <w:docPart>
      <w:docPartPr>
        <w:name w:val="{ca6752ef-52da-4677-9f84-7b173c707d6f}"/>
        <w:style w:val=""/>
        <w:category>
          <w:name w:val="常规"/>
          <w:gallery w:val="placeholder"/>
        </w:category>
        <w:types>
          <w:type w:val="bbPlcHdr"/>
        </w:types>
        <w:behaviors>
          <w:behavior w:val="content"/>
        </w:behaviors>
        <w:description w:val=""/>
        <w:guid w:val="{ca6752ef-52da-4677-9f84-7b173c707d6f}"/>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2"/>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78F694-067A-41CA-8B28-EB168860E40C}">
  <ds:schemaRefs/>
</ds:datastoreItem>
</file>

<file path=docProps/app.xml><?xml version="1.0" encoding="utf-8"?>
<Properties xmlns="http://schemas.openxmlformats.org/officeDocument/2006/extended-properties" xmlns:vt="http://schemas.openxmlformats.org/officeDocument/2006/docPropsVTypes">
  <Template>Normal.dotm</Template>
  <Company>dell</Company>
  <Pages>19</Pages>
  <Words>1532</Words>
  <Characters>8739</Characters>
  <Lines>72</Lines>
  <Paragraphs>20</Paragraphs>
  <TotalTime>70</TotalTime>
  <ScaleCrop>false</ScaleCrop>
  <LinksUpToDate>false</LinksUpToDate>
  <CharactersWithSpaces>10251</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2020-07-23T08:14:00Z</dcterms:created>
  <dc:creator>刘菁</dc:creator>
  <cp:lastModifiedBy>LQX</cp:lastModifiedBy>
  <cp:lastPrinted>2020-07-22T10:11:00Z</cp:lastPrinted>
  <dcterms:modified xsi:type="dcterms:W3CDTF">2020-11-06T02:23:21Z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