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20" w:lineRule="exact"/>
        <w:textAlignment w:val="auto"/>
        <w:outlineLvl w:val="9"/>
        <w:rPr>
          <w:rFonts w:hint="eastAsia" w:ascii="仿宋_GB2312" w:hAnsi="仿宋_GB2312" w:cs="仿宋_GB2312"/>
          <w:szCs w:val="32"/>
          <w:lang w:val="en-US" w:eastAsia="zh-CN"/>
        </w:rPr>
      </w:pPr>
      <w:bookmarkStart w:id="0" w:name="_GoBack"/>
    </w:p>
    <w:bookmarkEnd w:id="0"/>
    <w:tbl>
      <w:tblPr>
        <w:tblStyle w:val="4"/>
        <w:tblW w:w="92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34"/>
        <w:gridCol w:w="920"/>
        <w:gridCol w:w="4584"/>
        <w:gridCol w:w="2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9" w:hRule="atLeast"/>
          <w:jc w:val="center"/>
        </w:trPr>
        <w:tc>
          <w:tcPr>
            <w:tcW w:w="9258" w:type="dxa"/>
            <w:gridSpan w:val="4"/>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outlineLvl w:val="9"/>
              <w:rPr>
                <w:rFonts w:hint="eastAsia" w:ascii="黑体" w:hAnsi="黑体" w:eastAsia="黑体" w:cs="黑体"/>
                <w:i w:val="0"/>
                <w:color w:val="000000"/>
                <w:kern w:val="0"/>
                <w:sz w:val="32"/>
                <w:szCs w:val="32"/>
                <w:u w:val="none"/>
                <w:lang w:val="en-US" w:eastAsia="zh-CN" w:bidi="ar"/>
              </w:rPr>
            </w:pPr>
            <w:r>
              <w:rPr>
                <w:rFonts w:hint="eastAsia" w:ascii="黑体" w:hAnsi="黑体" w:eastAsia="黑体" w:cs="黑体"/>
                <w:i w:val="0"/>
                <w:color w:val="000000"/>
                <w:kern w:val="0"/>
                <w:sz w:val="32"/>
                <w:szCs w:val="32"/>
                <w:u w:val="none"/>
                <w:lang w:val="en-US" w:eastAsia="zh-CN" w:bidi="ar"/>
              </w:rPr>
              <w:t>附件</w:t>
            </w:r>
          </w:p>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outlineLvl w:val="9"/>
              <w:rPr>
                <w:rFonts w:hint="eastAsia" w:ascii="方正小标宋简体" w:hAnsi="方正小标宋简体" w:eastAsia="方正小标宋简体" w:cs="方正小标宋简体"/>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t>2022年蓝溪镇兽用抗菌药使用减量化</w:t>
            </w:r>
          </w:p>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outlineLvl w:val="9"/>
              <w:rPr>
                <w:rFonts w:hint="eastAsia" w:ascii="方正小标宋简体" w:hAnsi="方正小标宋简体" w:eastAsia="方正小标宋简体" w:cs="方正小标宋简体"/>
                <w:i w:val="0"/>
                <w:color w:val="000000"/>
                <w:sz w:val="36"/>
                <w:szCs w:val="36"/>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工作任务分解表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4" w:hRule="atLeast"/>
          <w:jc w:val="center"/>
        </w:trPr>
        <w:tc>
          <w:tcPr>
            <w:tcW w:w="9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序号</w:t>
            </w:r>
          </w:p>
        </w:tc>
        <w:tc>
          <w:tcPr>
            <w:tcW w:w="9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村别</w:t>
            </w:r>
          </w:p>
        </w:tc>
        <w:tc>
          <w:tcPr>
            <w:tcW w:w="74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任务数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4" w:hRule="atLeast"/>
          <w:jc w:val="center"/>
        </w:trPr>
        <w:tc>
          <w:tcPr>
            <w:tcW w:w="9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b/>
                <w:bCs/>
                <w:i w:val="0"/>
                <w:color w:val="000000"/>
                <w:sz w:val="32"/>
                <w:szCs w:val="32"/>
                <w:u w:val="none"/>
              </w:rPr>
            </w:pPr>
          </w:p>
        </w:tc>
        <w:tc>
          <w:tcPr>
            <w:tcW w:w="9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b/>
                <w:bCs/>
                <w:i w:val="0"/>
                <w:color w:val="000000"/>
                <w:sz w:val="32"/>
                <w:szCs w:val="32"/>
                <w:u w:val="none"/>
              </w:rPr>
            </w:pPr>
          </w:p>
        </w:tc>
        <w:tc>
          <w:tcPr>
            <w:tcW w:w="45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生猪行业（个）</w:t>
            </w:r>
          </w:p>
        </w:tc>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白羽肉鸡行业（个）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4" w:hRule="atLeast"/>
          <w:jc w:val="center"/>
        </w:trPr>
        <w:tc>
          <w:tcPr>
            <w:tcW w:w="93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c>
          <w:tcPr>
            <w:tcW w:w="92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lang w:eastAsia="zh-CN"/>
              </w:rPr>
            </w:pPr>
            <w:r>
              <w:rPr>
                <w:rFonts w:hint="eastAsia" w:ascii="仿宋_GB2312" w:hAnsi="仿宋_GB2312" w:eastAsia="仿宋_GB2312" w:cs="仿宋_GB2312"/>
                <w:i w:val="0"/>
                <w:color w:val="000000"/>
                <w:sz w:val="32"/>
                <w:szCs w:val="32"/>
                <w:u w:val="none"/>
                <w:lang w:eastAsia="zh-CN"/>
              </w:rPr>
              <w:t>梅永</w:t>
            </w:r>
          </w:p>
        </w:tc>
        <w:tc>
          <w:tcPr>
            <w:tcW w:w="458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1.上杭县蓝溪生态农业开发有限公司</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2.上杭县靓源种养家庭农场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3.温天铭（吕来中）养猪场</w:t>
            </w:r>
          </w:p>
        </w:tc>
        <w:tc>
          <w:tcPr>
            <w:tcW w:w="282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color w:val="000000"/>
                <w:sz w:val="28"/>
                <w:szCs w:val="2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85"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lang w:eastAsia="zh-CN"/>
              </w:rPr>
            </w:pPr>
            <w:r>
              <w:rPr>
                <w:rFonts w:hint="eastAsia" w:ascii="仿宋_GB2312" w:hAnsi="仿宋_GB2312" w:eastAsia="仿宋_GB2312" w:cs="仿宋_GB2312"/>
                <w:i w:val="0"/>
                <w:color w:val="000000"/>
                <w:sz w:val="32"/>
                <w:szCs w:val="32"/>
                <w:u w:val="none"/>
                <w:lang w:eastAsia="zh-CN"/>
              </w:rPr>
              <w:t>蓝溪</w:t>
            </w:r>
          </w:p>
        </w:tc>
        <w:tc>
          <w:tcPr>
            <w:tcW w:w="4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1.上杭县白山下家庭农场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2.上杭县岌背家庭农场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3.上杭县牧顺畜牧业发展有限公司</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4.上杭县蓝溪镇丘德长生猪养殖场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5.丘杭银养猪场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6.丘家春养猪场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7.丘锡和(銮）养猪场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8.丘文银养猪场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9.丘启检养猪场</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lang w:eastAsia="zh-CN"/>
              </w:rPr>
            </w:pPr>
            <w:r>
              <w:rPr>
                <w:rFonts w:hint="eastAsia" w:ascii="仿宋_GB2312" w:hAnsi="仿宋_GB2312" w:eastAsia="仿宋_GB2312" w:cs="仿宋_GB2312"/>
                <w:i w:val="0"/>
                <w:color w:val="000000"/>
                <w:sz w:val="32"/>
                <w:szCs w:val="32"/>
                <w:u w:val="none"/>
                <w:lang w:eastAsia="zh-CN"/>
              </w:rPr>
              <w:t>龙丰</w:t>
            </w:r>
          </w:p>
        </w:tc>
        <w:tc>
          <w:tcPr>
            <w:tcW w:w="4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1.丘先成养猪场  </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2.范学忠养猪场</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lang w:eastAsia="zh-CN"/>
              </w:rPr>
            </w:pPr>
            <w:r>
              <w:rPr>
                <w:rFonts w:hint="eastAsia" w:ascii="仿宋_GB2312" w:hAnsi="仿宋_GB2312" w:eastAsia="仿宋_GB2312" w:cs="仿宋_GB2312"/>
                <w:i w:val="0"/>
                <w:color w:val="000000"/>
                <w:sz w:val="32"/>
                <w:szCs w:val="32"/>
                <w:u w:val="none"/>
                <w:lang w:eastAsia="zh-CN"/>
              </w:rPr>
              <w:t>觉坊</w:t>
            </w:r>
          </w:p>
        </w:tc>
        <w:tc>
          <w:tcPr>
            <w:tcW w:w="4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1.上杭县蓝溪镇廖荣芳生猪养殖场</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2.廖浪平养猪场</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lang w:eastAsia="zh-CN"/>
              </w:rPr>
            </w:pPr>
            <w:r>
              <w:rPr>
                <w:rFonts w:hint="eastAsia" w:ascii="仿宋_GB2312" w:hAnsi="仿宋_GB2312" w:eastAsia="仿宋_GB2312" w:cs="仿宋_GB2312"/>
                <w:i w:val="0"/>
                <w:color w:val="000000"/>
                <w:sz w:val="32"/>
                <w:szCs w:val="32"/>
                <w:u w:val="none"/>
                <w:lang w:eastAsia="zh-CN"/>
              </w:rPr>
              <w:t>载厚</w:t>
            </w:r>
          </w:p>
        </w:tc>
        <w:tc>
          <w:tcPr>
            <w:tcW w:w="4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1.巫应祥养猪场</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2.温国华养猪场</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7"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lang w:eastAsia="zh-CN"/>
              </w:rPr>
            </w:pPr>
            <w:r>
              <w:rPr>
                <w:rFonts w:hint="eastAsia" w:ascii="仿宋_GB2312" w:hAnsi="仿宋_GB2312" w:eastAsia="仿宋_GB2312" w:cs="仿宋_GB2312"/>
                <w:i w:val="0"/>
                <w:color w:val="000000"/>
                <w:sz w:val="32"/>
                <w:szCs w:val="32"/>
                <w:u w:val="none"/>
                <w:lang w:eastAsia="zh-CN"/>
              </w:rPr>
              <w:t>岩华</w:t>
            </w:r>
          </w:p>
        </w:tc>
        <w:tc>
          <w:tcPr>
            <w:tcW w:w="4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1.巫太泳养猪场</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2.巫秋榕养猪场</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7</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仿宋_GB2312" w:eastAsia="仿宋_GB2312" w:cs="仿宋_GB2312"/>
                <w:i w:val="0"/>
                <w:color w:val="000000"/>
                <w:sz w:val="32"/>
                <w:szCs w:val="32"/>
                <w:u w:val="none"/>
                <w:lang w:eastAsia="zh-CN"/>
              </w:rPr>
            </w:pPr>
            <w:r>
              <w:rPr>
                <w:rFonts w:hint="eastAsia" w:ascii="仿宋_GB2312" w:hAnsi="仿宋_GB2312" w:eastAsia="仿宋_GB2312" w:cs="仿宋_GB2312"/>
                <w:i w:val="0"/>
                <w:color w:val="000000"/>
                <w:sz w:val="32"/>
                <w:szCs w:val="32"/>
                <w:u w:val="none"/>
                <w:lang w:eastAsia="zh-CN"/>
              </w:rPr>
              <w:t>湖里</w:t>
            </w:r>
          </w:p>
        </w:tc>
        <w:tc>
          <w:tcPr>
            <w:tcW w:w="4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1上杭县黄伟梅养殖场（鸡）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32"/>
                <w:szCs w:val="32"/>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32"/>
                <w:szCs w:val="32"/>
                <w:u w:val="none"/>
              </w:rPr>
            </w:pPr>
          </w:p>
        </w:tc>
        <w:tc>
          <w:tcPr>
            <w:tcW w:w="4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32"/>
                <w:szCs w:val="32"/>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32"/>
                <w:szCs w:val="32"/>
                <w:u w:val="none"/>
              </w:rPr>
            </w:pPr>
          </w:p>
        </w:tc>
        <w:tc>
          <w:tcPr>
            <w:tcW w:w="4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kern w:val="0"/>
                <w:sz w:val="32"/>
                <w:szCs w:val="32"/>
                <w:u w:val="none"/>
                <w:lang w:val="en-US" w:eastAsia="zh-CN" w:bidi="ar"/>
              </w:rPr>
            </w:pPr>
          </w:p>
        </w:tc>
        <w:tc>
          <w:tcPr>
            <w:tcW w:w="92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kern w:val="0"/>
                <w:sz w:val="32"/>
                <w:szCs w:val="32"/>
                <w:u w:val="none"/>
                <w:lang w:val="en-US" w:eastAsia="zh-CN" w:bidi="ar"/>
              </w:rPr>
            </w:pPr>
          </w:p>
        </w:tc>
        <w:tc>
          <w:tcPr>
            <w:tcW w:w="4584"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82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1" w:hRule="atLeast"/>
          <w:jc w:val="center"/>
        </w:trPr>
        <w:tc>
          <w:tcPr>
            <w:tcW w:w="934"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合计</w:t>
            </w:r>
          </w:p>
        </w:tc>
        <w:tc>
          <w:tcPr>
            <w:tcW w:w="92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32"/>
                <w:szCs w:val="32"/>
                <w:u w:val="none"/>
              </w:rPr>
            </w:pPr>
          </w:p>
        </w:tc>
        <w:tc>
          <w:tcPr>
            <w:tcW w:w="4584"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32"/>
                <w:szCs w:val="32"/>
                <w:u w:val="none"/>
                <w:lang w:val="en-US" w:eastAsia="zh-CN"/>
              </w:rPr>
            </w:pPr>
            <w:r>
              <w:rPr>
                <w:rFonts w:hint="eastAsia" w:ascii="仿宋_GB2312" w:hAnsi="仿宋_GB2312" w:eastAsia="仿宋_GB2312" w:cs="仿宋_GB2312"/>
                <w:i w:val="0"/>
                <w:color w:val="000000"/>
                <w:sz w:val="32"/>
                <w:szCs w:val="32"/>
                <w:u w:val="none"/>
                <w:lang w:val="en-US" w:eastAsia="zh-CN"/>
              </w:rPr>
              <w:t>20</w:t>
            </w:r>
          </w:p>
        </w:tc>
        <w:tc>
          <w:tcPr>
            <w:tcW w:w="282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32"/>
                <w:szCs w:val="32"/>
                <w:u w:val="none"/>
                <w:lang w:val="en-US" w:eastAsia="zh-CN"/>
              </w:rPr>
            </w:pPr>
            <w:r>
              <w:rPr>
                <w:rFonts w:hint="eastAsia" w:ascii="仿宋_GB2312" w:hAnsi="仿宋_GB2312" w:eastAsia="仿宋_GB2312" w:cs="仿宋_GB2312"/>
                <w:i w:val="0"/>
                <w:color w:val="000000"/>
                <w:sz w:val="32"/>
                <w:szCs w:val="32"/>
                <w:u w:val="none"/>
                <w:lang w:val="en-US" w:eastAsia="zh-CN"/>
              </w:rPr>
              <w:t>1</w:t>
            </w:r>
          </w:p>
        </w:tc>
      </w:tr>
    </w:tbl>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default" w:ascii="黑体" w:hAnsi="黑体" w:eastAsia="黑体" w:cs="黑体"/>
          <w:i w:val="0"/>
          <w:color w:val="000000"/>
          <w:kern w:val="0"/>
          <w:sz w:val="32"/>
          <w:szCs w:val="32"/>
          <w:u w:val="none"/>
          <w:lang w:val="en-US" w:eastAsia="zh-CN" w:bidi="ar"/>
        </w:rPr>
      </w:pPr>
      <w:r>
        <w:rPr>
          <w:rFonts w:hint="eastAsia" w:ascii="黑体" w:hAnsi="黑体" w:eastAsia="黑体" w:cs="黑体"/>
          <w:i w:val="0"/>
          <w:color w:val="000000"/>
          <w:kern w:val="0"/>
          <w:sz w:val="32"/>
          <w:szCs w:val="32"/>
          <w:u w:val="none"/>
          <w:lang w:val="en-US" w:eastAsia="zh-CN" w:bidi="ar"/>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养殖场规范使用兽药承诺书</w:t>
      </w:r>
    </w:p>
    <w:p>
      <w:pPr>
        <w:keepNext w:val="0"/>
        <w:keepLines w:val="0"/>
        <w:pageBreakBefore w:val="0"/>
        <w:widowControl w:val="0"/>
        <w:kinsoku/>
        <w:wordWrap/>
        <w:overflowPunct/>
        <w:topLinePunct w:val="0"/>
        <w:autoSpaceDE/>
        <w:autoSpaceDN/>
        <w:bidi w:val="0"/>
        <w:adjustRightInd/>
        <w:snapToGrid/>
        <w:spacing w:line="570" w:lineRule="exact"/>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为确保</w:t>
      </w:r>
      <w:r>
        <w:rPr>
          <w:rFonts w:hint="eastAsia" w:ascii="仿宋_GB2312" w:hAnsi="仿宋_GB2312" w:eastAsia="仿宋_GB2312" w:cs="仿宋_GB2312"/>
          <w:sz w:val="32"/>
          <w:szCs w:val="32"/>
          <w:lang w:eastAsia="zh-CN"/>
        </w:rPr>
        <w:t>畜禽产品</w:t>
      </w:r>
      <w:r>
        <w:rPr>
          <w:rFonts w:hint="eastAsia" w:ascii="仿宋_GB2312" w:hAnsi="仿宋_GB2312" w:eastAsia="仿宋_GB2312" w:cs="仿宋_GB2312"/>
          <w:sz w:val="32"/>
          <w:szCs w:val="32"/>
        </w:rPr>
        <w:t>质量安全，切实履行企业质量安全主体责任，本场（人）</w:t>
      </w:r>
      <w:r>
        <w:rPr>
          <w:rFonts w:hint="eastAsia" w:ascii="仿宋_GB2312" w:hAnsi="仿宋_GB2312" w:eastAsia="仿宋_GB2312" w:cs="仿宋_GB2312"/>
          <w:sz w:val="32"/>
          <w:szCs w:val="32"/>
          <w:lang w:eastAsia="zh-CN"/>
        </w:rPr>
        <w:t>作</w:t>
      </w:r>
      <w:r>
        <w:rPr>
          <w:rFonts w:hint="eastAsia" w:ascii="仿宋_GB2312" w:hAnsi="仿宋_GB2312" w:eastAsia="仿宋_GB2312" w:cs="仿宋_GB2312"/>
          <w:sz w:val="32"/>
          <w:szCs w:val="32"/>
        </w:rPr>
        <w:t>如下郑重承诺：</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 xml:space="preserve">严格遵守《中华人民共和国动物防疫法》《兽药管理条例》《饲料和饲料添加剂管理条例》，农业农村部《兽用处方药和非处方药管理办法》《食品动物中禁止使用的药品及其它化合物清单》《禁止在饲料和动物饮用水中使用的药物品种目录》等有关法规政策。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二、正确认识兽药的防病治病效能，规范和安全用药，不盲目、不滥用兽药，不使用禁用药物，保证不引起动物源性食品质量安全事件。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三、购买合法兽药。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严格对供应商资质和产品合法性进行评估审核，及时收集保管相关资质材料；从合法渠道采购兽药，妥善保存发货单、发票等进货原始凭证。</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通过互联网电子交易方式购买的兽药，严格审查企业和产品的合法资质，索要并妥善保管交易凭证。</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）不</w:t>
      </w:r>
      <w:r>
        <w:rPr>
          <w:rFonts w:hint="eastAsia" w:ascii="仿宋_GB2312" w:hAnsi="仿宋_GB2312" w:eastAsia="仿宋_GB2312" w:cs="仿宋_GB2312"/>
          <w:sz w:val="32"/>
          <w:szCs w:val="32"/>
        </w:rPr>
        <w:t>釆购使用非法企业产品、假劣兽药、非法添加其它物质的兽药产品、标准废止兽药产品、兽药标签违规产品。</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不采购使用没有取得《进口兽药注册证书》或未按规定完成批签发手续的非法进口兽药产品及兽用生物制品。</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四、正确使用兽药。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）严格按照适应症、用法与用量、休药期、免疫规程等兽药安全使用规定使用兽药。防止滥用、乱用、误用兽用抗菌药，兽用处方药凭兽医开具的处方笺购买和使用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不在饲料和动物饮用水中添加激素类药品和国务院兽医管理部门规定的其他禁用药品、不将原料药直接添加到饲料及动物饮用水中或者直接饲喂动物、不将人用药品用于畜禽养殖、产蛋期不使用产蛋期禁用的药物。</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）严格执行兽药休药期规定，不销售尚在用药期、休药期内的动物及其产品用于食品消费。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使用兽药后严格按照规定建立完整真实的诊疗和用药记录。</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发现假、劣兽药以及兽药不良反应及时向兽药管理部门报告。</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五、配合各级</w:t>
      </w:r>
      <w:r>
        <w:rPr>
          <w:rFonts w:hint="eastAsia" w:ascii="仿宋_GB2312" w:hAnsi="仿宋_GB2312" w:eastAsia="仿宋_GB2312" w:cs="仿宋_GB2312"/>
          <w:sz w:val="32"/>
          <w:szCs w:val="32"/>
          <w:lang w:eastAsia="zh-CN"/>
        </w:rPr>
        <w:t>监管部门</w:t>
      </w:r>
      <w:r>
        <w:rPr>
          <w:rFonts w:hint="eastAsia" w:ascii="仿宋_GB2312" w:hAnsi="仿宋_GB2312" w:eastAsia="仿宋_GB2312" w:cs="仿宋_GB2312"/>
          <w:sz w:val="32"/>
          <w:szCs w:val="32"/>
        </w:rPr>
        <w:t xml:space="preserve">的监督。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六、本单位（个人）自愿签署承诺书，并对上述承诺内容负责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自愿承担因违反上述承诺所产生的法律责任。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承诺单位（盖章）：</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承诺人（签名）：</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2240" w:firstLineChars="7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 xml:space="preserve">  月  </w:t>
      </w:r>
      <w:r>
        <w:rPr>
          <w:rFonts w:hint="eastAsia" w:ascii="仿宋_GB2312" w:hAnsi="仿宋_GB2312" w:eastAsia="仿宋_GB2312" w:cs="仿宋_GB2312"/>
          <w:sz w:val="32"/>
          <w:szCs w:val="32"/>
        </w:rPr>
        <w:t>日</w:t>
      </w:r>
    </w:p>
    <w:p>
      <w:pPr>
        <w:spacing w:line="360" w:lineRule="auto"/>
        <w:ind w:firstLine="480" w:firstLineChars="150"/>
        <w:rPr>
          <w:rFonts w:hint="eastAsia" w:ascii="方正小标宋简体" w:hAnsi="方正小标宋简体" w:eastAsia="方正小标宋简体" w:cs="方正小标宋简体"/>
          <w:sz w:val="32"/>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eastAsia" w:ascii="黑体" w:hAnsi="黑体" w:eastAsia="黑体" w:cs="黑体"/>
          <w:i w:val="0"/>
          <w:color w:val="000000"/>
          <w:kern w:val="0"/>
          <w:sz w:val="32"/>
          <w:szCs w:val="32"/>
          <w:u w:val="none"/>
          <w:lang w:val="en-US" w:eastAsia="zh-CN" w:bidi="ar"/>
        </w:rPr>
        <w:sectPr>
          <w:footerReference r:id="rId3" w:type="default"/>
          <w:pgSz w:w="11906" w:h="16838"/>
          <w:pgMar w:top="1814" w:right="1474" w:bottom="1701" w:left="1474" w:header="851" w:footer="907" w:gutter="0"/>
          <w:pgNumType w:fmt="numberInDash"/>
          <w:cols w:space="0" w:num="1"/>
          <w:rtlGutter w:val="0"/>
          <w:docGrid w:type="lines" w:linePitch="444" w:charSpace="0"/>
        </w:sectPr>
      </w:pP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eastAsia" w:ascii="黑体" w:hAnsi="黑体" w:eastAsia="黑体" w:cs="黑体"/>
          <w:i w:val="0"/>
          <w:color w:val="000000"/>
          <w:kern w:val="0"/>
          <w:sz w:val="32"/>
          <w:szCs w:val="32"/>
          <w:u w:val="none"/>
          <w:lang w:val="en-US" w:eastAsia="zh-CN" w:bidi="ar"/>
        </w:rPr>
      </w:pPr>
      <w:r>
        <w:rPr>
          <w:rFonts w:hint="eastAsia" w:ascii="黑体" w:hAnsi="黑体" w:eastAsia="黑体" w:cs="黑体"/>
          <w:i w:val="0"/>
          <w:color w:val="000000"/>
          <w:kern w:val="0"/>
          <w:sz w:val="32"/>
          <w:szCs w:val="32"/>
          <w:u w:val="none"/>
          <w:lang w:val="en-US" w:eastAsia="zh-CN" w:bidi="ar"/>
        </w:rPr>
        <w:t xml:space="preserve">附件3 </w:t>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养殖场减抗效果评价打分表</w:t>
      </w:r>
    </w:p>
    <w:tbl>
      <w:tblPr>
        <w:tblStyle w:val="4"/>
        <w:tblW w:w="10960" w:type="dxa"/>
        <w:jc w:val="center"/>
        <w:tblLayout w:type="fixed"/>
        <w:tblCellMar>
          <w:top w:w="0" w:type="dxa"/>
          <w:left w:w="108" w:type="dxa"/>
          <w:bottom w:w="0" w:type="dxa"/>
          <w:right w:w="108" w:type="dxa"/>
        </w:tblCellMar>
      </w:tblPr>
      <w:tblGrid>
        <w:gridCol w:w="467"/>
        <w:gridCol w:w="318"/>
        <w:gridCol w:w="885"/>
        <w:gridCol w:w="1560"/>
        <w:gridCol w:w="3120"/>
        <w:gridCol w:w="3705"/>
        <w:gridCol w:w="470"/>
        <w:gridCol w:w="435"/>
      </w:tblGrid>
      <w:tr>
        <w:tblPrEx>
          <w:tblCellMar>
            <w:top w:w="0" w:type="dxa"/>
            <w:left w:w="108" w:type="dxa"/>
            <w:bottom w:w="0" w:type="dxa"/>
            <w:right w:w="108" w:type="dxa"/>
          </w:tblCellMar>
        </w:tblPrEx>
        <w:trPr>
          <w:cantSplit/>
          <w:trHeight w:val="23" w:hRule="atLeast"/>
          <w:tblHeader/>
          <w:jc w:val="center"/>
        </w:trPr>
        <w:tc>
          <w:tcPr>
            <w:tcW w:w="4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序号</w:t>
            </w:r>
          </w:p>
        </w:tc>
        <w:tc>
          <w:tcPr>
            <w:tcW w:w="2763"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评价条款</w:t>
            </w:r>
          </w:p>
        </w:tc>
        <w:tc>
          <w:tcPr>
            <w:tcW w:w="312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基本要求</w:t>
            </w:r>
          </w:p>
        </w:tc>
        <w:tc>
          <w:tcPr>
            <w:tcW w:w="370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打分标准</w:t>
            </w:r>
          </w:p>
        </w:tc>
        <w:tc>
          <w:tcPr>
            <w:tcW w:w="47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分值</w:t>
            </w:r>
          </w:p>
        </w:tc>
        <w:tc>
          <w:tcPr>
            <w:tcW w:w="43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评分</w:t>
            </w:r>
          </w:p>
        </w:tc>
      </w:tr>
      <w:tr>
        <w:tblPrEx>
          <w:tblCellMar>
            <w:top w:w="0" w:type="dxa"/>
            <w:left w:w="108" w:type="dxa"/>
            <w:bottom w:w="0" w:type="dxa"/>
            <w:right w:w="108" w:type="dxa"/>
          </w:tblCellMar>
        </w:tblPrEx>
        <w:trPr>
          <w:cantSplit/>
          <w:trHeight w:val="23" w:hRule="atLeast"/>
          <w:jc w:val="center"/>
        </w:trPr>
        <w:tc>
          <w:tcPr>
            <w:tcW w:w="46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318"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养殖场基本条件（共25分）</w:t>
            </w:r>
          </w:p>
        </w:tc>
        <w:tc>
          <w:tcPr>
            <w:tcW w:w="88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兽医人员及兽医技术服务（占10分）</w:t>
            </w: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兽医人员配备或兽医技术服务保障情况（不超过5分）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养殖场一般应配备执业兽医或中专以上兽医专业人员，或应有其他稳定、可靠的兽医技术服务</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有专职兽医人员，且数量和资质能满足需求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有兽医技术服务（包括社会化服务），能保证养殖场的动物诊疗需求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兽医人员应具有相当的诊疗能力（不超过3分）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兽医人员应具备依据动物行为表现、发病症状、临床检查和必要的病理剖检等做出初步诊断能力</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兽医人员能够及时观察到畜群异常，并做出初步判断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兽医人员可依据动物症状、剖检等做出准确的诊断判断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兽医人员合理使用抗菌药的水平和能力（不超过2分）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兽医人员能依据动物发病状况、用药指征和药物敏感性结果合理选择抗菌药并制定用药方案</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兽医人员能依据动物发病状况、用药指征选择抗菌药并制定用药方案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兽医人员能运用药物敏感性测试结果合理选择抗菌药并制定用药方案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兽医诊疗条件（占7分）</w:t>
            </w: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具备兽医诊疗场所及必要的兽医诊疗设施设备（不超过2分）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养殖场一般应设有兽医人员办公及诊疗、化验的场所，应配备与开展一般诊疗、化验工作相适应的设施、设备</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有兽医人员办公及诊疗、化验的场所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已配备开展诊疗、化验工作相适应的设施、设备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具备一定诊疗、化验工作能力（不超过3分）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能够开展常规的临床检验、生化检验和必要的血清学检验工作</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能够开展临床检验工作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0.5</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能够开展生化检验工作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能够开展必要的血清学检验工作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1.5</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具备必要的病理学诊断和药敏试验能力或相关技术服务（不超过2分）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能够开展病理学诊断、抗菌药敏感性试验，包括社会化技术服务，并能将相关试验结果用于指导选择用药</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具备病理学诊断能力并能开展相关工作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具备运用细菌分离和抗菌药敏感性试验结果指导选择用药的能力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兽药储存条件（占2分）</w:t>
            </w: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应具备必要的药物储存场所（不超过2分）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一般应设有温度可控的、独立的药房（或与库房一体）及冰柜等设施，以保证储存药品的质量</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具备符合规定的药房、冰箱、冰柜等药品贮存场所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能满足药品贮存的温控、遮光等条件基本要求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生物安全保障（占6分）</w:t>
            </w: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养殖场选址与内部区划的隔离和畜禽舍环境的控制（不超过3分）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养殖场与交通干线、居民区、屠宰场及其他养殖场有一定距离；场区内净道与污道无交叉；能有效控制畜禽舍环境</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养殖场与交通干线、居民区、屠宰场及其他养殖场均有一定距离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355"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净道与污道无交叉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300"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畜禽舍环境清洁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560"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具备可靠的消毒设施情况（不超过2分）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车辆、人员通道，生产区入口，畜禽舍入口等关键位置均应设有消毒设施</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车辆、人员通道，生产区入口等位置均设有消毒设施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369"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畜禽舍入口位置设有消毒设施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有可靠的粪污及病死动物无害化处理设施（不超过1分）</w:t>
            </w:r>
          </w:p>
        </w:tc>
        <w:tc>
          <w:tcPr>
            <w:tcW w:w="312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应有行之有效的粪污清理设施，能保证畜舍及场区整洁；有病死动物无害化处理的设施或渠道</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具备有效的粪污清理设施和制度</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0.5</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具备病死动物无害化处理的设施或渠道</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0.5</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318"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养殖场基本制度（共15分）</w:t>
            </w:r>
          </w:p>
        </w:tc>
        <w:tc>
          <w:tcPr>
            <w:tcW w:w="2445"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生物安全管理制度（占3分）</w:t>
            </w:r>
          </w:p>
        </w:tc>
        <w:tc>
          <w:tcPr>
            <w:tcW w:w="31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应有生物安全管理制度，包括车辆、人员、物料进出管理，动物引进，消毒管理，环境卫生，饲养员管理，免疫计划落实，病死动物剖检及无害化处理等</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有整套生物安全管理制度；内容应包括人员、物料进出管理，动物引进，消毒管理，环境卫生，饲养员管理，免疫计划落实，病死动物剖检及无害化处理；如有内容不齐全或不合理，</w:t>
            </w:r>
            <w:r>
              <w:rPr>
                <w:rFonts w:hint="eastAsia" w:ascii="仿宋_GB2312" w:hAnsi="仿宋_GB2312" w:eastAsia="仿宋_GB2312" w:cs="仿宋_GB2312"/>
                <w:spacing w:val="-11"/>
                <w:kern w:val="0"/>
                <w:sz w:val="21"/>
                <w:szCs w:val="21"/>
              </w:rPr>
              <w:t xml:space="preserve">每涉及1项扣减1分，最低0分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244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兽药供应商评估制度（占2分）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应有兽药供应商评估制度，基本内容包括不同供应商产品质量、疗效、性价比及不良反应等的评价</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有兽药供应商评价制度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244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评价制度内容科学合理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244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兽药出入库管理制度（占2分）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应有兽药出入库管理制度，基本内容包括出入库登记、分别按流水和品种建账、凭单出入</w:t>
            </w:r>
            <w:r>
              <w:rPr>
                <w:rFonts w:hint="eastAsia" w:ascii="仿宋_GB2312" w:hAnsi="仿宋_GB2312" w:eastAsia="仿宋_GB2312" w:cs="仿宋_GB2312"/>
                <w:spacing w:val="-6"/>
                <w:kern w:val="0"/>
                <w:sz w:val="21"/>
                <w:szCs w:val="21"/>
              </w:rPr>
              <w:t>库及凭证存档、定期盘库、盘存账物平衡、上传二维码、抗菌药（包括加药饲料）专账管理等</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有出入库管理制度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244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管理制度科学合理、内容完整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244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兽医诊断与用药制度（占3分）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应有兽医诊断与用药制度，基本内容包括兽医岗位职责、兽医工作规范、国家制度落实（禁用药管理、处方药管理、兽医处方管理、休药期管理）以及规范用药相关内容</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有兽医诊断与用药制度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244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兽医诊断与用药制度科学合理、内容完整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244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记录制度（占3分）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应有记录制度，基本内容至少包括三个方面，一是明确应建立记录的岗位、环节、事件，二是保证记录准确性和真实性，要求做到可查找、可统计、可追溯，三是记录管理，如责任人签名、存档时间等</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有记录制度</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244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记录制度科学合理、内容完整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2445"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其他制度（占2分）</w:t>
            </w:r>
          </w:p>
        </w:tc>
        <w:tc>
          <w:tcPr>
            <w:tcW w:w="31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除上述制度外，还应有其他配套的制度，如卫生制度、免疫接种制度、饲料及饲料加工、档案管理等</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配套制度应完善合理，每缺少1项扣减1分，最低0分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890" w:hRule="atLeast"/>
          <w:jc w:val="center"/>
        </w:trPr>
        <w:tc>
          <w:tcPr>
            <w:tcW w:w="46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w:t>
            </w:r>
          </w:p>
        </w:tc>
        <w:tc>
          <w:tcPr>
            <w:tcW w:w="318"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相关记录（共30分）</w:t>
            </w:r>
          </w:p>
        </w:tc>
        <w:tc>
          <w:tcPr>
            <w:tcW w:w="88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兽用抗菌药出入库记录（占6分）</w:t>
            </w: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有抗菌药物的购入、领用、库存等一系列记录（不超过2分）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所有兽用抗菌药（包括加药饲料）的购入、领用及库存，均应有完整的记录</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有兽用抗菌药购入、领用、库存等方面的记录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有完整的加药饲料（抗菌药物）购入、领用、库存等方面的记录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相关记录内容完整（不超过2分）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记录内容应包括兽药通用名称、含量规格、数量、批准文号、生产批号、生产企业名称等</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记录内容完整、涵盖兽药通用名称、含量规格、数量、批准文号、生产批号、生产企业名称等方面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记录内容准确一致、可追溯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记录账物平衡（不超过2分）</w:t>
            </w:r>
          </w:p>
        </w:tc>
        <w:tc>
          <w:tcPr>
            <w:tcW w:w="31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要做到账物平衡</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账物平衡，购买记录、出入库记录相互对应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兽医诊疗记录（占10分）</w:t>
            </w: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兽医诊疗记录（不超过4分）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治疗性用药均应有完整的兽医诊疗记录</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有细致的兽医诊疗记录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兽医诊疗记录应完整，并与用药记录内容一致；每发现缺少1项扣减1分，最低0分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诊疗记录内容（不超过2分）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记录内容至少包括动物疾病症状、检查、诊断、用药及转归情况</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记录包括基本要求全部内容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记录准确一致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动物解剖记录（不超过2分）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应有病死动物或典型病例剖检记录，包括大体剖检和必要的病理解剖学检查</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有病死或典型病例动物解剖记录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有必要的病理解剖学检查记录（包括委托）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药物敏感性试验记录（不超过1分）</w:t>
            </w:r>
          </w:p>
        </w:tc>
        <w:tc>
          <w:tcPr>
            <w:tcW w:w="31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应有药物敏感性试验记录</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有药物敏感性试验记录（包括委托）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兽医处方记录（不超过1分）</w:t>
            </w:r>
          </w:p>
        </w:tc>
        <w:tc>
          <w:tcPr>
            <w:tcW w:w="31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抗菌药的使用应有兽医处方记录，包括用药对象及其数量、诊断结果、兽药名称、剂量、疗程和必要的休药期提示</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每次抗菌药使用均有兽医处方记录，内容包括用药对象及其数量、诊断结果、兽药名称、剂量、疗程和必要的休药期提示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用药记录（占10分）</w:t>
            </w: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完整的用药记录（不超过5分）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用药记录完整，特别是兽用抗菌药，包括加药饲料的用药记录完整</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有兽用抗菌药使用记录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兽用抗菌药使用记录完整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有加药饲料（兽用抗菌药）的用药记录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加药饲料（兽用抗菌药）的用药记录完整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用药记录内容（不超过5分）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用药记录内容应详实，应具体到品种、规格、使用量和用药次数，且与兽医诊疗、处方、药房用药记录一致</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用药记录内容详实完整，包括品种、规格、使用量和用药次数等信息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用药记录内容与兽医诊疗、处方、药房用药等相应记录一致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其他记录（占4分）</w:t>
            </w:r>
          </w:p>
        </w:tc>
        <w:tc>
          <w:tcPr>
            <w:tcW w:w="1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其他相关记录（不超过4分）</w:t>
            </w:r>
          </w:p>
        </w:tc>
        <w:tc>
          <w:tcPr>
            <w:tcW w:w="31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包括环境卫生、消毒、人员及车辆出入、疫苗接种等记录，各项管理制度能得到有效的落实</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环境卫生、消毒、人员及车辆出入、疫苗接种等相关记录完整，与管理制度一致；每缺少1项记录内容扣减1分，最低0分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w:t>
            </w:r>
          </w:p>
        </w:tc>
        <w:tc>
          <w:tcPr>
            <w:tcW w:w="318"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减量化行动试点效果（共30分）</w:t>
            </w:r>
          </w:p>
        </w:tc>
        <w:tc>
          <w:tcPr>
            <w:tcW w:w="88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单位畜禽产品抗菌药使用量（以下简称单位产品用药量）（占10分）</w:t>
            </w: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单位产品用药量规定水平(不超过10分）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按每生产1吨畜禽产品（毛重）抗菌药的使用量计算，应分别控制在鸡蛋100 g，肉鸡、肉鸭100 g（生长期不超过60天）或120 g （生长期超过60天），生猪150 g，肉羊、肉牛100 g，牛奶50 g以内</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提交兽用抗菌药物使用减量化试点情况报告，且内容须包括动物或动物产品产出与抗菌药使用总体情况、养殖批统计情况</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单位产品用药量控制在规定要求内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6</w:t>
            </w:r>
          </w:p>
        </w:tc>
        <w:tc>
          <w:tcPr>
            <w:tcW w:w="43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单位产品用药量超出规定要求，且超出量不超过要求的120%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w:t>
            </w:r>
          </w:p>
        </w:tc>
        <w:tc>
          <w:tcPr>
            <w:tcW w:w="43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单位产品用药量超出规定要求，且超出量为规定要求的120%-150%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单位产品用药量超出规定要求，且超出量为规定要求的150%以上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减量化行动试点前后对比（占10分）</w:t>
            </w: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试点前后对比，单位产品用药量环比(不超过10分）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如果单位产品用药量没有达到相关要求，试点前后环比应相应降低</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提交兽用抗菌药使用减量化行动试点情况报告，且内容包括当年和前一年的动物产品产出量和抗菌药使用量，以及单位动物产品产出的抗菌药使用量数据</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单位产品用药量已经控制在规定要求内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6</w:t>
            </w:r>
          </w:p>
        </w:tc>
        <w:tc>
          <w:tcPr>
            <w:tcW w:w="43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单位产品用药量未达到相关要求，试点前后环比降低50%以上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6</w:t>
            </w:r>
          </w:p>
        </w:tc>
        <w:tc>
          <w:tcPr>
            <w:tcW w:w="43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单位产品用药量未达到相关要求，试点前后环比降低20%-50%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w:t>
            </w:r>
          </w:p>
        </w:tc>
        <w:tc>
          <w:tcPr>
            <w:tcW w:w="43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单位产品用药量未达到相关要求，试点前后环比降低不足20%或没有降低的.</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养殖场积极参加减量化行动试点，主动制定减量化行动方案，并定期开展自查自评（占10分）</w:t>
            </w: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制定三年减抗方案并积极组织实施(不超过3分）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制定三年减抗方案并能够积极组织实施，定期开展自查和自我评价</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已制定三年减抗方案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能够开展自查自评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试点前后养殖效益对比(不超过3分）</w:t>
            </w:r>
          </w:p>
        </w:tc>
        <w:tc>
          <w:tcPr>
            <w:tcW w:w="312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对试点前后一定时段内（各12个月以上），养殖场死淘率、主要疾病的发病率、用药成本等情况进行比较分析</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对试点前后的养殖效益相关情况进行了比较分析，将相关分析结果列入分析总结报告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减抗经验及具体措施的总结(不超过4分）</w:t>
            </w:r>
          </w:p>
        </w:tc>
        <w:tc>
          <w:tcPr>
            <w:tcW w:w="3120"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分析总结中药产品、免疫增强剂或其他替代产品或措施实施情况；对于自繁自养以及出售仔雏的养殖场，应提供种畜禽养殖及仔雏产出数量、兽用抗菌药使用情况的分析总结</w:t>
            </w: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对减抗经验及具体措施进行总结分析并提交详细报告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tblPrEx>
          <w:tblCellMar>
            <w:top w:w="0" w:type="dxa"/>
            <w:left w:w="108" w:type="dxa"/>
            <w:bottom w:w="0" w:type="dxa"/>
            <w:right w:w="108" w:type="dxa"/>
          </w:tblCellMar>
        </w:tblPrEx>
        <w:trPr>
          <w:cantSplit/>
          <w:trHeight w:val="23" w:hRule="atLeast"/>
          <w:jc w:val="center"/>
        </w:trPr>
        <w:tc>
          <w:tcPr>
            <w:tcW w:w="46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318"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p>
        </w:tc>
        <w:tc>
          <w:tcPr>
            <w:tcW w:w="8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156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120"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p>
        </w:tc>
        <w:tc>
          <w:tcPr>
            <w:tcW w:w="37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提交试点期间兽用抗菌药使用情况总结报告 </w:t>
            </w:r>
          </w:p>
        </w:tc>
        <w:tc>
          <w:tcPr>
            <w:tcW w:w="47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4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bl>
    <w:p>
      <w:pPr>
        <w:spacing w:line="600" w:lineRule="exact"/>
        <w:jc w:val="center"/>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spacing w:line="570" w:lineRule="exact"/>
        <w:textAlignment w:val="auto"/>
        <w:rPr>
          <w:rFonts w:hint="eastAsia" w:ascii="黑体" w:hAnsi="黑体" w:eastAsia="黑体" w:cs="黑体"/>
          <w:sz w:val="32"/>
          <w:szCs w:val="32"/>
          <w:lang w:eastAsia="zh-CN"/>
        </w:rPr>
        <w:sectPr>
          <w:pgSz w:w="11906" w:h="16838"/>
          <w:pgMar w:top="1417" w:right="1134" w:bottom="1134" w:left="1134" w:header="851" w:footer="907" w:gutter="0"/>
          <w:pgNumType w:fmt="numberInDash"/>
          <w:cols w:space="0" w:num="1"/>
          <w:rtlGutter w:val="0"/>
          <w:docGrid w:type="lines" w:linePitch="446" w:charSpace="0"/>
        </w:sectPr>
      </w:pPr>
    </w:p>
    <w:p>
      <w:pPr>
        <w:keepNext w:val="0"/>
        <w:keepLines w:val="0"/>
        <w:pageBreakBefore w:val="0"/>
        <w:widowControl w:val="0"/>
        <w:kinsoku/>
        <w:wordWrap/>
        <w:overflowPunct/>
        <w:topLinePunct w:val="0"/>
        <w:autoSpaceDE/>
        <w:autoSpaceDN/>
        <w:bidi w:val="0"/>
        <w:spacing w:line="57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200" w:lineRule="exac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养殖场减抗效果评价材料要求</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s="仿宋_GB2312"/>
          <w:sz w:val="32"/>
          <w:szCs w:val="32"/>
        </w:rPr>
      </w:pPr>
      <w:r>
        <w:rPr>
          <w:rFonts w:hint="eastAsia"/>
          <w:sz w:val="22"/>
        </w:rPr>
        <w:t xml:space="preserve">  </w:t>
      </w:r>
      <w:r>
        <w:rPr>
          <w:rFonts w:hint="eastAsia"/>
          <w:sz w:val="24"/>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一、养殖场减抗效果自评报告</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对照《试点养殖场减抗效果评价打分表》（附件1）的赋分标准，试点养殖场开展自评，逐项赋分并说明赋分依据，填写自评表</w:t>
      </w:r>
      <w:r>
        <w:rPr>
          <w:rFonts w:hint="eastAsia" w:ascii="仿宋_GB2312" w:hAnsi="仿宋_GB2312" w:eastAsia="仿宋_GB2312" w:cs="仿宋_GB2312"/>
          <w:spacing w:val="-6"/>
          <w:sz w:val="32"/>
          <w:szCs w:val="32"/>
        </w:rPr>
        <w:t>并附填表说明，提供必要的证明材料。如养殖场标明未使用兽用抗菌药的，应说明防治细菌性感染的具体措施和抗菌药替代品的使用情况。</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二、养殖场实施兽用抗菌药使用减量化试点情况报告</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养殖场应提供实施减量化试点一年来兽用抗菌药减量化使用情况报告，报告应包括以下内容。</w:t>
      </w:r>
    </w:p>
    <w:p>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outlineLvl w:val="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（一）动物或动物产品产出与抗菌药使用总体情况</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全场总体水平上，提供并统计全年（顺延年，如2019年5月20日至2020年5月19日）动物或动物产品产出总量及同期兽用抗菌药（包括促生长类药物饲料添加剂）使用总量（以原料为统计口径），分别填写表1-3。计算单位动物或动物产品产出的抗菌药使用量。</w:t>
      </w:r>
    </w:p>
    <w:p>
      <w:pPr>
        <w:keepNext w:val="0"/>
        <w:keepLines w:val="0"/>
        <w:pageBreakBefore w:val="0"/>
        <w:widowControl w:val="0"/>
        <w:kinsoku/>
        <w:wordWrap/>
        <w:overflowPunct/>
        <w:topLinePunct w:val="0"/>
        <w:autoSpaceDE/>
        <w:autoSpaceDN/>
        <w:bidi w:val="0"/>
        <w:spacing w:line="57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表1  实施减抗一年间全场动物或动物产品产出量汇总</w:t>
      </w:r>
    </w:p>
    <w:tbl>
      <w:tblPr>
        <w:tblStyle w:val="4"/>
        <w:tblW w:w="8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7"/>
        <w:gridCol w:w="1843"/>
        <w:gridCol w:w="2043"/>
        <w:gridCol w:w="2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7"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育雏/仔/羔/犊数</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（只/头）</w:t>
            </w:r>
          </w:p>
        </w:tc>
        <w:tc>
          <w:tcPr>
            <w:tcW w:w="184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育成数</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（只/头）</w:t>
            </w:r>
          </w:p>
        </w:tc>
        <w:tc>
          <w:tcPr>
            <w:tcW w:w="204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出栏数</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（只/头）</w:t>
            </w:r>
          </w:p>
        </w:tc>
        <w:tc>
          <w:tcPr>
            <w:tcW w:w="238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出栏（产蛋/奶）量</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87"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firstLine="9" w:firstLineChars="4"/>
              <w:jc w:val="center"/>
              <w:textAlignment w:val="auto"/>
              <w:outlineLvl w:val="9"/>
              <w:rPr>
                <w:rFonts w:hint="eastAsia" w:ascii="仿宋_GB2312" w:hAnsi="仿宋_GB2312" w:eastAsia="仿宋_GB2312" w:cs="仿宋_GB2312"/>
                <w:sz w:val="24"/>
                <w:szCs w:val="24"/>
              </w:rPr>
            </w:pPr>
          </w:p>
        </w:tc>
        <w:tc>
          <w:tcPr>
            <w:tcW w:w="184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4"/>
                <w:szCs w:val="24"/>
              </w:rPr>
            </w:pPr>
          </w:p>
        </w:tc>
        <w:tc>
          <w:tcPr>
            <w:tcW w:w="204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right="1430" w:rightChars="447"/>
              <w:jc w:val="right"/>
              <w:textAlignment w:val="auto"/>
              <w:outlineLvl w:val="9"/>
              <w:rPr>
                <w:rFonts w:hint="eastAsia" w:ascii="仿宋_GB2312" w:hAnsi="仿宋_GB2312" w:eastAsia="仿宋_GB2312" w:cs="仿宋_GB2312"/>
                <w:sz w:val="24"/>
                <w:szCs w:val="24"/>
              </w:rPr>
            </w:pPr>
          </w:p>
        </w:tc>
        <w:tc>
          <w:tcPr>
            <w:tcW w:w="238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right="1430" w:rightChars="447"/>
              <w:jc w:val="right"/>
              <w:textAlignment w:val="auto"/>
              <w:outlineLvl w:val="9"/>
              <w:rPr>
                <w:rFonts w:hint="eastAsia" w:ascii="仿宋_GB2312" w:hAnsi="仿宋_GB2312" w:eastAsia="仿宋_GB2312" w:cs="仿宋_GB2312"/>
                <w:sz w:val="24"/>
                <w:szCs w:val="24"/>
              </w:rPr>
            </w:pPr>
          </w:p>
        </w:tc>
      </w:tr>
    </w:tbl>
    <w:p>
      <w:pPr>
        <w:keepNext w:val="0"/>
        <w:keepLines w:val="0"/>
        <w:pageBreakBefore w:val="0"/>
        <w:widowControl w:val="0"/>
        <w:kinsoku/>
        <w:wordWrap/>
        <w:overflowPunct/>
        <w:topLinePunct w:val="0"/>
        <w:autoSpaceDE/>
        <w:autoSpaceDN/>
        <w:bidi w:val="0"/>
        <w:adjustRightInd/>
        <w:snapToGrid/>
        <w:spacing w:line="20" w:lineRule="exact"/>
        <w:textAlignment w:val="auto"/>
        <w:outlineLvl w:val="9"/>
        <w:rPr>
          <w:rFonts w:hint="eastAsia" w:ascii="黑体" w:hAnsi="黑体" w:eastAsia="黑体"/>
          <w:sz w:val="24"/>
        </w:rPr>
      </w:pPr>
    </w:p>
    <w:p>
      <w:pPr>
        <w:keepNext w:val="0"/>
        <w:keepLines w:val="0"/>
        <w:pageBreakBefore w:val="0"/>
        <w:widowControl w:val="0"/>
        <w:kinsoku/>
        <w:wordWrap/>
        <w:overflowPunct/>
        <w:topLinePunct w:val="0"/>
        <w:autoSpaceDE/>
        <w:autoSpaceDN/>
        <w:bidi w:val="0"/>
        <w:adjustRightInd w:val="0"/>
        <w:snapToGrid w:val="0"/>
        <w:spacing w:line="570" w:lineRule="exact"/>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表2  实施减抗一年间全场抗菌制剂使用量汇总</w:t>
      </w:r>
    </w:p>
    <w:tbl>
      <w:tblPr>
        <w:tblStyle w:val="4"/>
        <w:tblW w:w="8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992"/>
        <w:gridCol w:w="2323"/>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2265"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抗菌药名称</w:t>
            </w:r>
          </w:p>
        </w:tc>
        <w:tc>
          <w:tcPr>
            <w:tcW w:w="992"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规格</w:t>
            </w:r>
          </w:p>
        </w:tc>
        <w:tc>
          <w:tcPr>
            <w:tcW w:w="2323"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制剂使用量</w:t>
            </w:r>
          </w:p>
        </w:tc>
        <w:tc>
          <w:tcPr>
            <w:tcW w:w="3119"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制剂折合原料量/Kg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5"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例：恩诺沙星粉</w:t>
            </w:r>
          </w:p>
        </w:tc>
        <w:tc>
          <w:tcPr>
            <w:tcW w:w="992"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firstLine="11" w:firstLineChars="4"/>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2323"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1Kg/袋×240袋</w:t>
            </w:r>
          </w:p>
        </w:tc>
        <w:tc>
          <w:tcPr>
            <w:tcW w:w="3119"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right="1430" w:rightChars="447"/>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265"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firstLine="560" w:firstLineChars="200"/>
              <w:jc w:val="center"/>
              <w:textAlignment w:val="auto"/>
              <w:outlineLvl w:val="9"/>
              <w:rPr>
                <w:rFonts w:hint="eastAsia" w:ascii="仿宋_GB2312" w:hAnsi="仿宋_GB2312" w:eastAsia="仿宋_GB2312" w:cs="仿宋_GB2312"/>
                <w:sz w:val="28"/>
                <w:szCs w:val="28"/>
              </w:rPr>
            </w:pPr>
          </w:p>
        </w:tc>
        <w:tc>
          <w:tcPr>
            <w:tcW w:w="992"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firstLine="560" w:firstLineChars="200"/>
              <w:jc w:val="center"/>
              <w:textAlignment w:val="auto"/>
              <w:outlineLvl w:val="9"/>
              <w:rPr>
                <w:rFonts w:hint="eastAsia" w:ascii="仿宋_GB2312" w:hAnsi="仿宋_GB2312" w:eastAsia="仿宋_GB2312" w:cs="仿宋_GB2312"/>
                <w:sz w:val="28"/>
                <w:szCs w:val="28"/>
              </w:rPr>
            </w:pPr>
          </w:p>
        </w:tc>
        <w:tc>
          <w:tcPr>
            <w:tcW w:w="2323"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firstLine="560" w:firstLineChars="200"/>
              <w:jc w:val="center"/>
              <w:textAlignment w:val="auto"/>
              <w:outlineLvl w:val="9"/>
              <w:rPr>
                <w:rFonts w:hint="eastAsia" w:ascii="仿宋_GB2312" w:hAnsi="仿宋_GB2312" w:eastAsia="仿宋_GB2312" w:cs="仿宋_GB2312"/>
                <w:sz w:val="28"/>
                <w:szCs w:val="28"/>
              </w:rPr>
            </w:pPr>
          </w:p>
        </w:tc>
        <w:tc>
          <w:tcPr>
            <w:tcW w:w="3119"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firstLine="560" w:firstLineChars="200"/>
              <w:jc w:val="center"/>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9" w:type="dxa"/>
            <w:gridSpan w:val="4"/>
            <w:noWrap w:val="0"/>
            <w:vAlign w:val="center"/>
          </w:tcPr>
          <w:p>
            <w:pPr>
              <w:keepNext w:val="0"/>
              <w:keepLines w:val="0"/>
              <w:pageBreakBefore w:val="0"/>
              <w:widowControl w:val="0"/>
              <w:kinsoku/>
              <w:wordWrap w:val="0"/>
              <w:overflowPunct/>
              <w:topLinePunct w:val="0"/>
              <w:autoSpaceDE/>
              <w:autoSpaceDN/>
              <w:bidi w:val="0"/>
              <w:adjustRightInd/>
              <w:snapToGrid/>
              <w:spacing w:line="300" w:lineRule="exact"/>
              <w:ind w:firstLine="560" w:firstLineChars="20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w:t>
            </w:r>
          </w:p>
        </w:tc>
      </w:tr>
    </w:tbl>
    <w:p>
      <w:pPr>
        <w:spacing w:line="360" w:lineRule="auto"/>
        <w:ind w:firstLine="480" w:firstLineChars="200"/>
        <w:rPr>
          <w:rFonts w:hint="eastAsia" w:ascii="仿宋_GB2312" w:hAnsi="仿宋_GB2312" w:eastAsia="仿宋_GB2312" w:cs="仿宋_GB2312"/>
          <w:sz w:val="22"/>
        </w:rPr>
      </w:pPr>
      <w:r>
        <w:rPr>
          <w:rFonts w:hint="eastAsia" w:ascii="仿宋_GB2312" w:hAnsi="仿宋_GB2312" w:eastAsia="仿宋_GB2312" w:cs="仿宋_GB2312"/>
          <w:sz w:val="24"/>
        </w:rPr>
        <w:t>注：抗菌药名称须填写兽药通用名称，以下同</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表3  实施减抗一年间全场促生长类药物饲料添加剂使用量汇总</w:t>
      </w:r>
    </w:p>
    <w:tbl>
      <w:tblPr>
        <w:tblStyle w:val="4"/>
        <w:tblW w:w="8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1276"/>
        <w:gridCol w:w="2126"/>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2836"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药物饲料添加剂名称</w:t>
            </w:r>
          </w:p>
        </w:tc>
        <w:tc>
          <w:tcPr>
            <w:tcW w:w="1276"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添加量</w:t>
            </w:r>
          </w:p>
        </w:tc>
        <w:tc>
          <w:tcPr>
            <w:tcW w:w="2126"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含药饲料使用量/t</w:t>
            </w:r>
          </w:p>
        </w:tc>
        <w:tc>
          <w:tcPr>
            <w:tcW w:w="2744"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折合抗菌药用量/kg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例：土霉素钙预混剂</w:t>
            </w:r>
          </w:p>
        </w:tc>
        <w:tc>
          <w:tcPr>
            <w:tcW w:w="1276" w:type="dxa"/>
            <w:noWrap w:val="0"/>
            <w:vAlign w:val="center"/>
          </w:tcPr>
          <w:p>
            <w:pPr>
              <w:keepNext w:val="0"/>
              <w:keepLines w:val="0"/>
              <w:pageBreakBefore w:val="0"/>
              <w:widowControl w:val="0"/>
              <w:kinsoku/>
              <w:wordWrap w:val="0"/>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400 g/t</w:t>
            </w:r>
          </w:p>
        </w:tc>
        <w:tc>
          <w:tcPr>
            <w:tcW w:w="2126"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w:t>
            </w:r>
          </w:p>
        </w:tc>
        <w:tc>
          <w:tcPr>
            <w:tcW w:w="2744"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right="1430" w:rightChars="447"/>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firstLine="560" w:firstLineChars="200"/>
              <w:jc w:val="center"/>
              <w:textAlignment w:val="auto"/>
              <w:outlineLvl w:val="9"/>
              <w:rPr>
                <w:rFonts w:hint="eastAsia" w:ascii="仿宋_GB2312" w:hAnsi="仿宋_GB2312" w:eastAsia="仿宋_GB2312" w:cs="仿宋_GB2312"/>
                <w:sz w:val="28"/>
                <w:szCs w:val="28"/>
              </w:rPr>
            </w:pPr>
          </w:p>
        </w:tc>
        <w:tc>
          <w:tcPr>
            <w:tcW w:w="1276"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firstLine="560" w:firstLineChars="200"/>
              <w:jc w:val="center"/>
              <w:textAlignment w:val="auto"/>
              <w:outlineLvl w:val="9"/>
              <w:rPr>
                <w:rFonts w:hint="eastAsia" w:ascii="仿宋_GB2312" w:hAnsi="仿宋_GB2312" w:eastAsia="仿宋_GB2312" w:cs="仿宋_GB2312"/>
                <w:sz w:val="28"/>
                <w:szCs w:val="28"/>
              </w:rPr>
            </w:pPr>
          </w:p>
        </w:tc>
        <w:tc>
          <w:tcPr>
            <w:tcW w:w="2126"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firstLine="560" w:firstLineChars="200"/>
              <w:jc w:val="center"/>
              <w:textAlignment w:val="auto"/>
              <w:outlineLvl w:val="9"/>
              <w:rPr>
                <w:rFonts w:hint="eastAsia" w:ascii="仿宋_GB2312" w:hAnsi="仿宋_GB2312" w:eastAsia="仿宋_GB2312" w:cs="仿宋_GB2312"/>
                <w:sz w:val="28"/>
                <w:szCs w:val="28"/>
              </w:rPr>
            </w:pPr>
          </w:p>
        </w:tc>
        <w:tc>
          <w:tcPr>
            <w:tcW w:w="2744"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firstLine="560" w:firstLineChars="200"/>
              <w:jc w:val="center"/>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2" w:type="dxa"/>
            <w:gridSpan w:val="4"/>
            <w:noWrap w:val="0"/>
            <w:vAlign w:val="center"/>
          </w:tcPr>
          <w:p>
            <w:pPr>
              <w:keepNext w:val="0"/>
              <w:keepLines w:val="0"/>
              <w:pageBreakBefore w:val="0"/>
              <w:widowControl w:val="0"/>
              <w:kinsoku/>
              <w:wordWrap w:val="0"/>
              <w:overflowPunct/>
              <w:topLinePunct w:val="0"/>
              <w:autoSpaceDE/>
              <w:autoSpaceDN/>
              <w:bidi w:val="0"/>
              <w:adjustRightInd/>
              <w:snapToGrid/>
              <w:spacing w:line="300" w:lineRule="exact"/>
              <w:ind w:firstLine="560" w:firstLineChars="20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w:t>
            </w:r>
          </w:p>
        </w:tc>
      </w:tr>
    </w:tbl>
    <w:p>
      <w:pPr>
        <w:keepNext w:val="0"/>
        <w:keepLines w:val="0"/>
        <w:pageBreakBefore w:val="0"/>
        <w:widowControl w:val="0"/>
        <w:kinsoku/>
        <w:wordWrap/>
        <w:overflowPunct/>
        <w:topLinePunct w:val="0"/>
        <w:autoSpaceDE/>
        <w:autoSpaceDN/>
        <w:bidi w:val="0"/>
        <w:adjustRightInd w:val="0"/>
        <w:snapToGrid w:val="0"/>
        <w:spacing w:before="156" w:line="500" w:lineRule="exact"/>
        <w:ind w:firstLine="643" w:firstLineChars="200"/>
        <w:textAlignment w:val="auto"/>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（二）按养殖批</w:t>
      </w:r>
      <w:r>
        <w:rPr>
          <w:rFonts w:hint="default" w:ascii="楷体_GB2312" w:hAnsi="楷体_GB2312" w:eastAsia="楷体_GB2312" w:cs="楷体_GB2312"/>
          <w:b/>
          <w:bCs/>
          <w:sz w:val="32"/>
          <w:szCs w:val="32"/>
        </w:rPr>
        <w:t>次</w:t>
      </w:r>
      <w:r>
        <w:rPr>
          <w:rFonts w:hint="eastAsia" w:ascii="楷体_GB2312" w:hAnsi="楷体_GB2312" w:eastAsia="楷体_GB2312" w:cs="楷体_GB2312"/>
          <w:b/>
          <w:bCs/>
          <w:sz w:val="32"/>
          <w:szCs w:val="32"/>
        </w:rPr>
        <w:t>统计的动物或动物产品产出及兽用抗菌药使用情况</w:t>
      </w:r>
    </w:p>
    <w:p>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按不同饲养阶段，以特定养殖批</w:t>
      </w:r>
      <w:r>
        <w:rPr>
          <w:rFonts w:hint="default" w:ascii="仿宋_GB2312" w:hAnsi="仿宋_GB2312" w:eastAsia="仿宋_GB2312" w:cs="仿宋_GB2312"/>
          <w:sz w:val="32"/>
          <w:szCs w:val="32"/>
        </w:rPr>
        <w:t>次</w:t>
      </w:r>
      <w:r>
        <w:rPr>
          <w:rFonts w:hint="eastAsia" w:ascii="仿宋_GB2312" w:hAnsi="仿宋_GB2312" w:eastAsia="仿宋_GB2312" w:cs="仿宋_GB2312"/>
          <w:sz w:val="32"/>
          <w:szCs w:val="32"/>
        </w:rPr>
        <w:t>为统计单位，统计动物育雏（仔/羔/犊）期、育成期或肥育期（产蛋期/产奶期）动物或动物产品产出</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及以原料为统计口径的抗菌药（包括促生长类药物饲料添加剂）使用情况。</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表4  同养殖批动物产出与抗菌药使用情况（育雏/仔/羔/犊期、育成期）</w:t>
      </w:r>
    </w:p>
    <w:tbl>
      <w:tblPr>
        <w:tblStyle w:val="4"/>
        <w:tblW w:w="9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4"/>
        <w:gridCol w:w="1670"/>
        <w:gridCol w:w="899"/>
        <w:gridCol w:w="1701"/>
        <w:gridCol w:w="3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84"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动物种类</w:t>
            </w:r>
          </w:p>
        </w:tc>
        <w:tc>
          <w:tcPr>
            <w:tcW w:w="1670"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p>
        </w:tc>
        <w:tc>
          <w:tcPr>
            <w:tcW w:w="5780" w:type="dxa"/>
            <w:gridSpan w:val="3"/>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饲养阶段：育雏/仔/羔/犊期         育成期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起止时间</w:t>
            </w:r>
          </w:p>
        </w:tc>
        <w:tc>
          <w:tcPr>
            <w:tcW w:w="1670"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2600" w:type="dxa"/>
            <w:gridSpan w:val="2"/>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起始数量：        只、头</w:t>
            </w:r>
          </w:p>
        </w:tc>
        <w:tc>
          <w:tcPr>
            <w:tcW w:w="3180"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终末数量：          只、头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时    间</w:t>
            </w:r>
          </w:p>
        </w:tc>
        <w:tc>
          <w:tcPr>
            <w:tcW w:w="1670"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抗菌药通用名称</w:t>
            </w:r>
          </w:p>
        </w:tc>
        <w:tc>
          <w:tcPr>
            <w:tcW w:w="899"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w:t>
            </w:r>
          </w:p>
        </w:tc>
        <w:tc>
          <w:tcPr>
            <w:tcW w:w="1701"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使用量</w:t>
            </w:r>
          </w:p>
        </w:tc>
        <w:tc>
          <w:tcPr>
            <w:tcW w:w="3180"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制剂折合原料药用量/kg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例：201×年×月</w:t>
            </w:r>
          </w:p>
        </w:tc>
        <w:tc>
          <w:tcPr>
            <w:tcW w:w="1670"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恩诺沙星粉</w:t>
            </w:r>
          </w:p>
        </w:tc>
        <w:tc>
          <w:tcPr>
            <w:tcW w:w="899"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firstLine="11" w:firstLineChars="4"/>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1701"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1Kg/袋×240袋</w:t>
            </w:r>
          </w:p>
        </w:tc>
        <w:tc>
          <w:tcPr>
            <w:tcW w:w="3180"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right="1430" w:rightChars="447"/>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p>
        </w:tc>
        <w:tc>
          <w:tcPr>
            <w:tcW w:w="1670"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p>
        </w:tc>
        <w:tc>
          <w:tcPr>
            <w:tcW w:w="899"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p>
        </w:tc>
        <w:tc>
          <w:tcPr>
            <w:tcW w:w="1701"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p>
        </w:tc>
        <w:tc>
          <w:tcPr>
            <w:tcW w:w="3180"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134" w:type="dxa"/>
            <w:gridSpan w:val="5"/>
            <w:noWrap w:val="0"/>
            <w:vAlign w:val="center"/>
          </w:tcPr>
          <w:p>
            <w:pPr>
              <w:keepNext w:val="0"/>
              <w:keepLines w:val="0"/>
              <w:pageBreakBefore w:val="0"/>
              <w:widowControl w:val="0"/>
              <w:kinsoku/>
              <w:wordWrap w:val="0"/>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               kg</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rPr>
      </w:pPr>
      <w:r>
        <w:rPr>
          <w:rFonts w:hint="eastAsia" w:ascii="仿宋_GB2312" w:hAnsi="仿宋_GB2312" w:eastAsia="仿宋_GB2312" w:cs="仿宋_GB2312"/>
          <w:sz w:val="24"/>
        </w:rPr>
        <w:t>注：1.抗菌药包括促生长类药物饲料添加剂；2.不同情况、不同批次分别统计</w:t>
      </w:r>
    </w:p>
    <w:p>
      <w:pPr>
        <w:keepNext w:val="0"/>
        <w:keepLines w:val="0"/>
        <w:pageBreakBefore w:val="0"/>
        <w:widowControl w:val="0"/>
        <w:kinsoku/>
        <w:wordWrap/>
        <w:overflowPunct/>
        <w:topLinePunct w:val="0"/>
        <w:autoSpaceDE/>
        <w:autoSpaceDN/>
        <w:bidi w:val="0"/>
        <w:adjustRightInd/>
        <w:snapToGrid/>
        <w:spacing w:before="156" w:beforeLines="50" w:line="500" w:lineRule="exact"/>
        <w:jc w:val="center"/>
        <w:textAlignment w:val="auto"/>
        <w:outlineLvl w:val="9"/>
        <w:rPr>
          <w:rFonts w:ascii="黑体" w:hAnsi="黑体" w:eastAsia="黑体"/>
          <w:sz w:val="28"/>
          <w:szCs w:val="28"/>
        </w:rPr>
      </w:pPr>
      <w:r>
        <w:rPr>
          <w:rFonts w:hint="eastAsia" w:ascii="仿宋_GB2312" w:hAnsi="仿宋_GB2312" w:eastAsia="仿宋_GB2312" w:cs="仿宋_GB2312"/>
          <w:b/>
          <w:bCs/>
          <w:sz w:val="28"/>
          <w:szCs w:val="28"/>
        </w:rPr>
        <w:t>表5  肥育期同养殖批动物产出与抗菌药使用情况（肉鸡、肉鸭、生猪）</w:t>
      </w:r>
    </w:p>
    <w:tbl>
      <w:tblPr>
        <w:tblStyle w:val="4"/>
        <w:tblW w:w="94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9"/>
        <w:gridCol w:w="1936"/>
        <w:gridCol w:w="899"/>
        <w:gridCol w:w="1701"/>
        <w:gridCol w:w="2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929"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动物种类</w:t>
            </w:r>
          </w:p>
        </w:tc>
        <w:tc>
          <w:tcPr>
            <w:tcW w:w="1936"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p>
        </w:tc>
        <w:tc>
          <w:tcPr>
            <w:tcW w:w="5540" w:type="dxa"/>
            <w:gridSpan w:val="3"/>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饲养阶段：肥育期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9"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起止时间</w:t>
            </w:r>
          </w:p>
        </w:tc>
        <w:tc>
          <w:tcPr>
            <w:tcW w:w="1936"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2600" w:type="dxa"/>
            <w:gridSpan w:val="2"/>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起始数量：        只、头</w:t>
            </w:r>
          </w:p>
        </w:tc>
        <w:tc>
          <w:tcPr>
            <w:tcW w:w="2940"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终末数量：          只、头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9"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时    间</w:t>
            </w:r>
          </w:p>
        </w:tc>
        <w:tc>
          <w:tcPr>
            <w:tcW w:w="1936"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抗菌药通用名称</w:t>
            </w:r>
          </w:p>
        </w:tc>
        <w:tc>
          <w:tcPr>
            <w:tcW w:w="899"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w:t>
            </w:r>
          </w:p>
        </w:tc>
        <w:tc>
          <w:tcPr>
            <w:tcW w:w="1701"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使用量</w:t>
            </w:r>
          </w:p>
        </w:tc>
        <w:tc>
          <w:tcPr>
            <w:tcW w:w="2940"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制剂折合原料药用量/kg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9"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201×年×月</w:t>
            </w:r>
          </w:p>
        </w:tc>
        <w:tc>
          <w:tcPr>
            <w:tcW w:w="1936"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恩诺沙星粉</w:t>
            </w:r>
          </w:p>
        </w:tc>
        <w:tc>
          <w:tcPr>
            <w:tcW w:w="899"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firstLine="11" w:firstLineChars="4"/>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1701"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1Kg/袋×240袋</w:t>
            </w:r>
          </w:p>
        </w:tc>
        <w:tc>
          <w:tcPr>
            <w:tcW w:w="2940" w:type="dxa"/>
            <w:noWrap w:val="0"/>
            <w:vAlign w:val="center"/>
          </w:tcPr>
          <w:p>
            <w:pPr>
              <w:keepNext w:val="0"/>
              <w:keepLines w:val="0"/>
              <w:pageBreakBefore w:val="0"/>
              <w:widowControl w:val="0"/>
              <w:kinsoku/>
              <w:overflowPunct/>
              <w:topLinePunct w:val="0"/>
              <w:autoSpaceDE/>
              <w:autoSpaceDN/>
              <w:bidi w:val="0"/>
              <w:adjustRightInd/>
              <w:snapToGrid/>
              <w:spacing w:line="300" w:lineRule="exact"/>
              <w:ind w:right="1430" w:rightChars="447"/>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9"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936"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p>
        </w:tc>
        <w:tc>
          <w:tcPr>
            <w:tcW w:w="899"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p>
        </w:tc>
        <w:tc>
          <w:tcPr>
            <w:tcW w:w="1701"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p>
        </w:tc>
        <w:tc>
          <w:tcPr>
            <w:tcW w:w="2940" w:type="dxa"/>
            <w:noWrap w:val="0"/>
            <w:vAlign w:val="center"/>
          </w:tcPr>
          <w:p>
            <w:pPr>
              <w:keepNext w:val="0"/>
              <w:keepLines w:val="0"/>
              <w:pageBreakBefore w:val="0"/>
              <w:widowControl w:val="0"/>
              <w:kinsoku/>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5" w:type="dxa"/>
            <w:gridSpan w:val="5"/>
            <w:noWrap w:val="0"/>
            <w:vAlign w:val="center"/>
          </w:tcPr>
          <w:p>
            <w:pPr>
              <w:keepNext w:val="0"/>
              <w:keepLines w:val="0"/>
              <w:pageBreakBefore w:val="0"/>
              <w:widowControl w:val="0"/>
              <w:kinsoku/>
              <w:wordWrap w:val="0"/>
              <w:overflowPunct/>
              <w:topLinePunct w:val="0"/>
              <w:autoSpaceDE/>
              <w:autoSpaceDN/>
              <w:bidi w:val="0"/>
              <w:adjustRightInd/>
              <w:snapToGrid/>
              <w:spacing w:line="30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               kg</w:t>
            </w:r>
          </w:p>
        </w:tc>
      </w:tr>
    </w:tbl>
    <w:p>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注：1.抗菌药包括促生长类药物饲料添加剂；2.不同情况、不同批次分别统计</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表6  肉牛、肉羊肥育期出栏量与抗菌药使用情况</w:t>
      </w:r>
    </w:p>
    <w:tbl>
      <w:tblPr>
        <w:tblStyle w:val="4"/>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701"/>
        <w:gridCol w:w="1134"/>
        <w:gridCol w:w="1843"/>
        <w:gridCol w:w="2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418"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动物种类</w:t>
            </w:r>
          </w:p>
        </w:tc>
        <w:tc>
          <w:tcPr>
            <w:tcW w:w="1701"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5579" w:type="dxa"/>
            <w:gridSpan w:val="3"/>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饲养阶段：肥育期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起止时间</w:t>
            </w:r>
          </w:p>
        </w:tc>
        <w:tc>
          <w:tcPr>
            <w:tcW w:w="1701"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2977" w:type="dxa"/>
            <w:gridSpan w:val="2"/>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起止数量：       /</w:t>
            </w:r>
          </w:p>
        </w:tc>
        <w:tc>
          <w:tcPr>
            <w:tcW w:w="2602"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出栏总重量：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时    间</w:t>
            </w:r>
          </w:p>
        </w:tc>
        <w:tc>
          <w:tcPr>
            <w:tcW w:w="1701"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抗菌药通用名称</w:t>
            </w:r>
          </w:p>
        </w:tc>
        <w:tc>
          <w:tcPr>
            <w:tcW w:w="1134"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w:t>
            </w:r>
          </w:p>
        </w:tc>
        <w:tc>
          <w:tcPr>
            <w:tcW w:w="1843"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使用量</w:t>
            </w:r>
          </w:p>
        </w:tc>
        <w:tc>
          <w:tcPr>
            <w:tcW w:w="2602"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制剂折合原料药用量/kg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201×年×月</w:t>
            </w: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注射用硫酸卡那霉素</w:t>
            </w: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11" w:firstLineChars="4"/>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2g（200万单位）</w:t>
            </w:r>
          </w:p>
        </w:tc>
        <w:tc>
          <w:tcPr>
            <w:tcW w:w="1843"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10瓶/盒×180盒</w:t>
            </w:r>
          </w:p>
        </w:tc>
        <w:tc>
          <w:tcPr>
            <w:tcW w:w="2602" w:type="dxa"/>
            <w:noWrap w:val="0"/>
            <w:vAlign w:val="center"/>
          </w:tcPr>
          <w:p>
            <w:pPr>
              <w:keepNext w:val="0"/>
              <w:keepLines w:val="0"/>
              <w:pageBreakBefore w:val="0"/>
              <w:widowControl w:val="0"/>
              <w:kinsoku/>
              <w:overflowPunct/>
              <w:topLinePunct w:val="0"/>
              <w:autoSpaceDE/>
              <w:autoSpaceDN/>
              <w:bidi w:val="0"/>
              <w:adjustRightInd/>
              <w:snapToGrid/>
              <w:spacing w:line="320" w:lineRule="exact"/>
              <w:ind w:right="1430" w:rightChars="447"/>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701"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134"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843"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2602"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701"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134"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843"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2602" w:type="dxa"/>
            <w:noWrap w:val="0"/>
            <w:vAlign w:val="center"/>
          </w:tcPr>
          <w:p>
            <w:pPr>
              <w:keepNext w:val="0"/>
              <w:keepLines w:val="0"/>
              <w:pageBreakBefore w:val="0"/>
              <w:widowControl w:val="0"/>
              <w:kinsoku/>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8" w:type="dxa"/>
            <w:gridSpan w:val="5"/>
            <w:noWrap w:val="0"/>
            <w:vAlign w:val="center"/>
          </w:tcPr>
          <w:p>
            <w:pPr>
              <w:keepNext w:val="0"/>
              <w:keepLines w:val="0"/>
              <w:pageBreakBefore w:val="0"/>
              <w:widowControl w:val="0"/>
              <w:kinsoku/>
              <w:wordWrap w:val="0"/>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               kg</w:t>
            </w:r>
          </w:p>
        </w:tc>
      </w:tr>
    </w:tbl>
    <w:p>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注：1.抗菌药包括促生长类药物饲料添加剂；2.不同情况、不同批次分别统计</w:t>
      </w:r>
    </w:p>
    <w:p>
      <w:pPr>
        <w:keepNext w:val="0"/>
        <w:keepLines w:val="0"/>
        <w:pageBreakBefore w:val="0"/>
        <w:widowControl w:val="0"/>
        <w:tabs>
          <w:tab w:val="left" w:pos="440"/>
        </w:tabs>
        <w:kinsoku/>
        <w:wordWrap/>
        <w:overflowPunct/>
        <w:topLinePunct w:val="0"/>
        <w:autoSpaceDE/>
        <w:autoSpaceDN/>
        <w:bidi w:val="0"/>
        <w:adjustRightInd/>
        <w:snapToGrid/>
        <w:spacing w:line="560" w:lineRule="exact"/>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表7  奶牛产奶期、蛋鸡产蛋期动物产品产出与抗菌药使用情况</w:t>
      </w:r>
    </w:p>
    <w:tbl>
      <w:tblPr>
        <w:tblStyle w:val="4"/>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1936"/>
        <w:gridCol w:w="899"/>
        <w:gridCol w:w="1701"/>
        <w:gridCol w:w="2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动物种类</w:t>
            </w:r>
          </w:p>
        </w:tc>
        <w:tc>
          <w:tcPr>
            <w:tcW w:w="193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奶牛（ ） 蛋鸡（ ）</w:t>
            </w:r>
          </w:p>
        </w:tc>
        <w:tc>
          <w:tcPr>
            <w:tcW w:w="5592"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饲养阶段：产蛋期（ ）    产奶期（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起止时间</w:t>
            </w:r>
          </w:p>
        </w:tc>
        <w:tc>
          <w:tcPr>
            <w:tcW w:w="193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26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起止数量：      /</w:t>
            </w:r>
          </w:p>
        </w:tc>
        <w:tc>
          <w:tcPr>
            <w:tcW w:w="29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产蛋/奶量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时    间</w:t>
            </w:r>
          </w:p>
        </w:tc>
        <w:tc>
          <w:tcPr>
            <w:tcW w:w="193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抗菌药通用名称</w:t>
            </w:r>
          </w:p>
        </w:tc>
        <w:tc>
          <w:tcPr>
            <w:tcW w:w="89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w:t>
            </w: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使用量</w:t>
            </w:r>
          </w:p>
        </w:tc>
        <w:tc>
          <w:tcPr>
            <w:tcW w:w="29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制剂折合原料药用量/kg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p>
        </w:tc>
        <w:tc>
          <w:tcPr>
            <w:tcW w:w="193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p>
        </w:tc>
        <w:tc>
          <w:tcPr>
            <w:tcW w:w="89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11" w:firstLineChars="4"/>
              <w:jc w:val="center"/>
              <w:textAlignment w:val="auto"/>
              <w:outlineLvl w:val="9"/>
              <w:rPr>
                <w:rFonts w:hint="eastAsia" w:ascii="仿宋_GB2312" w:hAnsi="仿宋_GB2312" w:eastAsia="仿宋_GB2312" w:cs="仿宋_GB2312"/>
                <w:sz w:val="28"/>
                <w:szCs w:val="28"/>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p>
        </w:tc>
        <w:tc>
          <w:tcPr>
            <w:tcW w:w="29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right="1430" w:rightChars="447"/>
              <w:jc w:val="center"/>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5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93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p>
        </w:tc>
        <w:tc>
          <w:tcPr>
            <w:tcW w:w="89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p>
        </w:tc>
        <w:tc>
          <w:tcPr>
            <w:tcW w:w="29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9112" w:type="dxa"/>
            <w:gridSpan w:val="5"/>
            <w:noWrap w:val="0"/>
            <w:vAlign w:val="top"/>
          </w:tcPr>
          <w:p>
            <w:pPr>
              <w:wordWrap w:val="0"/>
              <w:spacing w:line="360" w:lineRule="auto"/>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               kg</w:t>
            </w:r>
          </w:p>
        </w:tc>
      </w:tr>
    </w:tbl>
    <w:p>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注：1.抗菌药包括促生长类药物饲料添加剂；2.不同情况、不同批次分别统计</w:t>
      </w:r>
    </w:p>
    <w:p>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（三）与实施减量化试点前一年（顺延年）相比，单位动物产品产出的抗菌药使用量如何？请提供详实数据，包括当年和前一年的动物产品产出量和抗菌药使用量。</w:t>
      </w:r>
    </w:p>
    <w:p>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640" w:firstLineChars="200"/>
        <w:textAlignment w:val="auto"/>
        <w:outlineLvl w:val="9"/>
        <w:rPr>
          <w:rFonts w:ascii="黑体" w:hAnsi="黑体" w:eastAsia="黑体"/>
          <w:sz w:val="32"/>
          <w:szCs w:val="32"/>
        </w:rPr>
      </w:pPr>
      <w:r>
        <w:rPr>
          <w:rFonts w:hint="eastAsia" w:ascii="黑体" w:hAnsi="黑体" w:eastAsia="黑体"/>
          <w:sz w:val="32"/>
          <w:szCs w:val="32"/>
        </w:rPr>
        <w:t>三、试点养殖场在减抗养殖</w:t>
      </w:r>
      <w:r>
        <w:rPr>
          <w:rFonts w:hint="default" w:ascii="黑体" w:hAnsi="黑体" w:eastAsia="黑体"/>
          <w:sz w:val="32"/>
          <w:szCs w:val="32"/>
        </w:rPr>
        <w:t>和</w:t>
      </w:r>
      <w:r>
        <w:rPr>
          <w:rFonts w:hint="eastAsia" w:ascii="黑体" w:hAnsi="黑体" w:eastAsia="黑体"/>
          <w:sz w:val="32"/>
          <w:szCs w:val="32"/>
        </w:rPr>
        <w:t>健康养殖方面的主要措施和经验总结。</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outlineLvl w:val="9"/>
        <w:rPr>
          <w:rFonts w:hint="eastAsia" w:ascii="仿宋_GB2312" w:hAnsi="仿宋_GB2312" w:eastAsia="仿宋_GB2312" w:cs="仿宋_GB2312"/>
          <w:sz w:val="32"/>
          <w:szCs w:val="32"/>
        </w:rPr>
      </w:pPr>
      <w:r>
        <w:rPr>
          <w:rFonts w:hint="default" w:ascii="仿宋_GB2312" w:hAnsi="仿宋_GB2312" w:eastAsia="仿宋_GB2312" w:cs="仿宋_GB2312"/>
          <w:sz w:val="32"/>
          <w:szCs w:val="32"/>
        </w:rPr>
        <w:t>包括</w:t>
      </w:r>
      <w:r>
        <w:rPr>
          <w:rFonts w:hint="eastAsia" w:ascii="仿宋_GB2312" w:hAnsi="仿宋_GB2312" w:eastAsia="仿宋_GB2312" w:cs="仿宋_GB2312"/>
          <w:sz w:val="32"/>
          <w:szCs w:val="32"/>
        </w:rPr>
        <w:t>在环境及环境控制、饲养管理、制度建设、抗菌药替代方案等方面的做法和经验。</w:t>
      </w:r>
    </w:p>
    <w:p>
      <w:pPr>
        <w:keepNext w:val="0"/>
        <w:keepLines w:val="0"/>
        <w:pageBreakBefore w:val="0"/>
        <w:widowControl w:val="0"/>
        <w:tabs>
          <w:tab w:val="left" w:pos="4230"/>
        </w:tabs>
        <w:kinsoku/>
        <w:wordWrap/>
        <w:overflowPunct/>
        <w:topLinePunct w:val="0"/>
        <w:autoSpaceDE/>
        <w:autoSpaceDN/>
        <w:bidi w:val="0"/>
        <w:adjustRightInd w:val="0"/>
        <w:snapToGrid w:val="0"/>
        <w:spacing w:line="520" w:lineRule="exact"/>
        <w:textAlignment w:val="auto"/>
        <w:outlineLvl w:val="9"/>
        <w:rPr>
          <w:rFonts w:hint="eastAsia"/>
        </w:rPr>
      </w:pPr>
    </w:p>
    <w:p>
      <w:pPr>
        <w:spacing w:line="600" w:lineRule="exact"/>
        <w:rPr>
          <w:rFonts w:hint="eastAsia" w:ascii="黑体" w:hAnsi="黑体" w:eastAsia="黑体" w:cs="黑体"/>
          <w:szCs w:val="32"/>
          <w:lang w:val="en-US" w:eastAsia="zh-CN"/>
        </w:rPr>
      </w:pPr>
      <w:r>
        <w:rPr>
          <w:rFonts w:hint="eastAsia" w:ascii="黑体" w:hAnsi="黑体" w:eastAsia="黑体" w:cs="黑体"/>
          <w:szCs w:val="32"/>
        </w:rPr>
        <w:t>附件</w:t>
      </w:r>
      <w:r>
        <w:rPr>
          <w:rFonts w:hint="eastAsia" w:ascii="黑体" w:hAnsi="黑体" w:eastAsia="黑体" w:cs="黑体"/>
          <w:szCs w:val="32"/>
          <w:lang w:val="en-US" w:eastAsia="zh-CN"/>
        </w:rPr>
        <w:t>5</w:t>
      </w:r>
    </w:p>
    <w:p>
      <w:pPr>
        <w:spacing w:line="600" w:lineRule="exact"/>
        <w:rPr>
          <w:rFonts w:hint="eastAsia" w:ascii="黑体" w:hAnsi="黑体" w:eastAsia="黑体" w:cs="黑体"/>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蓝溪镇</w:t>
      </w:r>
      <w:r>
        <w:rPr>
          <w:rFonts w:hint="eastAsia" w:ascii="方正小标宋简体" w:hAnsi="方正小标宋简体" w:eastAsia="方正小标宋简体" w:cs="方正小标宋简体"/>
          <w:sz w:val="44"/>
          <w:szCs w:val="44"/>
        </w:rPr>
        <w:t>减抗行动实施协调小组名单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仿宋" w:eastAsia="仿宋" w:cs="仿宋"/>
          <w:b/>
          <w:bCs/>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cs="仿宋_GB2312"/>
          <w:szCs w:val="32"/>
        </w:rPr>
      </w:pPr>
      <w:r>
        <w:rPr>
          <w:rFonts w:hint="eastAsia" w:ascii="仿宋_GB2312" w:hAnsi="仿宋_GB2312" w:cs="仿宋_GB2312"/>
          <w:szCs w:val="32"/>
        </w:rPr>
        <w:t>经研究，决定成立</w:t>
      </w:r>
      <w:r>
        <w:rPr>
          <w:rFonts w:hint="eastAsia" w:ascii="仿宋_GB2312" w:hAnsi="仿宋_GB2312" w:cs="仿宋_GB2312"/>
          <w:szCs w:val="32"/>
          <w:lang w:eastAsia="zh-CN"/>
        </w:rPr>
        <w:t>蓝溪镇</w:t>
      </w:r>
      <w:r>
        <w:rPr>
          <w:rFonts w:hint="eastAsia" w:ascii="仿宋_GB2312" w:hAnsi="仿宋_GB2312" w:cs="仿宋_GB2312"/>
          <w:szCs w:val="32"/>
        </w:rPr>
        <w:t>减抗行动实施协调小组，具体成员如下：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cs="仿宋_GB2312"/>
          <w:szCs w:val="32"/>
          <w:lang w:eastAsia="zh-CN"/>
        </w:rPr>
      </w:pPr>
      <w:r>
        <w:rPr>
          <w:rFonts w:hint="eastAsia" w:ascii="仿宋_GB2312" w:hAnsi="仿宋_GB2312" w:cs="仿宋_GB2312"/>
          <w:szCs w:val="32"/>
        </w:rPr>
        <w:t>组</w:t>
      </w:r>
      <w:r>
        <w:rPr>
          <w:rFonts w:hint="eastAsia" w:ascii="仿宋_GB2312" w:hAnsi="仿宋_GB2312" w:cs="仿宋_GB2312"/>
          <w:szCs w:val="32"/>
          <w:lang w:val="en-US" w:eastAsia="zh-CN"/>
        </w:rPr>
        <w:t xml:space="preserve">  </w:t>
      </w:r>
      <w:r>
        <w:rPr>
          <w:rFonts w:hint="eastAsia" w:ascii="仿宋_GB2312" w:hAnsi="仿宋_GB2312" w:cs="仿宋_GB2312"/>
          <w:szCs w:val="32"/>
        </w:rPr>
        <w:t>长：</w:t>
      </w:r>
      <w:r>
        <w:rPr>
          <w:rFonts w:hint="eastAsia" w:ascii="仿宋_GB2312" w:hAnsi="仿宋_GB2312" w:cs="仿宋_GB2312"/>
          <w:szCs w:val="32"/>
          <w:lang w:eastAsia="zh-CN"/>
        </w:rPr>
        <w:t>兰伟雄</w:t>
      </w:r>
      <w:r>
        <w:rPr>
          <w:rFonts w:hint="eastAsia" w:ascii="仿宋_GB2312" w:hAnsi="仿宋_GB2312" w:cs="仿宋_GB2312"/>
          <w:szCs w:val="32"/>
          <w:lang w:val="en-US" w:eastAsia="zh-CN"/>
        </w:rPr>
        <w:t xml:space="preserve">    </w:t>
      </w:r>
      <w:r>
        <w:rPr>
          <w:rFonts w:hint="eastAsia" w:ascii="仿宋_GB2312" w:hAnsi="仿宋_GB2312" w:cs="仿宋_GB2312"/>
          <w:szCs w:val="32"/>
          <w:lang w:eastAsia="zh-CN"/>
        </w:rPr>
        <w:t>蓝溪镇武装部长、副镇长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cs="仿宋_GB2312"/>
          <w:szCs w:val="32"/>
        </w:rPr>
      </w:pPr>
      <w:r>
        <w:rPr>
          <w:rFonts w:hint="eastAsia" w:ascii="仿宋_GB2312" w:hAnsi="仿宋_GB2312" w:cs="仿宋_GB2312"/>
          <w:szCs w:val="32"/>
        </w:rPr>
        <w:t>成</w:t>
      </w:r>
      <w:r>
        <w:rPr>
          <w:rFonts w:hint="eastAsia" w:ascii="仿宋_GB2312" w:hAnsi="仿宋_GB2312" w:cs="仿宋_GB2312"/>
          <w:szCs w:val="32"/>
          <w:lang w:val="en-US" w:eastAsia="zh-CN"/>
        </w:rPr>
        <w:t xml:space="preserve">  </w:t>
      </w:r>
      <w:r>
        <w:rPr>
          <w:rFonts w:hint="eastAsia" w:ascii="仿宋_GB2312" w:hAnsi="仿宋_GB2312" w:cs="仿宋_GB2312"/>
          <w:szCs w:val="32"/>
        </w:rPr>
        <w:t>员：</w:t>
      </w:r>
      <w:r>
        <w:rPr>
          <w:rFonts w:hint="eastAsia" w:ascii="仿宋_GB2312" w:hAnsi="仿宋_GB2312" w:cs="仿宋_GB2312"/>
          <w:szCs w:val="32"/>
          <w:lang w:eastAsia="zh-CN"/>
        </w:rPr>
        <w:t>许建康</w:t>
      </w:r>
      <w:r>
        <w:rPr>
          <w:rFonts w:hint="eastAsia" w:ascii="仿宋_GB2312" w:hAnsi="仿宋_GB2312" w:cs="仿宋_GB2312"/>
          <w:szCs w:val="32"/>
          <w:lang w:val="en-US" w:eastAsia="zh-CN"/>
        </w:rPr>
        <w:t xml:space="preserve">    </w:t>
      </w:r>
      <w:r>
        <w:rPr>
          <w:rFonts w:hint="eastAsia" w:ascii="仿宋_GB2312" w:hAnsi="仿宋_GB2312" w:eastAsia="仿宋_GB2312" w:cs="仿宋_GB2312"/>
          <w:color w:val="auto"/>
          <w:sz w:val="32"/>
          <w:szCs w:val="32"/>
          <w:lang w:val="en-US" w:eastAsia="zh-CN"/>
        </w:rPr>
        <w:t>蓝溪镇畜牧兽医水产干事（站长）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cs="仿宋_GB2312"/>
          <w:szCs w:val="32"/>
        </w:rPr>
      </w:pPr>
      <w:r>
        <w:rPr>
          <w:rFonts w:hint="eastAsia" w:ascii="仿宋_GB2312" w:hAnsi="仿宋_GB2312" w:cs="仿宋_GB2312"/>
          <w:szCs w:val="32"/>
        </w:rPr>
        <w:t xml:space="preserve">      </w:t>
      </w:r>
      <w:r>
        <w:rPr>
          <w:rFonts w:hint="eastAsia" w:ascii="仿宋_GB2312" w:hAnsi="仿宋_GB2312" w:cs="仿宋_GB2312"/>
          <w:szCs w:val="32"/>
          <w:lang w:val="en-US" w:eastAsia="zh-CN"/>
        </w:rPr>
        <w:t xml:space="preserve">  </w:t>
      </w:r>
      <w:r>
        <w:rPr>
          <w:rFonts w:hint="eastAsia" w:ascii="仿宋_GB2312" w:hAnsi="仿宋_GB2312" w:cs="仿宋_GB2312"/>
          <w:szCs w:val="32"/>
          <w:lang w:eastAsia="zh-CN"/>
        </w:rPr>
        <w:t>廖长春</w:t>
      </w:r>
      <w:r>
        <w:rPr>
          <w:rFonts w:hint="eastAsia" w:ascii="仿宋_GB2312" w:hAnsi="仿宋_GB2312" w:cs="仿宋_GB2312"/>
          <w:szCs w:val="32"/>
        </w:rPr>
        <w:t xml:space="preserve"> </w:t>
      </w:r>
      <w:r>
        <w:rPr>
          <w:rFonts w:hint="eastAsia" w:ascii="仿宋_GB2312" w:hAnsi="仿宋_GB2312" w:cs="仿宋_GB2312"/>
          <w:szCs w:val="32"/>
          <w:lang w:val="en-US" w:eastAsia="zh-CN"/>
        </w:rPr>
        <w:t xml:space="preserve">   </w:t>
      </w:r>
      <w:r>
        <w:rPr>
          <w:rFonts w:hint="eastAsia" w:ascii="仿宋_GB2312" w:hAnsi="仿宋_GB2312" w:eastAsia="仿宋_GB2312" w:cs="仿宋_GB2312"/>
          <w:color w:val="auto"/>
          <w:sz w:val="32"/>
          <w:szCs w:val="32"/>
          <w:lang w:val="en-US" w:eastAsia="zh-CN"/>
        </w:rPr>
        <w:t>蓝溪镇畜牧兽医水产干事</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outlineLvl w:val="9"/>
        <w:rPr>
          <w:rFonts w:hint="eastAsia" w:ascii="仿宋_GB2312" w:hAnsi="仿宋_GB2312" w:eastAsia="仿宋_GB2312" w:cs="仿宋_GB2312"/>
          <w:szCs w:val="32"/>
          <w:lang w:eastAsia="zh-CN"/>
        </w:rPr>
      </w:pPr>
      <w:r>
        <w:rPr>
          <w:rFonts w:hint="eastAsia" w:ascii="仿宋_GB2312" w:hAnsi="仿宋_GB2312" w:cs="仿宋_GB2312"/>
          <w:szCs w:val="32"/>
          <w:lang w:eastAsia="zh-CN"/>
        </w:rPr>
        <w:t>高鑫荣</w:t>
      </w:r>
      <w:r>
        <w:rPr>
          <w:rFonts w:hint="eastAsia" w:ascii="仿宋_GB2312" w:hAnsi="仿宋_GB2312" w:cs="仿宋_GB2312"/>
          <w:szCs w:val="32"/>
          <w:lang w:val="en-US" w:eastAsia="zh-CN"/>
        </w:rPr>
        <w:t xml:space="preserve">    蓝溪镇</w:t>
      </w:r>
      <w:r>
        <w:rPr>
          <w:rFonts w:hint="eastAsia" w:ascii="仿宋_GB2312" w:hAnsi="仿宋_GB2312" w:cs="仿宋_GB2312"/>
          <w:szCs w:val="32"/>
        </w:rPr>
        <w:t>农</w:t>
      </w:r>
      <w:r>
        <w:rPr>
          <w:rFonts w:hint="eastAsia" w:ascii="仿宋_GB2312" w:hAnsi="仿宋_GB2312" w:cs="仿宋_GB2312"/>
          <w:szCs w:val="32"/>
          <w:lang w:eastAsia="zh-CN"/>
        </w:rPr>
        <w:t>技站工作人员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cs="仿宋_GB2312"/>
          <w:szCs w:val="32"/>
        </w:rPr>
        <w:sectPr>
          <w:pgSz w:w="11906" w:h="16838"/>
          <w:pgMar w:top="1417" w:right="1134" w:bottom="1134" w:left="1134" w:header="851" w:footer="907" w:gutter="0"/>
          <w:pgNumType w:fmt="numberInDash"/>
          <w:cols w:space="0" w:num="1"/>
          <w:rtlGutter w:val="0"/>
          <w:docGrid w:type="lines" w:linePitch="446" w:charSpace="0"/>
        </w:sectPr>
      </w:pPr>
      <w:r>
        <w:rPr>
          <w:rFonts w:hint="eastAsia" w:ascii="仿宋_GB2312" w:hAnsi="仿宋_GB2312" w:cs="仿宋_GB2312"/>
          <w:szCs w:val="32"/>
        </w:rPr>
        <w:t>协调小组下设办公室，挂靠</w:t>
      </w:r>
      <w:r>
        <w:rPr>
          <w:rFonts w:hint="eastAsia" w:ascii="仿宋_GB2312" w:hAnsi="仿宋_GB2312" w:cs="仿宋_GB2312"/>
          <w:szCs w:val="32"/>
          <w:lang w:eastAsia="zh-CN"/>
        </w:rPr>
        <w:t>镇</w:t>
      </w:r>
      <w:r>
        <w:rPr>
          <w:rFonts w:hint="eastAsia" w:ascii="仿宋_GB2312" w:hAnsi="仿宋_GB2312" w:cs="仿宋_GB2312"/>
          <w:szCs w:val="32"/>
        </w:rPr>
        <w:t>畜牧</w:t>
      </w:r>
      <w:r>
        <w:rPr>
          <w:rFonts w:hint="eastAsia" w:ascii="仿宋_GB2312" w:hAnsi="仿宋_GB2312" w:cs="仿宋_GB2312"/>
          <w:szCs w:val="32"/>
          <w:lang w:eastAsia="zh-CN"/>
        </w:rPr>
        <w:t>兽医</w:t>
      </w:r>
      <w:r>
        <w:rPr>
          <w:rFonts w:hint="eastAsia" w:ascii="仿宋_GB2312" w:hAnsi="仿宋_GB2312" w:cs="仿宋_GB2312"/>
          <w:szCs w:val="32"/>
        </w:rPr>
        <w:t>站，</w:t>
      </w:r>
      <w:r>
        <w:rPr>
          <w:rFonts w:hint="eastAsia" w:ascii="仿宋_GB2312" w:hAnsi="仿宋_GB2312" w:cs="仿宋_GB2312"/>
          <w:szCs w:val="32"/>
          <w:lang w:eastAsia="zh-CN"/>
        </w:rPr>
        <w:t>许建康</w:t>
      </w:r>
      <w:r>
        <w:rPr>
          <w:rFonts w:hint="eastAsia" w:ascii="仿宋_GB2312" w:hAnsi="仿宋_GB2312" w:cs="仿宋_GB2312"/>
          <w:szCs w:val="32"/>
        </w:rPr>
        <w:t>同志兼任办公室主任。协调小组成员单位主要负责人若发生变动，自行递补，不再另行发文。</w:t>
      </w:r>
    </w:p>
    <w:p>
      <w:pPr>
        <w:spacing w:line="600" w:lineRule="exact"/>
        <w:rPr>
          <w:rFonts w:ascii="黑体" w:hAnsi="黑体" w:eastAsia="黑体" w:cs="黑体"/>
          <w:szCs w:val="32"/>
        </w:rPr>
      </w:pPr>
      <w:r>
        <w:rPr>
          <w:rFonts w:hint="eastAsia" w:ascii="黑体" w:hAnsi="黑体" w:eastAsia="黑体" w:cs="黑体"/>
          <w:szCs w:val="32"/>
        </w:rPr>
        <w:t>附件</w:t>
      </w:r>
      <w:r>
        <w:rPr>
          <w:rFonts w:hint="eastAsia" w:ascii="黑体" w:hAnsi="黑体" w:eastAsia="黑体" w:cs="黑体"/>
          <w:szCs w:val="32"/>
          <w:lang w:val="en-US" w:eastAsia="zh-CN"/>
        </w:rPr>
        <w:t>6</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兽用抗菌药使用减量化指导原则</w:t>
      </w:r>
    </w:p>
    <w:p>
      <w:pPr>
        <w:spacing w:line="580" w:lineRule="exact"/>
        <w:jc w:val="center"/>
        <w:rPr>
          <w:rFonts w:ascii="仿宋_GB2312" w:hAnsi="方正小标宋简体" w:cs="方正小标宋简体"/>
          <w:sz w:val="44"/>
          <w:szCs w:val="44"/>
        </w:rPr>
      </w:pPr>
    </w:p>
    <w:p>
      <w:pPr>
        <w:spacing w:line="580" w:lineRule="exact"/>
        <w:ind w:firstLine="640" w:firstLineChars="200"/>
        <w:rPr>
          <w:rFonts w:ascii="仿宋_GB2312" w:cs="仿宋"/>
          <w:szCs w:val="32"/>
        </w:rPr>
      </w:pPr>
      <w:r>
        <w:rPr>
          <w:rFonts w:hint="eastAsia" w:ascii="仿宋_GB2312" w:cs="仿宋"/>
          <w:szCs w:val="32"/>
        </w:rPr>
        <w:t>养殖场（户）应根据畜禽养殖环节动物疫病发生流行特点和预防、诊断、治疗的实际需要，树立健康养殖、预防为主、综合治理的理念，从“养、防、规、慎、替”五个方面，建立完善管理制度、采取有效管控措施、狠抓落实落地，提高饲养管理和生物安全防护水平，推动实现本场（户）养殖减抗目标。</w:t>
      </w:r>
    </w:p>
    <w:p>
      <w:pPr>
        <w:spacing w:line="580" w:lineRule="exact"/>
        <w:ind w:firstLine="640" w:firstLineChars="200"/>
        <w:rPr>
          <w:rFonts w:ascii="仿宋_GB2312" w:cs="仿宋"/>
          <w:szCs w:val="32"/>
        </w:rPr>
      </w:pPr>
      <w:r>
        <w:rPr>
          <w:rFonts w:hint="eastAsia" w:ascii="仿宋_GB2312" w:cs="仿宋"/>
          <w:szCs w:val="32"/>
        </w:rPr>
        <w:t>一是“养”，即精准把好养殖管理“三个关口”。把好饲养模式关，明确不同畜禽品种的饲养方式，精细管理饲养环境条件；把好种源关，有条件的应选取优良品种和品牌厂家的畜禽，要按批次严格检查检测苗种健康状况，防止携带垂直传播的病原微生物；把好营养关，根据畜禽不同阶段的营养需求，制定科学合理的饲料配方，保证营养充足均衡，实现提高畜禽个体抵抗力和群体健康水平的目的。</w:t>
      </w:r>
    </w:p>
    <w:p>
      <w:pPr>
        <w:spacing w:line="580" w:lineRule="exact"/>
        <w:ind w:firstLine="640" w:firstLineChars="200"/>
        <w:rPr>
          <w:rFonts w:ascii="仿宋_GB2312" w:cs="仿宋"/>
          <w:szCs w:val="32"/>
        </w:rPr>
      </w:pPr>
      <w:r>
        <w:rPr>
          <w:rFonts w:hint="eastAsia" w:ascii="仿宋_GB2312" w:cs="仿宋"/>
          <w:szCs w:val="32"/>
        </w:rPr>
        <w:t>二是“防”，即全面防范动物疫病发生传播风险。落实动物防疫主体责任，牢固树立生物安全理念，着力改善养殖场所物理隔离、消毒设施等动物防疫条件，严格执行生物安全防护制度和措施，按计划积极实施疫病免疫和消杀灭源，从源头减少病毒性、细菌性等动物疫病影响。</w:t>
      </w:r>
    </w:p>
    <w:p>
      <w:pPr>
        <w:spacing w:line="580" w:lineRule="exact"/>
        <w:ind w:firstLine="640" w:firstLineChars="200"/>
        <w:rPr>
          <w:rFonts w:ascii="仿宋_GB2312" w:cs="仿宋"/>
          <w:szCs w:val="32"/>
        </w:rPr>
      </w:pPr>
      <w:r>
        <w:rPr>
          <w:rFonts w:hint="eastAsia" w:ascii="仿宋_GB2312" w:cs="仿宋"/>
          <w:szCs w:val="32"/>
        </w:rPr>
        <w:t>三是“规”，即严格规范使用兽用抗菌药。严格执行兽药安全使用各项规定，严禁使用禁止使用的药品和其他化合物、停用兽药、人用药品、假劣兽药；严格执行兽用处方药、休药期等制度，按照兽药标签说明书标注事项，对症治疗、用法正确、用量准确，实现“用好药”。</w:t>
      </w:r>
    </w:p>
    <w:p>
      <w:pPr>
        <w:spacing w:line="580" w:lineRule="exact"/>
        <w:ind w:firstLine="640" w:firstLineChars="200"/>
        <w:rPr>
          <w:rFonts w:ascii="仿宋_GB2312" w:cs="仿宋"/>
          <w:szCs w:val="32"/>
        </w:rPr>
      </w:pPr>
      <w:r>
        <w:rPr>
          <w:rFonts w:hint="eastAsia" w:ascii="仿宋_GB2312" w:cs="仿宋"/>
          <w:szCs w:val="32"/>
        </w:rPr>
        <w:t>四是“慎”，即科学审慎使用兽用抗菌药。高度重视细菌耐药问题，清楚掌握兽用抗菌药类别，坚持审慎用药、分级分类用药原则，根据执业兽医治疗意见、药敏试验检测结果等，精准选择敏感性强、效果好的兽用抗菌药产品；谨慎联合使用抗菌药，能用一种抗菌药治疗绝不同时使用多种抗菌药；分类分级选择用药品种，能用一般级别抗菌药治疗绝不使用更高级别抗菌药，能用窄谱抗菌药就不用广谱抗菌药；增加动物个体精准治疗用药，减少动物群体预防治疗用药，实现“少用药”。</w:t>
      </w:r>
    </w:p>
    <w:p>
      <w:pPr>
        <w:spacing w:line="580" w:lineRule="exact"/>
        <w:ind w:firstLine="640"/>
        <w:rPr>
          <w:rFonts w:ascii="仿宋_GB2312" w:cs="仿宋"/>
          <w:szCs w:val="32"/>
        </w:rPr>
      </w:pPr>
      <w:r>
        <w:rPr>
          <w:rFonts w:hint="eastAsia" w:ascii="仿宋_GB2312" w:cs="仿宋"/>
          <w:szCs w:val="32"/>
        </w:rPr>
        <w:t>五是“替”，即积极应用兽用抗菌药替代产品。以高效、休药期短、低残留的兽药品种，逐步替代低效、休药期长、易残留的兽药品种。根据养殖管理和防疫实际，推广应用兽用中药、微生态制剂等无残留的绿色兽药，替代部分兽用抗菌药品种，并逐步提高使用比例，实现畜产品生态绿色。</w:t>
      </w:r>
    </w:p>
    <w:p>
      <w:pPr>
        <w:spacing w:line="580" w:lineRule="exact"/>
        <w:rPr>
          <w:rFonts w:ascii="仿宋_GB2312" w:cs="仿宋"/>
          <w:szCs w:val="32"/>
        </w:rPr>
      </w:pPr>
    </w:p>
    <w:p>
      <w:pPr>
        <w:spacing w:line="580" w:lineRule="exact"/>
        <w:rPr>
          <w:rFonts w:ascii="仿宋_GB2312" w:cs="仿宋"/>
          <w:szCs w:val="32"/>
        </w:rPr>
      </w:pPr>
    </w:p>
    <w:p>
      <w:pPr>
        <w:spacing w:line="580" w:lineRule="exact"/>
        <w:rPr>
          <w:rFonts w:ascii="仿宋_GB2312" w:cs="仿宋"/>
          <w:szCs w:val="32"/>
        </w:rPr>
      </w:pPr>
    </w:p>
    <w:p>
      <w:pPr>
        <w:spacing w:line="580" w:lineRule="exact"/>
        <w:rPr>
          <w:rFonts w:ascii="仿宋_GB2312" w:cs="仿宋"/>
          <w:szCs w:val="32"/>
        </w:rPr>
      </w:pPr>
    </w:p>
    <w:p>
      <w:pPr>
        <w:spacing w:line="580" w:lineRule="exact"/>
        <w:rPr>
          <w:rFonts w:ascii="仿宋_GB2312" w:cs="仿宋"/>
          <w:szCs w:val="32"/>
        </w:rPr>
      </w:pPr>
    </w:p>
    <w:p>
      <w:pPr>
        <w:spacing w:line="580" w:lineRule="exact"/>
        <w:rPr>
          <w:rFonts w:ascii="仿宋_GB2312" w:cs="仿宋"/>
          <w:szCs w:val="32"/>
        </w:rPr>
      </w:pPr>
    </w:p>
    <w:p>
      <w:pPr>
        <w:spacing w:line="580" w:lineRule="exact"/>
        <w:rPr>
          <w:rFonts w:ascii="仿宋_GB2312" w:cs="仿宋"/>
          <w:szCs w:val="32"/>
        </w:rPr>
      </w:pPr>
    </w:p>
    <w:p>
      <w:pPr>
        <w:spacing w:line="580" w:lineRule="exact"/>
        <w:rPr>
          <w:rFonts w:ascii="仿宋_GB2312" w:cs="仿宋"/>
          <w:szCs w:val="32"/>
        </w:rPr>
      </w:pPr>
    </w:p>
    <w:p>
      <w:pPr>
        <w:spacing w:line="580" w:lineRule="exact"/>
        <w:rPr>
          <w:rFonts w:ascii="仿宋_GB2312" w:cs="仿宋"/>
          <w:szCs w:val="32"/>
        </w:rPr>
      </w:pPr>
    </w:p>
    <w:p>
      <w:pPr>
        <w:pBdr>
          <w:bottom w:val="none" w:color="auto" w:sz="0" w:space="0"/>
        </w:pBdr>
        <w:spacing w:line="580" w:lineRule="exact"/>
        <w:rPr>
          <w:rFonts w:ascii="仿宋_GB2312" w:cs="仿宋"/>
          <w:szCs w:val="32"/>
        </w:rPr>
      </w:pPr>
    </w:p>
    <w:p>
      <w:pPr>
        <w:pBdr>
          <w:top w:val="single" w:color="auto" w:sz="4" w:space="0"/>
          <w:bottom w:val="single" w:color="auto" w:sz="4" w:space="0"/>
        </w:pBdr>
        <w:spacing w:line="580" w:lineRule="exact"/>
        <w:rPr>
          <w:rFonts w:ascii="仿宋_GB2312"/>
          <w:sz w:val="28"/>
          <w:szCs w:val="28"/>
        </w:rPr>
      </w:pPr>
      <w:r>
        <w:rPr>
          <w:rFonts w:hint="eastAsia" w:ascii="仿宋_GB2312" w:cs="仿宋"/>
          <w:szCs w:val="32"/>
          <w:lang w:val="en-US" w:eastAsia="zh-CN"/>
        </w:rPr>
        <w:t xml:space="preserve">  </w:t>
      </w:r>
      <w:r>
        <w:rPr>
          <w:rFonts w:hint="eastAsia" w:ascii="仿宋_GB2312" w:cs="仿宋"/>
          <w:sz w:val="28"/>
          <w:szCs w:val="28"/>
          <w:lang w:val="en-US" w:eastAsia="zh-CN"/>
        </w:rPr>
        <w:t>蓝溪镇党政综合办公室                      2022年3月24日印发</w:t>
      </w:r>
    </w:p>
    <w:p>
      <w:pPr>
        <w:keepNext w:val="0"/>
        <w:keepLines w:val="0"/>
        <w:pageBreakBefore w:val="0"/>
        <w:widowControl w:val="0"/>
        <w:numPr>
          <w:ilvl w:val="0"/>
          <w:numId w:val="0"/>
        </w:numPr>
        <w:kinsoku/>
        <w:wordWrap/>
        <w:overflowPunct/>
        <w:topLinePunct w:val="0"/>
        <w:autoSpaceDE/>
        <w:autoSpaceDN/>
        <w:bidi w:val="0"/>
        <w:adjustRightInd/>
        <w:snapToGrid/>
        <w:spacing w:line="20" w:lineRule="exact"/>
        <w:ind w:left="1281" w:leftChars="0"/>
        <w:jc w:val="right"/>
        <w:textAlignment w:val="auto"/>
        <w:outlineLvl w:val="9"/>
        <w:rPr>
          <w:rFonts w:hint="default" w:ascii="仿宋_GB2312" w:hAnsi="仿宋_GB2312" w:cs="仿宋_GB2312"/>
          <w:b/>
          <w:bCs/>
          <w:szCs w:val="32"/>
          <w:lang w:val="en-US" w:eastAsia="zh-CN"/>
        </w:rPr>
      </w:pPr>
    </w:p>
    <w:sectPr>
      <w:pgSz w:w="11906" w:h="16838"/>
      <w:pgMar w:top="1417" w:right="1134" w:bottom="1134" w:left="1134" w:header="851" w:footer="907" w:gutter="0"/>
      <w:pgNumType w:fmt="numberInDash"/>
      <w:cols w:space="0" w:num="1"/>
      <w:rtlGutter w:val="0"/>
      <w:docGrid w:type="lines" w:linePitch="44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仿宋_GB2312"/>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仿宋_GB2312"/>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23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2YzExMTVkMjQ3YjhiZGI4Njk5YzAyNTA3NzBlZTIifQ=="/>
  </w:docVars>
  <w:rsids>
    <w:rsidRoot w:val="61EA527C"/>
    <w:rsid w:val="02B46B90"/>
    <w:rsid w:val="0C7A70E4"/>
    <w:rsid w:val="14940096"/>
    <w:rsid w:val="197D2C63"/>
    <w:rsid w:val="1B3C35F8"/>
    <w:rsid w:val="1C7E6B30"/>
    <w:rsid w:val="1CC17DC0"/>
    <w:rsid w:val="2F6A26DF"/>
    <w:rsid w:val="3E93572A"/>
    <w:rsid w:val="497F57CC"/>
    <w:rsid w:val="4E5509A4"/>
    <w:rsid w:val="4FCC0CD7"/>
    <w:rsid w:val="57145E70"/>
    <w:rsid w:val="57D17ED9"/>
    <w:rsid w:val="5A116CAA"/>
    <w:rsid w:val="6064183E"/>
    <w:rsid w:val="61C7680C"/>
    <w:rsid w:val="61EA527C"/>
    <w:rsid w:val="6C8E5FE8"/>
    <w:rsid w:val="76F10E57"/>
    <w:rsid w:val="7ED93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semiHidden/>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9065</Words>
  <Characters>9380</Characters>
  <Lines>0</Lines>
  <Paragraphs>0</Paragraphs>
  <TotalTime>14</TotalTime>
  <ScaleCrop>false</ScaleCrop>
  <LinksUpToDate>false</LinksUpToDate>
  <CharactersWithSpaces>9847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2022-03-05T06:05:00Z</dcterms:created>
  <dc:creator>兽兽</dc:creator>
  <cp:lastModifiedBy>Administrator</cp:lastModifiedBy>
  <cp:lastPrinted>2022-12-16T07:44:00Z</cp:lastPrinted>
  <dcterms:modified xsi:type="dcterms:W3CDTF">2023-07-12T09:51:32Z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7079F775512B45D1A2817C3ABC895314_13</vt:lpwstr>
  </property>
</Properties>
</file>