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AF72F2">
      <w:pPr>
        <w:keepNext w:val="0"/>
        <w:keepLines w:val="0"/>
        <w:pageBreakBefore w:val="0"/>
        <w:kinsoku/>
        <w:wordWrap/>
        <w:overflowPunct/>
        <w:topLinePunct w:val="0"/>
        <w:bidi w:val="0"/>
        <w:snapToGrid/>
        <w:spacing w:line="590" w:lineRule="exact"/>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湖洋镇元丰村党支部</w:t>
      </w:r>
    </w:p>
    <w:p w14:paraId="4CE13F38">
      <w:pPr>
        <w:keepNext w:val="0"/>
        <w:keepLines w:val="0"/>
        <w:pageBreakBefore w:val="0"/>
        <w:kinsoku/>
        <w:wordWrap/>
        <w:overflowPunct/>
        <w:topLinePunct w:val="0"/>
        <w:bidi w:val="0"/>
        <w:snapToGrid/>
        <w:spacing w:line="59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关于巡察反馈问题清单整改情况报告</w:t>
      </w:r>
    </w:p>
    <w:p w14:paraId="1E6BCF72">
      <w:pPr>
        <w:keepNext w:val="0"/>
        <w:keepLines w:val="0"/>
        <w:pageBreakBefore w:val="0"/>
        <w:kinsoku/>
        <w:wordWrap/>
        <w:overflowPunct/>
        <w:topLinePunct w:val="0"/>
        <w:bidi w:val="0"/>
        <w:snapToGrid/>
        <w:spacing w:line="590" w:lineRule="exact"/>
        <w:textAlignment w:val="auto"/>
        <w:rPr>
          <w:rFonts w:hint="eastAsia" w:ascii="黑体" w:hAnsi="黑体" w:eastAsia="黑体" w:cs="黑体"/>
        </w:rPr>
      </w:pPr>
    </w:p>
    <w:p w14:paraId="687B0CFC">
      <w:pPr>
        <w:keepNext w:val="0"/>
        <w:keepLines w:val="0"/>
        <w:pageBreakBefore w:val="0"/>
        <w:kinsoku/>
        <w:overflowPunct/>
        <w:topLinePunct w:val="0"/>
        <w:bidi w:val="0"/>
        <w:snapToGrid/>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县委巡察反馈问题清单，指出了</w:t>
      </w:r>
      <w:r>
        <w:rPr>
          <w:rFonts w:hint="eastAsia" w:ascii="Times New Roman" w:hAnsi="Times New Roman" w:eastAsia="仿宋_GB2312" w:cs="仿宋_GB2312"/>
          <w:sz w:val="32"/>
          <w:szCs w:val="32"/>
          <w:lang w:eastAsia="zh-CN"/>
        </w:rPr>
        <w:t>共</w:t>
      </w:r>
      <w:r>
        <w:rPr>
          <w:rFonts w:hint="eastAsia" w:ascii="Times New Roman" w:hAnsi="Times New Roman" w:eastAsia="仿宋_GB2312" w:cs="仿宋_GB2312"/>
          <w:sz w:val="32"/>
          <w:szCs w:val="32"/>
          <w:lang w:val="en-US" w:eastAsia="zh-CN"/>
        </w:rPr>
        <w:t>6</w:t>
      </w:r>
      <w:r>
        <w:rPr>
          <w:rFonts w:hint="eastAsia" w:ascii="Times New Roman" w:hAnsi="Times New Roman" w:eastAsia="仿宋_GB2312" w:cs="仿宋_GB2312"/>
          <w:sz w:val="32"/>
          <w:szCs w:val="32"/>
        </w:rPr>
        <w:t>个问题，我村党支部针对反馈的问题制定整改措施</w:t>
      </w:r>
      <w:r>
        <w:rPr>
          <w:rFonts w:hint="eastAsia" w:ascii="Times New Roman" w:hAnsi="Times New Roman" w:eastAsia="仿宋_GB2312" w:cs="仿宋_GB2312"/>
          <w:sz w:val="32"/>
          <w:szCs w:val="32"/>
          <w:lang w:val="en-US" w:eastAsia="zh-CN"/>
        </w:rPr>
        <w:t>6</w:t>
      </w:r>
      <w:r>
        <w:rPr>
          <w:rFonts w:hint="eastAsia" w:ascii="Times New Roman" w:hAnsi="Times New Roman" w:eastAsia="仿宋_GB2312" w:cs="仿宋_GB2312"/>
          <w:sz w:val="32"/>
          <w:szCs w:val="32"/>
        </w:rPr>
        <w:t>条，已完成整改</w:t>
      </w:r>
      <w:r>
        <w:rPr>
          <w:rFonts w:hint="eastAsia" w:ascii="Times New Roman" w:hAnsi="Times New Roman" w:eastAsia="仿宋_GB2312" w:cs="仿宋_GB2312"/>
          <w:sz w:val="32"/>
          <w:szCs w:val="32"/>
          <w:lang w:val="en-US" w:eastAsia="zh-CN"/>
        </w:rPr>
        <w:t>6</w:t>
      </w:r>
      <w:r>
        <w:rPr>
          <w:rFonts w:hint="eastAsia" w:ascii="Times New Roman" w:hAnsi="Times New Roman" w:eastAsia="仿宋_GB2312" w:cs="仿宋_GB2312"/>
          <w:sz w:val="32"/>
          <w:szCs w:val="32"/>
        </w:rPr>
        <w:t>个问题。现将整改落实情况报告如下：</w:t>
      </w:r>
    </w:p>
    <w:p w14:paraId="392805C5">
      <w:pPr>
        <w:keepNext w:val="0"/>
        <w:keepLines w:val="0"/>
        <w:pageBreakBefore w:val="0"/>
        <w:kinsoku/>
        <w:overflowPunct/>
        <w:topLinePunct w:val="0"/>
        <w:bidi w:val="0"/>
        <w:snapToGrid/>
        <w:spacing w:line="560" w:lineRule="exact"/>
        <w:ind w:firstLine="643"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1.党员教育管理不到位。</w:t>
      </w:r>
    </w:p>
    <w:p w14:paraId="08D6CE94">
      <w:pPr>
        <w:keepNext w:val="0"/>
        <w:keepLines w:val="0"/>
        <w:pageBreakBefore w:val="0"/>
        <w:kinsoku/>
        <w:wordWrap/>
        <w:overflowPunct/>
        <w:topLinePunct w:val="0"/>
        <w:bidi w:val="0"/>
        <w:snapToGrid/>
        <w:spacing w:line="560" w:lineRule="exact"/>
        <w:ind w:firstLine="643"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整改情况（已完成整改）：</w:t>
      </w:r>
      <w:r>
        <w:rPr>
          <w:rFonts w:hint="eastAsia" w:ascii="Times New Roman" w:hAnsi="Times New Roman" w:eastAsia="仿宋_GB2312" w:cs="仿宋_GB2312"/>
          <w:sz w:val="32"/>
          <w:szCs w:val="32"/>
          <w:lang w:val="en-US" w:eastAsia="zh-CN"/>
        </w:rPr>
        <w:t>对 2023 年度超过 6 个月未参加组织生活的胡万荣、胡柏荣、胡云芸等 6 名党员进行逐一谈话，了解缺席原因，进行批评教育，并要求其作出书面检讨。完善党员活动点名制度，确保记录准确完整，并安排专人负责统计和定期通报党员参与组织生活情况。丰富组织生活形式，增加线上线下相结合的学习交流活动，提升组织生活吸引力，提高党员参与积极性。截至2024年12月，已与 6 名党员全部完成谈话，6 名党员均已认识错误并提交书面检讨。新的点名制度已实施，专人负责统计通报，组织生活参与率显著提升，党员参与组织生活的积极性明显增强。</w:t>
      </w:r>
    </w:p>
    <w:p w14:paraId="4105195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2.发展党员材料不齐全。</w:t>
      </w:r>
    </w:p>
    <w:p w14:paraId="175E3BEC">
      <w:pPr>
        <w:keepNext w:val="0"/>
        <w:keepLines w:val="0"/>
        <w:pageBreakBefore w:val="0"/>
        <w:kinsoku/>
        <w:wordWrap/>
        <w:overflowPunct/>
        <w:topLinePunct w:val="0"/>
        <w:bidi w:val="0"/>
        <w:snapToGrid/>
        <w:spacing w:line="560" w:lineRule="exact"/>
        <w:ind w:firstLine="643"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整改情况（已完成整改）：</w:t>
      </w:r>
      <w:r>
        <w:rPr>
          <w:rFonts w:hint="eastAsia" w:ascii="Times New Roman" w:hAnsi="Times New Roman" w:eastAsia="仿宋_GB2312" w:cs="仿宋_GB2312"/>
          <w:sz w:val="32"/>
          <w:szCs w:val="32"/>
          <w:lang w:val="en-US" w:eastAsia="zh-CN"/>
        </w:rPr>
        <w:t>全面梳理发展党员会议记录，对填写不完整的部分进行补充完善，确保记录内容涵盖会议的关键信息和讨论决策过程。组织党支部书记及相关工作人员参加发展党员工作培训，重点学习支委会研究讨论发展党员工作时末位表态制度的重要性及规范流程，强化责任意识。建立发展党员材料审核机制，在材料提交上级党组织前，由专人进行严格审核，确保材料齐全、规范。发展党员会议记录已全部补充完善。党支部书记及相关工作人员已完成培训，对末位表态制度有了深刻理解并在后续工作中严格执行。审核机制已建立并运行，新提交的发展党员材料均符合要求。</w:t>
      </w:r>
    </w:p>
    <w:p w14:paraId="48562581">
      <w:pPr>
        <w:keepNext w:val="0"/>
        <w:keepLines w:val="0"/>
        <w:pageBreakBefore w:val="0"/>
        <w:kinsoku/>
        <w:overflowPunct/>
        <w:topLinePunct w:val="0"/>
        <w:bidi w:val="0"/>
        <w:snapToGrid/>
        <w:spacing w:line="560" w:lineRule="exact"/>
        <w:ind w:firstLine="643" w:firstLineChars="200"/>
        <w:textAlignment w:val="auto"/>
        <w:rPr>
          <w:rFonts w:hint="eastAsia" w:ascii="Times New Roman" w:hAnsi="Times New Roman" w:eastAsia="仿宋_GB2312" w:cs="仿宋_GB2312"/>
          <w:b/>
          <w:bCs/>
          <w:sz w:val="32"/>
          <w:szCs w:val="32"/>
          <w:lang w:val="en-US" w:eastAsia="zh-CN"/>
        </w:rPr>
      </w:pPr>
      <w:r>
        <w:rPr>
          <w:rFonts w:hint="eastAsia" w:ascii="Times New Roman" w:hAnsi="Times New Roman" w:eastAsia="仿宋_GB2312" w:cs="仿宋_GB2312"/>
          <w:b/>
          <w:bCs/>
          <w:sz w:val="32"/>
          <w:szCs w:val="32"/>
          <w:lang w:val="en-US" w:eastAsia="zh-CN"/>
        </w:rPr>
        <w:t>3.落实规范悬挂国旗工作不到位。</w:t>
      </w:r>
    </w:p>
    <w:p w14:paraId="4848AD68">
      <w:pPr>
        <w:pStyle w:val="2"/>
        <w:keepNext w:val="0"/>
        <w:keepLines w:val="0"/>
        <w:pageBreakBefore w:val="0"/>
        <w:kinsoku/>
        <w:wordWrap/>
        <w:overflowPunct/>
        <w:topLinePunct w:val="0"/>
        <w:bidi w:val="0"/>
        <w:snapToGrid/>
        <w:spacing w:line="560" w:lineRule="exact"/>
        <w:ind w:firstLine="643" w:firstLineChars="200"/>
        <w:textAlignment w:val="auto"/>
        <w:rPr>
          <w:rFonts w:hint="eastAsia" w:ascii="Times New Roman" w:hAnsi="Times New Roman" w:eastAsia="仿宋_GB2312" w:cs="仿宋_GB2312"/>
          <w:color w:val="auto"/>
          <w:kern w:val="2"/>
          <w:sz w:val="32"/>
          <w:szCs w:val="32"/>
          <w:lang w:val="en-US" w:eastAsia="zh-CN" w:bidi="ar-SA"/>
        </w:rPr>
      </w:pPr>
      <w:r>
        <w:rPr>
          <w:rFonts w:hint="eastAsia" w:ascii="Times New Roman" w:hAnsi="Times New Roman" w:eastAsia="仿宋_GB2312" w:cs="仿宋_GB2312"/>
          <w:b/>
          <w:bCs/>
          <w:sz w:val="32"/>
          <w:szCs w:val="32"/>
          <w:lang w:val="en-US" w:eastAsia="zh-CN"/>
        </w:rPr>
        <w:t>整改情况（已完成整改）：</w:t>
      </w:r>
      <w:r>
        <w:rPr>
          <w:rFonts w:hint="eastAsia" w:ascii="Times New Roman" w:hAnsi="Times New Roman" w:eastAsia="仿宋_GB2312" w:cs="仿宋_GB2312"/>
          <w:color w:val="auto"/>
          <w:kern w:val="2"/>
          <w:sz w:val="32"/>
          <w:szCs w:val="32"/>
          <w:lang w:val="en-US" w:eastAsia="zh-CN" w:bidi="ar-SA"/>
        </w:rPr>
        <w:t>立即对党群服务中心上方悬挂的国旗进行检查，对掉色、破损的国旗予以更换，严格按照《国旗法》规定的标准尺寸和材质购置新国旗。制定国旗日常维护管理制度，安排专人负责定期检查国旗状况，发现问题及时处理，并建立维护记录台账。组织村两委干部学习《国旗法》，增强对国旗的尊重和维护意识。已按照要求更换新国旗，国旗日常维护管理制度已制定并执行，维护记录台账记录完整。村两委干部已完成《国旗法》学习，对规范悬挂国旗的重要性认识深刻。</w:t>
      </w:r>
    </w:p>
    <w:p w14:paraId="349C20E2">
      <w:pPr>
        <w:keepNext w:val="0"/>
        <w:keepLines w:val="0"/>
        <w:pageBreakBefore w:val="0"/>
        <w:kinsoku/>
        <w:overflowPunct/>
        <w:topLinePunct w:val="0"/>
        <w:bidi w:val="0"/>
        <w:snapToGrid/>
        <w:spacing w:line="560" w:lineRule="exact"/>
        <w:ind w:firstLine="643"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4.财经制度执行不严格。</w:t>
      </w:r>
    </w:p>
    <w:p w14:paraId="63B7AB98">
      <w:pPr>
        <w:pStyle w:val="2"/>
        <w:keepNext w:val="0"/>
        <w:keepLines w:val="0"/>
        <w:pageBreakBefore w:val="0"/>
        <w:kinsoku/>
        <w:wordWrap/>
        <w:overflowPunct/>
        <w:topLinePunct w:val="0"/>
        <w:bidi w:val="0"/>
        <w:snapToGrid/>
        <w:spacing w:line="560" w:lineRule="exact"/>
        <w:ind w:firstLine="643" w:firstLineChars="200"/>
        <w:textAlignment w:val="auto"/>
        <w:rPr>
          <w:rFonts w:hint="eastAsia" w:ascii="Times New Roman" w:hAnsi="Times New Roman" w:eastAsia="仿宋_GB2312" w:cs="仿宋_GB2312"/>
          <w:color w:val="auto"/>
          <w:kern w:val="2"/>
          <w:sz w:val="32"/>
          <w:szCs w:val="32"/>
          <w:lang w:val="en-US" w:eastAsia="zh-CN" w:bidi="ar-SA"/>
        </w:rPr>
      </w:pPr>
      <w:r>
        <w:rPr>
          <w:rFonts w:hint="eastAsia" w:ascii="Times New Roman" w:hAnsi="Times New Roman" w:eastAsia="仿宋_GB2312" w:cs="仿宋_GB2312"/>
          <w:b/>
          <w:bCs/>
          <w:sz w:val="32"/>
          <w:szCs w:val="32"/>
          <w:lang w:val="en-US" w:eastAsia="zh-CN"/>
        </w:rPr>
        <w:t>整改情况（已完成整改）：</w:t>
      </w:r>
      <w:r>
        <w:rPr>
          <w:rFonts w:hint="eastAsia" w:ascii="Times New Roman" w:hAnsi="Times New Roman" w:eastAsia="仿宋_GB2312" w:cs="仿宋_GB2312"/>
          <w:color w:val="auto"/>
          <w:kern w:val="2"/>
          <w:sz w:val="32"/>
          <w:szCs w:val="32"/>
          <w:lang w:val="en-US" w:eastAsia="zh-CN" w:bidi="ar-SA"/>
        </w:rPr>
        <w:t>对 2022 年 9 月 5# 凭证、12 月 5# 凭证涉及的裸房整治补助款报销材料进行全面清查，要求相关责任人补充裸房整治协议和整治验收情况资料。对 2022 年 2 月 2# 凭证中福建裕牧农业发展有限公司土地复垦保证金的核算科目进行调整，按照正确的会计科目进行记账。对截至 2023 年 12 月 31 日的应收账款、应付账款进行全面梳理，按照规定设置明细科目，确保账目清晰准确。组织财务人员及相关业务人员学习财经法规和报销制度，明确报销材料的规范要求和审核流程。建立报销材料审核责任制，对报销材料的真实性、完整性负责，审核不通过的不予报销。加强财务人员业务培训，提高财务核算水平，定期对财务账目进行内部审计，及时发现和纠正问题。已补充完整裸房整治协议和整治验收情况资料。财务人员及相关业务人员已完成学习，新的报销材料审核责任制已落实，报销材料规范程度明显提高。土地复垦保证金核算科目已调整正确。应收账款、应付账款明细科目已设置完成，账目清晰明了。财务人员已接受业务培训，内部审计工作已常态化开展。</w:t>
      </w:r>
    </w:p>
    <w:p w14:paraId="5BC5CAD3">
      <w:pPr>
        <w:keepNext w:val="0"/>
        <w:keepLines w:val="0"/>
        <w:pageBreakBefore w:val="0"/>
        <w:kinsoku/>
        <w:wordWrap/>
        <w:overflowPunct/>
        <w:topLinePunct w:val="0"/>
        <w:bidi w:val="0"/>
        <w:snapToGrid/>
        <w:spacing w:line="560" w:lineRule="exact"/>
        <w:ind w:firstLine="643" w:firstLineChars="200"/>
        <w:textAlignment w:val="auto"/>
        <w:rPr>
          <w:rFonts w:hint="eastAsia" w:ascii="Times New Roman" w:hAnsi="Times New Roman" w:eastAsia="仿宋_GB2312" w:cs="仿宋_GB2312"/>
          <w:b/>
          <w:bCs/>
          <w:sz w:val="32"/>
          <w:szCs w:val="32"/>
          <w:lang w:val="en-US" w:eastAsia="zh-CN"/>
        </w:rPr>
      </w:pPr>
      <w:r>
        <w:rPr>
          <w:rFonts w:hint="eastAsia" w:ascii="Times New Roman" w:hAnsi="Times New Roman" w:eastAsia="仿宋_GB2312" w:cs="仿宋_GB2312"/>
          <w:b/>
          <w:bCs/>
          <w:sz w:val="32"/>
          <w:szCs w:val="32"/>
          <w:lang w:val="en-US" w:eastAsia="zh-CN"/>
        </w:rPr>
        <w:t>5.项目建设管理不到位，程序不规范。</w:t>
      </w:r>
    </w:p>
    <w:p w14:paraId="37B8B869">
      <w:pPr>
        <w:keepNext w:val="0"/>
        <w:keepLines w:val="0"/>
        <w:pageBreakBefore w:val="0"/>
        <w:widowControl/>
        <w:numPr>
          <w:ilvl w:val="0"/>
          <w:numId w:val="1"/>
        </w:numPr>
        <w:suppressLineNumbers w:val="0"/>
        <w:pBdr>
          <w:left w:val="none" w:color="auto" w:sz="0" w:space="0"/>
        </w:pBdr>
        <w:kinsoku/>
        <w:wordWrap/>
        <w:overflowPunct/>
        <w:topLinePunct w:val="0"/>
        <w:bidi w:val="0"/>
        <w:snapToGrid/>
        <w:spacing w:beforeAutospacing="0" w:afterAutospacing="0" w:line="560" w:lineRule="exact"/>
        <w:ind w:left="0" w:firstLine="643"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整改情况（已完成整改）：</w:t>
      </w:r>
      <w:r>
        <w:rPr>
          <w:rFonts w:hint="eastAsia" w:ascii="Times New Roman" w:hAnsi="Times New Roman" w:eastAsia="仿宋_GB2312" w:cs="仿宋_GB2312"/>
          <w:b w:val="0"/>
          <w:bCs w:val="0"/>
          <w:sz w:val="32"/>
          <w:szCs w:val="32"/>
          <w:lang w:val="en-US" w:eastAsia="zh-CN"/>
        </w:rPr>
        <w:t>关于支付骨灰堂钩机台班费问题：</w:t>
      </w:r>
      <w:r>
        <w:rPr>
          <w:rFonts w:hint="eastAsia" w:ascii="Times New Roman" w:hAnsi="Times New Roman" w:eastAsia="仿宋_GB2312" w:cs="仿宋_GB2312"/>
          <w:color w:val="auto"/>
          <w:kern w:val="2"/>
          <w:sz w:val="32"/>
          <w:szCs w:val="32"/>
          <w:lang w:val="en-US" w:eastAsia="zh-CN" w:bidi="ar-SA"/>
        </w:rPr>
        <w:t>对 2019 年 2 月 3# 凭证涉及的骨灰堂钩机台班费支付情况进行详细调查，补充村两委集体研究决定的相关记录或说明。完善项目建设决策制度，明确规定所有项目建设费用支付必须经过村两委集体研究决定，并形成书面记录。对涉及项目建设决策的工作人员进行培训，强化决策程序意识。已补充村两委集体研究决定的相关记录。新的项目建设决策制度已建立并执行，相关工作人员已完成培训，决策程序执行规范。关于村部大楼附属工程问题：联系施工单位，要求其在村部大楼附属工程的工程款支付申请表上签字盖章，同时对工程现场签证单中建设单位未签字盖章的部分进行补签。建立项目建设资料审核机制，在支付工程款前，对所有相关资料进行严格审核，确保资料齐全、签字盖章完整。加强对项目建设过程的监督管理，明确各方责任，避免类似问题再次发生。施工单位已在工程款支付申请表上签字盖章，建设单位也已完成工程现场签证单的补签。项目建设资料审核机制已建立，项目建设过程监督管理得到加强。关于停车场工程项目问题整改：补充停车场工程项目的施工合同，确保合同内容符合项目实际情况和相关法律法规要求。对招标公告确定的参标时间和中标公示落款时间不一致的问题进行调查核实，查明原因并进行纠正，同时完善招标工作流程，加强对招标时间等关键信息的审核。建立项目建设档案管理制度，对项目建设过程中的所有资料进行分类归档，便于查阅和管理。停车场工程项目施工合同已补充完整。经调查，招标时间不一致系工作失误，已进行纠正，并完善了招标工作流程。项目建设档案管理制度已建立，资料归档有序。</w:t>
      </w:r>
    </w:p>
    <w:p w14:paraId="682D33BF">
      <w:pPr>
        <w:keepNext w:val="0"/>
        <w:keepLines w:val="0"/>
        <w:pageBreakBefore w:val="0"/>
        <w:kinsoku/>
        <w:overflowPunct/>
        <w:topLinePunct w:val="0"/>
        <w:bidi w:val="0"/>
        <w:snapToGrid/>
        <w:spacing w:line="560" w:lineRule="exact"/>
        <w:ind w:firstLine="643"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b/>
          <w:bCs/>
          <w:sz w:val="32"/>
          <w:szCs w:val="32"/>
          <w:lang w:val="en-US" w:eastAsia="zh-CN"/>
        </w:rPr>
        <w:t>6.项目完工决算后未结转固定资产。</w:t>
      </w:r>
    </w:p>
    <w:p w14:paraId="77D36A8B">
      <w:pPr>
        <w:keepNext w:val="0"/>
        <w:keepLines w:val="0"/>
        <w:pageBreakBefore w:val="0"/>
        <w:widowControl/>
        <w:numPr>
          <w:ilvl w:val="0"/>
          <w:numId w:val="0"/>
        </w:numPr>
        <w:suppressLineNumbers w:val="0"/>
        <w:pBdr>
          <w:left w:val="none" w:color="auto" w:sz="0" w:space="0"/>
        </w:pBdr>
        <w:kinsoku/>
        <w:wordWrap/>
        <w:overflowPunct/>
        <w:topLinePunct w:val="0"/>
        <w:bidi w:val="0"/>
        <w:snapToGrid/>
        <w:spacing w:beforeAutospacing="0" w:afterAutospacing="0" w:line="560" w:lineRule="exact"/>
        <w:ind w:left="0" w:leftChars="0" w:firstLine="643" w:firstLineChars="200"/>
        <w:textAlignment w:val="auto"/>
        <w:rPr>
          <w:rFonts w:hint="eastAsia" w:ascii="Times New Roman" w:hAnsi="Times New Roman" w:eastAsia="仿宋_GB2312" w:cs="仿宋_GB2312"/>
          <w:color w:val="auto"/>
          <w:kern w:val="2"/>
          <w:sz w:val="32"/>
          <w:szCs w:val="32"/>
          <w:lang w:val="en-US" w:eastAsia="zh-CN" w:bidi="ar-SA"/>
        </w:rPr>
      </w:pPr>
      <w:r>
        <w:rPr>
          <w:rFonts w:hint="eastAsia" w:ascii="Times New Roman" w:hAnsi="Times New Roman" w:eastAsia="仿宋_GB2312" w:cs="仿宋_GB2312"/>
          <w:b/>
          <w:bCs/>
          <w:sz w:val="32"/>
          <w:szCs w:val="32"/>
          <w:lang w:val="en-US" w:eastAsia="zh-CN"/>
        </w:rPr>
        <w:t>整改情况（已完成整改）：</w:t>
      </w:r>
      <w:r>
        <w:rPr>
          <w:rFonts w:hint="eastAsia" w:ascii="Times New Roman" w:hAnsi="Times New Roman" w:eastAsia="仿宋_GB2312" w:cs="仿宋_GB2312"/>
          <w:color w:val="auto"/>
          <w:kern w:val="2"/>
          <w:sz w:val="32"/>
          <w:szCs w:val="32"/>
          <w:lang w:val="en-US" w:eastAsia="zh-CN" w:bidi="ar-SA"/>
        </w:rPr>
        <w:t>对村部大楼工程账目进行全面梳理，将 2023 年 06 月 9# 凭证中尚余的 40,665.00 元计入在建工程，并按照规定及时将该项目在建工程结转到固定资产。组织财务人员学习固定资产核算相关知识，明确项目完工决算后结转固定资产的时间节点和账务处理流程。建立固定资产定期清查盘点制度，确保固定资产账目与实际资产相符。整改落实情况：村部大楼工程账目已梳理完成，40,665.00 元已计入在建工程并完成结转固定资产的账务处理。财务人员已完成固定资产核算知识学习，固定资产定期清查盘点制度已建立并执行。</w:t>
      </w:r>
    </w:p>
    <w:p w14:paraId="03DAA52F">
      <w:pPr>
        <w:keepNext w:val="0"/>
        <w:keepLines w:val="0"/>
        <w:pageBreakBefore w:val="0"/>
        <w:widowControl/>
        <w:numPr>
          <w:ilvl w:val="0"/>
          <w:numId w:val="0"/>
        </w:numPr>
        <w:suppressLineNumbers w:val="0"/>
        <w:pBdr>
          <w:left w:val="none" w:color="auto" w:sz="0" w:space="0"/>
        </w:pBdr>
        <w:kinsoku/>
        <w:wordWrap w:val="0"/>
        <w:overflowPunct/>
        <w:topLinePunct w:val="0"/>
        <w:bidi w:val="0"/>
        <w:snapToGrid/>
        <w:spacing w:beforeAutospacing="0" w:afterAutospacing="0" w:line="560" w:lineRule="exact"/>
        <w:ind w:left="0" w:leftChars="0" w:firstLine="640" w:firstLineChars="200"/>
        <w:jc w:val="right"/>
        <w:textAlignment w:val="auto"/>
        <w:rPr>
          <w:rFonts w:hint="eastAsia" w:ascii="Times New Roman" w:hAnsi="Times New Roman" w:eastAsia="仿宋_GB2312" w:cs="仿宋_GB2312"/>
          <w:color w:val="auto"/>
          <w:kern w:val="2"/>
          <w:sz w:val="32"/>
          <w:szCs w:val="32"/>
          <w:lang w:val="en-US" w:eastAsia="zh-CN" w:bidi="ar-SA"/>
        </w:rPr>
      </w:pPr>
      <w:r>
        <w:rPr>
          <w:rFonts w:hint="eastAsia" w:ascii="Times New Roman" w:hAnsi="Times New Roman" w:eastAsia="仿宋_GB2312" w:cs="仿宋_GB2312"/>
          <w:color w:val="auto"/>
          <w:kern w:val="2"/>
          <w:sz w:val="32"/>
          <w:szCs w:val="32"/>
          <w:lang w:val="en-US" w:eastAsia="zh-CN" w:bidi="ar-SA"/>
        </w:rPr>
        <w:t xml:space="preserve">湖洋镇元丰村党支部 </w:t>
      </w:r>
    </w:p>
    <w:p w14:paraId="485544FD">
      <w:pPr>
        <w:keepNext w:val="0"/>
        <w:keepLines w:val="0"/>
        <w:pageBreakBefore w:val="0"/>
        <w:widowControl/>
        <w:numPr>
          <w:ilvl w:val="0"/>
          <w:numId w:val="0"/>
        </w:numPr>
        <w:suppressLineNumbers w:val="0"/>
        <w:pBdr>
          <w:left w:val="none" w:color="auto" w:sz="0" w:space="0"/>
        </w:pBdr>
        <w:kinsoku/>
        <w:wordWrap/>
        <w:overflowPunct/>
        <w:topLinePunct w:val="0"/>
        <w:bidi w:val="0"/>
        <w:snapToGrid/>
        <w:spacing w:beforeAutospacing="0" w:afterAutospacing="0" w:line="560" w:lineRule="exact"/>
        <w:ind w:left="0" w:leftChars="0" w:firstLine="640" w:firstLineChars="200"/>
        <w:jc w:val="right"/>
        <w:textAlignment w:val="auto"/>
        <w:rPr>
          <w:rFonts w:hint="default"/>
          <w:lang w:val="en-US" w:eastAsia="zh-CN"/>
        </w:rPr>
      </w:pPr>
      <w:r>
        <w:rPr>
          <w:rFonts w:hint="eastAsia" w:ascii="Times New Roman" w:hAnsi="Times New Roman" w:eastAsia="仿宋_GB2312" w:cs="仿宋_GB2312"/>
          <w:color w:val="auto"/>
          <w:kern w:val="2"/>
          <w:sz w:val="32"/>
          <w:szCs w:val="32"/>
          <w:lang w:val="en-US" w:eastAsia="zh-CN" w:bidi="ar-SA"/>
        </w:rPr>
        <w:t>2025年3月5日​</w:t>
      </w:r>
      <w:bookmarkStart w:id="0" w:name="_GoBack"/>
      <w:bookmarkEnd w:id="0"/>
    </w:p>
    <w:sectPr>
      <w:pgSz w:w="11906" w:h="16838"/>
      <w:pgMar w:top="1928"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860380B"/>
    <w:multiLevelType w:val="multilevel"/>
    <w:tmpl w:val="7860380B"/>
    <w:lvl w:ilvl="0" w:tentative="0">
      <w:start w:val="1"/>
      <w:numFmt w:val="none"/>
      <w:lvlText w:val="%1."/>
      <w:lvlJc w:val="left"/>
      <w:pPr>
        <w:tabs>
          <w:tab w:val="left" w:pos="720"/>
        </w:tabs>
        <w:ind w:left="720" w:hanging="360"/>
      </w:pPr>
      <w:rPr>
        <w:sz w:val="24"/>
        <w:szCs w:val="24"/>
      </w:rPr>
    </w:lvl>
    <w:lvl w:ilvl="1" w:tentative="0">
      <w:start w:val="1"/>
      <w:numFmt w:val="none"/>
      <w:lvlText w:val="%2."/>
      <w:lvlJc w:val="left"/>
      <w:pPr>
        <w:tabs>
          <w:tab w:val="left" w:pos="1440"/>
        </w:tabs>
        <w:ind w:left="1440" w:hanging="360"/>
      </w:pPr>
      <w:rPr>
        <w:sz w:val="24"/>
        <w:szCs w:val="24"/>
      </w:rPr>
    </w:lvl>
    <w:lvl w:ilvl="2" w:tentative="0">
      <w:start w:val="1"/>
      <w:numFmt w:val="none"/>
      <w:lvlText w:val="%3."/>
      <w:lvlJc w:val="left"/>
      <w:pPr>
        <w:tabs>
          <w:tab w:val="left" w:pos="2160"/>
        </w:tabs>
        <w:ind w:left="2160" w:hanging="360"/>
      </w:pPr>
      <w:rPr>
        <w:sz w:val="24"/>
        <w:szCs w:val="24"/>
      </w:rPr>
    </w:lvl>
    <w:lvl w:ilvl="3" w:tentative="0">
      <w:start w:val="1"/>
      <w:numFmt w:val="none"/>
      <w:lvlText w:val="%4."/>
      <w:lvlJc w:val="left"/>
      <w:pPr>
        <w:tabs>
          <w:tab w:val="left" w:pos="2517"/>
        </w:tabs>
        <w:ind w:left="2880" w:hanging="360"/>
      </w:pPr>
      <w:rPr>
        <w:sz w:val="24"/>
        <w:szCs w:val="24"/>
      </w:rPr>
    </w:lvl>
    <w:lvl w:ilvl="4" w:tentative="0">
      <w:start w:val="1"/>
      <w:numFmt w:val="none"/>
      <w:lvlText w:val="%5."/>
      <w:lvlJc w:val="left"/>
      <w:pPr>
        <w:tabs>
          <w:tab w:val="left" w:pos="3238"/>
        </w:tabs>
        <w:ind w:left="3600" w:hanging="360"/>
      </w:pPr>
      <w:rPr>
        <w:sz w:val="24"/>
        <w:szCs w:val="24"/>
      </w:rPr>
    </w:lvl>
    <w:lvl w:ilvl="5" w:tentative="0">
      <w:start w:val="1"/>
      <w:numFmt w:val="none"/>
      <w:lvlText w:val="%6."/>
      <w:lvlJc w:val="left"/>
      <w:pPr>
        <w:tabs>
          <w:tab w:val="left" w:pos="3958"/>
        </w:tabs>
        <w:ind w:left="4320" w:hanging="360"/>
      </w:pPr>
      <w:rPr>
        <w:sz w:val="24"/>
        <w:szCs w:val="24"/>
      </w:rPr>
    </w:lvl>
    <w:lvl w:ilvl="6" w:tentative="0">
      <w:start w:val="1"/>
      <w:numFmt w:val="none"/>
      <w:lvlText w:val="%7."/>
      <w:lvlJc w:val="left"/>
      <w:pPr>
        <w:tabs>
          <w:tab w:val="left" w:pos="4678"/>
        </w:tabs>
        <w:ind w:left="5040" w:hanging="360"/>
      </w:pPr>
      <w:rPr>
        <w:sz w:val="24"/>
        <w:szCs w:val="24"/>
      </w:rPr>
    </w:lvl>
    <w:lvl w:ilvl="7" w:tentative="0">
      <w:start w:val="1"/>
      <w:numFmt w:val="none"/>
      <w:lvlText w:val="%8."/>
      <w:lvlJc w:val="left"/>
      <w:pPr>
        <w:tabs>
          <w:tab w:val="left" w:pos="5398"/>
        </w:tabs>
        <w:ind w:left="5760" w:hanging="360"/>
      </w:pPr>
      <w:rPr>
        <w:sz w:val="24"/>
        <w:szCs w:val="24"/>
      </w:rPr>
    </w:lvl>
    <w:lvl w:ilvl="8" w:tentative="0">
      <w:start w:val="1"/>
      <w:numFmt w:val="none"/>
      <w:lvlText w:val="%9."/>
      <w:lvlJc w:val="left"/>
      <w:pPr>
        <w:tabs>
          <w:tab w:val="left" w:pos="6118"/>
        </w:tabs>
        <w:ind w:left="6480" w:hanging="360"/>
      </w:pPr>
      <w:rPr>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28558B"/>
    <w:rsid w:val="04501A4A"/>
    <w:rsid w:val="2C511C8E"/>
    <w:rsid w:val="2FDA68E8"/>
    <w:rsid w:val="32D13D61"/>
    <w:rsid w:val="3B28558B"/>
    <w:rsid w:val="7C2409C5"/>
    <w:rsid w:val="7E190C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hint="eastAsia" w:ascii="仿宋_GB2312" w:hAnsi="仿宋_GB2312" w:eastAsia="仿宋_GB2312" w:cs="Times New Roman"/>
      <w:color w:val="000000"/>
      <w:sz w:val="24"/>
      <w:szCs w:val="22"/>
      <w:lang w:val="en-US" w:eastAsia="zh-CN" w:bidi="ar-SA"/>
    </w:rPr>
  </w:style>
  <w:style w:type="paragraph" w:styleId="3">
    <w:name w:val="footer"/>
    <w:basedOn w:val="1"/>
    <w:qFormat/>
    <w:uiPriority w:val="0"/>
    <w:pPr>
      <w:tabs>
        <w:tab w:val="center" w:pos="4153"/>
        <w:tab w:val="right" w:pos="8306"/>
      </w:tabs>
      <w:snapToGrid w:val="0"/>
      <w:jc w:val="left"/>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2719</Words>
  <Characters>2832</Characters>
  <Lines>0</Lines>
  <Paragraphs>0</Paragraphs>
  <TotalTime>0</TotalTime>
  <ScaleCrop>false</ScaleCrop>
  <LinksUpToDate>false</LinksUpToDate>
  <CharactersWithSpaces>2878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2025-03-13T01:05:00Z</dcterms:created>
  <dc:creator>Administrator</dc:creator>
  <cp:lastModifiedBy>啊哦额</cp:lastModifiedBy>
  <cp:lastPrinted>2025-03-14T02:47:00Z</cp:lastPrinted>
  <dcterms:modified xsi:type="dcterms:W3CDTF">2025-07-07T07:26:34Z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BAF22F0D39C74BC5A0FDF8A3A1FD95AA_13</vt:lpwstr>
  </property>
  <property fmtid="{D5CDD505-2E9C-101B-9397-08002B2CF9AE}" pid="4" name="KSOTemplateDocerSaveRecord">
    <vt:lpwstr>eyJoZGlkIjoiNDY2NmI3YmYzMTMzODNjNzNkMjNlMzE2N2RhZjhiMzQiLCJ1c2VySWQiOiI1MzQ4NjUzMjEifQ==</vt:lpwstr>
  </property>
</Properties>
</file>