
<file path=[Content_Types].xml><?xml version="1.0" encoding="utf-8"?>
<Types xmlns="http://schemas.openxmlformats.org/package/2006/content-types">
  <Default Extension="rels" ContentType="application/vnd.openxmlformats-package.relationships+xml"/>
  <Default Extension="xml" ContentType="application/xml"/>
  <Override ContentType="application/xml" PartName="/customXml/item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er+xml" PartName="/word/footer16.xml"/>
  <Override ContentType="application/vnd.openxmlformats-officedocument.wordprocessingml.footer+xml" PartName="/word/footer17.xml"/>
  <Override ContentType="application/vnd.openxmlformats-officedocument.wordprocessingml.footer+xml" PartName="/word/footer18.xml"/>
  <Override ContentType="application/vnd.openxmlformats-officedocument.wordprocessingml.footer+xml" PartName="/word/footer19.xml"/>
  <Override ContentType="application/vnd.openxmlformats-officedocument.wordprocessingml.footer+xml" PartName="/word/footer2.xml"/>
  <Override ContentType="application/vnd.openxmlformats-officedocument.wordprocessingml.footer+xml" PartName="/word/footer20.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app.xml" Type="http://schemas.openxmlformats.org/officeDocument/2006/relationships/extended-properties" Id="rId2"/>
    <Relationship Target="docProps/core.xml" Type="http://schemas.openxmlformats.org/package/2006/relationships/metadata/core-properties" Id="rId3"/>
    <Relationship Target="docProps/custom.xml" Type="http://schemas.openxmlformats.org/officeDocument/2006/relationships/custom-properties"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8.10 -->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10AE6DF7">
      <w:pPr>
        <w:widowControl/>
        <w:jc w:val="center"/>
        <w:rPr>
          <w:sz w:val="32"/>
          <w:szCs w:val="32"/>
          <w:highlight w:val="none"/>
        </w:rPr>
      </w:pPr>
    </w:p>
    <w:p w14:paraId="3E466969">
      <w:pPr>
        <w:widowControl/>
        <w:jc w:val="both"/>
        <w:rPr>
          <w:sz w:val="84"/>
          <w:szCs w:val="84"/>
          <w:highlight w:val="none"/>
        </w:rPr>
      </w:pPr>
    </w:p>
    <w:p w14:paraId="14E47F14">
      <w:pPr>
        <w:widowControl/>
        <w:jc w:val="center"/>
        <w:rPr>
          <w:rFonts w:ascii="方正小标宋简体" w:eastAsia="方正小标宋简体" w:hint="eastAsia"/>
          <w:b/>
          <w:bCs/>
          <w:sz w:val="84"/>
          <w:szCs w:val="84"/>
          <w:highlight w:val="none"/>
        </w:rPr>
      </w:pPr>
      <w:r>
        <w:rPr>
          <w:rFonts w:ascii="方正小标宋简体" w:eastAsia="方正小标宋简体" w:hint="eastAsia"/>
          <w:b/>
          <w:bCs/>
          <w:sz w:val="84"/>
          <w:szCs w:val="84"/>
          <w:highlight w:val="none"/>
          <w:lang w:val="en-US" w:eastAsia="zh-CN"/>
        </w:rPr>
        <w:t>2024</w:t>
      </w:r>
      <w:r>
        <w:rPr>
          <w:rFonts w:ascii="方正小标宋简体" w:eastAsia="方正小标宋简体" w:hint="eastAsia"/>
          <w:b/>
          <w:bCs/>
          <w:sz w:val="84"/>
          <w:szCs w:val="84"/>
          <w:highlight w:val="none"/>
        </w:rPr>
        <w:t>年度</w:t>
      </w:r>
    </w:p>
    <w:p w14:paraId="2612820C">
      <w:pPr>
        <w:widowControl/>
        <w:jc w:val="center"/>
        <w:rPr>
          <w:rFonts w:ascii="方正小标宋简体" w:eastAsia="方正小标宋简体" w:hint="eastAsia"/>
          <w:b/>
          <w:bCs/>
          <w:sz w:val="84"/>
          <w:szCs w:val="84"/>
          <w:highlight w:val="none"/>
        </w:rPr>
      </w:pPr>
      <w:r>
        <w:rPr>
          <w:rFonts w:ascii="方正小标宋简体" w:eastAsia="方正小标宋简体" w:hint="eastAsia"/>
          <w:b/>
          <w:bCs/>
          <w:sz w:val="84"/>
          <w:szCs w:val="84"/>
          <w:highlight w:val="none"/>
        </w:rPr>
        <w:t>上杭县茶地镇人民政府（本级）</w:t>
      </w:r>
    </w:p>
    <w:p w14:paraId="25C05BAC">
      <w:pPr>
        <w:widowControl/>
        <w:jc w:val="center"/>
        <w:rPr>
          <w:rFonts w:ascii="方正小标宋简体" w:eastAsia="方正小标宋简体" w:hint="eastAsia"/>
          <w:b/>
          <w:bCs/>
          <w:sz w:val="84"/>
          <w:szCs w:val="84"/>
          <w:highlight w:val="none"/>
          <w:lang w:val="en-US" w:eastAsia="zh-CN"/>
        </w:rPr>
        <w:sectPr>
          <w:footerReference w:type="default" r:id="rId5"/>
          <w:pgSz w:w="11906" w:h="16838"/>
          <w:pgMar w:top="1440" w:right="1083" w:bottom="1440" w:left="1083" w:header="0" w:footer="720" w:gutter="0"/>
          <w:pgBorders>
            <w:top w:val="none" w:sz="0" w:space="0" w:color="auto"/>
            <w:left w:val="none" w:sz="0" w:space="0" w:color="auto"/>
            <w:bottom w:val="none" w:sz="0" w:space="0" w:color="auto"/>
            <w:right w:val="none" w:sz="0" w:space="0" w:color="auto"/>
          </w:pgBorders>
          <w:pgNumType w:fmt="decimal"/>
          <w:cols w:num="1" w:space="0"/>
          <w:titlePg/>
          <w:rtlGutter w:val="0"/>
          <w:docGrid w:type="lines" w:linePitch="317" w:charSpace="0"/>
        </w:sectPr>
      </w:pPr>
      <w:r>
        <w:rPr>
          <w:rFonts w:ascii="方正小标宋简体" w:eastAsia="方正小标宋简体" w:hint="eastAsia"/>
          <w:b/>
          <w:bCs/>
          <w:sz w:val="84"/>
          <w:szCs w:val="84"/>
          <w:highlight w:val="none"/>
          <w:lang w:val="en-US" w:eastAsia="zh-CN"/>
        </w:rPr>
        <w:t>单位</w:t>
      </w:r>
      <w:r>
        <w:rPr>
          <w:rFonts w:ascii="方正小标宋简体" w:eastAsia="方正小标宋简体" w:hint="eastAsia"/>
          <w:b/>
          <w:bCs/>
          <w:sz w:val="84"/>
          <w:szCs w:val="84"/>
          <w:highlight w:val="none"/>
        </w:rPr>
        <w:t>决算</w:t>
      </w:r>
    </w:p>
    <w:sdt>
      <w:sdtPr>
        <w:rPr>
          <w:rFonts w:ascii="仿宋" w:eastAsia="仿宋" w:hAnsi="仿宋" w:cs="仿宋" w:hint="eastAsia"/>
          <w:b/>
          <w:bCs/>
          <w:kern w:val="0"/>
          <w:sz w:val="32"/>
          <w:szCs w:val="32"/>
          <w:lang w:val="en-US" w:eastAsia="zh-CN"/>
        </w:rPr>
        <w:id w:val="147456983"/>
        <w:docPartObj>
          <w:docPartGallery w:val="Table of Contents"/>
          <w:docPartUnique/>
        </w:docPartObj>
        <w15:color w:val="DBDBDB"/>
      </w:sdtPr>
      <w:sdtEndPr>
        <w:rPr>
          <w:rFonts w:ascii="宋体" w:eastAsia="宋体" w:hAnsi="宋体" w:cs="Times New Roman" w:hint="eastAsia"/>
          <w:b/>
          <w:bCs/>
          <w:kern w:val="2"/>
          <w:sz w:val="32"/>
          <w:szCs w:val="32"/>
          <w:lang w:val="en-US" w:eastAsia="zh-CN" w:bidi="ar-SA"/>
        </w:rPr>
      </w:sdtEndPr>
      <w:sdtContent>
        <w:p w14:paraId="54EB9CAB">
          <w:pPr>
            <w:widowControl/>
            <w:spacing w:before="0" w:beforeLines="0" w:after="0" w:afterLines="0" w:line="240" w:lineRule="auto"/>
            <w:ind w:left="0" w:right="0" w:firstLine="0" w:leftChars="0" w:rightChars="0" w:firstLineChars="0"/>
            <w:jc w:val="center"/>
            <w:rPr>
              <w:rFonts w:ascii="仿宋" w:eastAsia="仿宋" w:hAnsi="仿宋" w:cs="仿宋" w:hint="eastAsia"/>
              <w:b/>
              <w:bCs/>
              <w:kern w:val="0"/>
              <w:sz w:val="32"/>
              <w:szCs w:val="32"/>
            </w:rPr>
          </w:pPr>
          <w:r>
            <w:rPr>
              <w:rFonts w:ascii="仿宋" w:eastAsia="仿宋" w:hAnsi="仿宋" w:cs="仿宋" w:hint="eastAsia"/>
              <w:b/>
              <w:bCs/>
              <w:kern w:val="0"/>
              <w:sz w:val="32"/>
              <w:szCs w:val="32"/>
            </w:rPr>
            <w:t>目</w:t>
          </w:r>
          <w:r>
            <w:rPr>
              <w:rFonts w:ascii="仿宋" w:eastAsia="仿宋" w:hAnsi="仿宋" w:cs="仿宋" w:hint="eastAsia"/>
              <w:b/>
              <w:bCs/>
              <w:kern w:val="0"/>
              <w:sz w:val="32"/>
              <w:szCs w:val="32"/>
              <w:lang w:val="en-US" w:eastAsia="zh-CN"/>
            </w:rPr>
            <w:t xml:space="preserve"> </w:t>
          </w:r>
          <w:r>
            <w:rPr>
              <w:rFonts w:ascii="仿宋" w:eastAsia="仿宋" w:hAnsi="仿宋" w:cs="仿宋" w:hint="eastAsia"/>
              <w:b/>
              <w:bCs/>
              <w:kern w:val="0"/>
              <w:sz w:val="32"/>
              <w:szCs w:val="32"/>
            </w:rPr>
            <w:t>录</w:t>
          </w:r>
        </w:p>
        <w:p>
          <w:pPr>
            <w:pStyle w:val="TOC2"/>
            <w:tabs>
              <w:tab w:val="right" w:leader="dot" w:pos="9730"/>
            </w:tabs>
            <w:rPr>
              <w:rFonts w:asciiTheme="minorHAnsi" w:hAnsiTheme="minorHAnsi"/>
              <w:noProof/>
              <w:sz w:val="22"/>
            </w:rPr>
          </w:pPr>
          <w:r>
            <w:rPr>
              <w:rFonts w:ascii="仿宋" w:eastAsia="仿宋" w:hAnsi="仿宋" w:cs="仿宋" w:hint="eastAsia"/>
              <w:b w:val="0"/>
              <w:bCs/>
              <w:kern w:val="2"/>
              <w:sz w:val="32"/>
              <w:szCs w:val="32"/>
              <w:lang w:val="en-US" w:eastAsia="zh-CN" w:bidi="ar-SA"/>
            </w:rPr>
            <w:fldChar w:fldCharType="begin"/>
          </w:r>
          <w:r>
            <w:rPr>
              <w:rFonts w:ascii="仿宋" w:eastAsia="仿宋" w:hAnsi="仿宋" w:cs="仿宋" w:hint="eastAsia"/>
              <w:b w:val="0"/>
              <w:bCs/>
              <w:kern w:val="2"/>
              <w:sz w:val="32"/>
              <w:szCs w:val="32"/>
              <w:lang w:val="en-US" w:eastAsia="zh-CN" w:bidi="ar-SA"/>
            </w:rPr>
            <w:instrText xml:space="preserve">TOC \o "1-3" \h \u </w:instrText>
          </w:r>
          <w:r>
            <w:rPr>
              <w:rFonts w:ascii="仿宋" w:eastAsia="仿宋" w:hAnsi="仿宋" w:cs="仿宋" w:hint="eastAsia"/>
              <w:b w:val="0"/>
              <w:bCs/>
              <w:kern w:val="2"/>
              <w:sz w:val="32"/>
              <w:szCs w:val="32"/>
              <w:lang w:val="en-US" w:eastAsia="zh-CN" w:bidi="ar-SA"/>
            </w:rPr>
            <w:fldChar w:fldCharType="separate"/>
          </w:r>
          <w:hyperlink w:anchor="_Toc256000130" w:history="1">
            <w:r>
              <w:rPr>
                <w:rStyle w:val="Hyperlink"/>
                <w:rFonts w:ascii="仿宋" w:eastAsia="仿宋" w:hAnsi="仿宋" w:cs="仿宋"/>
              </w:rPr>
              <w:t>第一部分</w:t>
            </w:r>
            <w:r>
              <w:rPr>
                <w:rStyle w:val="Hyperlink"/>
                <w:rFonts w:ascii="黑体" w:eastAsia="黑体" w:hAnsi="黑体" w:cs="黑体"/>
              </w:rPr>
              <w:t xml:space="preserve"> </w:t>
            </w:r>
            <w:r>
              <w:rPr>
                <w:rStyle w:val="Hyperlink"/>
                <w:rFonts w:ascii="仿宋" w:eastAsia="仿宋" w:hAnsi="仿宋" w:cs="仿宋"/>
              </w:rPr>
              <w:t>单位概况</w:t>
            </w:r>
            <w:r>
              <w:tab/>
            </w:r>
            <w:r>
              <w:fldChar w:fldCharType="begin"/>
            </w:r>
            <w:r>
              <w:instrText xml:space="preserve"> PAGEREF _Toc256000130 \h </w:instrText>
            </w:r>
            <w:r>
              <w:fldChar w:fldCharType="separate"/>
            </w:r>
            <w:r>
              <w:t>1</w:t>
            </w:r>
            <w:r>
              <w:fldChar w:fldCharType="end"/>
            </w:r>
          </w:hyperlink>
        </w:p>
        <w:p>
          <w:pPr>
            <w:pStyle w:val="TOC3"/>
            <w:tabs>
              <w:tab w:val="right" w:leader="dot" w:pos="9730"/>
            </w:tabs>
            <w:rPr>
              <w:rFonts w:asciiTheme="minorHAnsi" w:hAnsiTheme="minorHAnsi"/>
              <w:noProof/>
              <w:sz w:val="22"/>
            </w:rPr>
          </w:pPr>
          <w:hyperlink w:anchor="_Toc256000131" w:history="1">
            <w:r>
              <w:rPr>
                <w:rStyle w:val="Hyperlink"/>
                <w:rFonts w:ascii="仿宋" w:eastAsia="仿宋" w:hAnsi="仿宋" w:cs="仿宋"/>
              </w:rPr>
              <w:t>一、单位主要职责</w:t>
            </w:r>
            <w:r>
              <w:tab/>
            </w:r>
            <w:r>
              <w:fldChar w:fldCharType="begin"/>
            </w:r>
            <w:r>
              <w:instrText xml:space="preserve"> PAGEREF _Toc256000131 \h </w:instrText>
            </w:r>
            <w:r>
              <w:fldChar w:fldCharType="separate"/>
            </w:r>
            <w:r>
              <w:t>2</w:t>
            </w:r>
            <w:r>
              <w:fldChar w:fldCharType="end"/>
            </w:r>
          </w:hyperlink>
        </w:p>
        <w:p>
          <w:pPr>
            <w:pStyle w:val="TOC3"/>
            <w:tabs>
              <w:tab w:val="right" w:leader="dot" w:pos="9730"/>
            </w:tabs>
            <w:rPr>
              <w:rFonts w:asciiTheme="minorHAnsi" w:hAnsiTheme="minorHAnsi"/>
              <w:noProof/>
              <w:sz w:val="22"/>
            </w:rPr>
          </w:pPr>
          <w:hyperlink w:anchor="_Toc256000132" w:history="1">
            <w:r>
              <w:rPr>
                <w:rStyle w:val="Hyperlink"/>
                <w:rFonts w:ascii="仿宋" w:eastAsia="仿宋" w:hAnsi="仿宋" w:cs="仿宋"/>
              </w:rPr>
              <w:t>二、单位基本情况</w:t>
            </w:r>
            <w:r>
              <w:tab/>
            </w:r>
            <w:r>
              <w:fldChar w:fldCharType="begin"/>
            </w:r>
            <w:r>
              <w:instrText xml:space="preserve"> PAGEREF _Toc256000132 \h </w:instrText>
            </w:r>
            <w:r>
              <w:fldChar w:fldCharType="separate"/>
            </w:r>
            <w:r>
              <w:t>2</w:t>
            </w:r>
            <w:r>
              <w:fldChar w:fldCharType="end"/>
            </w:r>
          </w:hyperlink>
        </w:p>
        <w:p>
          <w:pPr>
            <w:pStyle w:val="TOC3"/>
            <w:tabs>
              <w:tab w:val="right" w:leader="dot" w:pos="9730"/>
            </w:tabs>
            <w:rPr>
              <w:rFonts w:asciiTheme="minorHAnsi" w:hAnsiTheme="minorHAnsi"/>
              <w:noProof/>
              <w:sz w:val="22"/>
            </w:rPr>
          </w:pPr>
          <w:hyperlink w:anchor="_Toc256000133" w:history="1">
            <w:r>
              <w:rPr>
                <w:rStyle w:val="Hyperlink"/>
                <w:rFonts w:ascii="仿宋" w:eastAsia="仿宋" w:hAnsi="仿宋" w:cs="仿宋"/>
              </w:rPr>
              <w:t>三、单位主要工作总结</w:t>
            </w:r>
            <w:r>
              <w:tab/>
            </w:r>
            <w:r>
              <w:fldChar w:fldCharType="begin"/>
            </w:r>
            <w:r>
              <w:instrText xml:space="preserve"> PAGEREF _Toc256000133 \h </w:instrText>
            </w:r>
            <w:r>
              <w:fldChar w:fldCharType="separate"/>
            </w:r>
            <w:r>
              <w:t>2</w:t>
            </w:r>
            <w:r>
              <w:fldChar w:fldCharType="end"/>
            </w:r>
          </w:hyperlink>
        </w:p>
        <w:p>
          <w:pPr>
            <w:pStyle w:val="TOC2"/>
            <w:tabs>
              <w:tab w:val="right" w:leader="dot" w:pos="9730"/>
            </w:tabs>
            <w:rPr>
              <w:rFonts w:asciiTheme="minorHAnsi" w:hAnsiTheme="minorHAnsi"/>
              <w:noProof/>
              <w:sz w:val="22"/>
            </w:rPr>
          </w:pPr>
          <w:hyperlink w:anchor="_Toc256000134" w:history="1">
            <w:r>
              <w:rPr>
                <w:rStyle w:val="Hyperlink"/>
                <w:rFonts w:ascii="仿宋" w:eastAsia="仿宋" w:hAnsi="仿宋" w:cs="仿宋"/>
              </w:rPr>
              <w:t>第二部分</w:t>
            </w:r>
            <w:r>
              <w:rPr>
                <w:rStyle w:val="Hyperlink"/>
                <w:rFonts w:ascii="黑体" w:eastAsia="黑体" w:hAnsi="黑体" w:cs="黑体"/>
              </w:rPr>
              <w:t xml:space="preserve"> </w:t>
            </w:r>
            <w:r>
              <w:rPr>
                <w:rStyle w:val="Hyperlink"/>
                <w:rFonts w:ascii="仿宋" w:eastAsia="仿宋" w:hAnsi="仿宋" w:cs="仿宋"/>
              </w:rPr>
              <w:t>2024年度单位决算表</w:t>
            </w:r>
            <w:r>
              <w:tab/>
            </w:r>
            <w:r>
              <w:fldChar w:fldCharType="begin"/>
            </w:r>
            <w:r>
              <w:instrText xml:space="preserve"> PAGEREF _Toc256000134 \h </w:instrText>
            </w:r>
            <w:r>
              <w:fldChar w:fldCharType="separate"/>
            </w:r>
            <w:r>
              <w:t>9</w:t>
            </w:r>
            <w:r>
              <w:fldChar w:fldCharType="end"/>
            </w:r>
          </w:hyperlink>
        </w:p>
        <w:p>
          <w:pPr>
            <w:pStyle w:val="TOC3"/>
            <w:tabs>
              <w:tab w:val="right" w:leader="dot" w:pos="9730"/>
            </w:tabs>
            <w:rPr>
              <w:rFonts w:asciiTheme="minorHAnsi" w:hAnsiTheme="minorHAnsi"/>
              <w:noProof/>
              <w:sz w:val="22"/>
            </w:rPr>
          </w:pPr>
          <w:hyperlink w:anchor="_Toc256000135" w:history="1">
            <w:r>
              <w:rPr>
                <w:rStyle w:val="Hyperlink"/>
                <w:rFonts w:ascii="仿宋" w:eastAsia="仿宋" w:hAnsi="仿宋" w:cs="仿宋"/>
              </w:rPr>
              <w:t>一、收入支出决算总表</w:t>
            </w:r>
            <w:r>
              <w:tab/>
            </w:r>
            <w:r>
              <w:fldChar w:fldCharType="begin"/>
            </w:r>
            <w:r>
              <w:instrText xml:space="preserve"> PAGEREF _Toc256000135 \h </w:instrText>
            </w:r>
            <w:r>
              <w:fldChar w:fldCharType="separate"/>
            </w:r>
            <w:r>
              <w:t>10</w:t>
            </w:r>
            <w:r>
              <w:fldChar w:fldCharType="end"/>
            </w:r>
          </w:hyperlink>
        </w:p>
        <w:p>
          <w:pPr>
            <w:pStyle w:val="TOC3"/>
            <w:tabs>
              <w:tab w:val="right" w:leader="dot" w:pos="9730"/>
            </w:tabs>
            <w:rPr>
              <w:rFonts w:asciiTheme="minorHAnsi" w:hAnsiTheme="minorHAnsi"/>
              <w:noProof/>
              <w:sz w:val="22"/>
            </w:rPr>
          </w:pPr>
          <w:hyperlink w:anchor="_Toc256000136" w:history="1">
            <w:r>
              <w:rPr>
                <w:rStyle w:val="Hyperlink"/>
                <w:rFonts w:ascii="仿宋" w:eastAsia="仿宋" w:hAnsi="仿宋" w:cs="仿宋"/>
              </w:rPr>
              <w:t>二、收入决算表</w:t>
            </w:r>
            <w:r>
              <w:tab/>
            </w:r>
            <w:r>
              <w:fldChar w:fldCharType="begin"/>
            </w:r>
            <w:r>
              <w:instrText xml:space="preserve"> PAGEREF _Toc256000136 \h </w:instrText>
            </w:r>
            <w:r>
              <w:fldChar w:fldCharType="separate"/>
            </w:r>
            <w:r>
              <w:t>12</w:t>
            </w:r>
            <w:r>
              <w:fldChar w:fldCharType="end"/>
            </w:r>
          </w:hyperlink>
        </w:p>
        <w:p>
          <w:pPr>
            <w:pStyle w:val="TOC3"/>
            <w:tabs>
              <w:tab w:val="right" w:leader="dot" w:pos="9730"/>
            </w:tabs>
            <w:rPr>
              <w:rFonts w:asciiTheme="minorHAnsi" w:hAnsiTheme="minorHAnsi"/>
              <w:noProof/>
              <w:sz w:val="22"/>
            </w:rPr>
          </w:pPr>
          <w:hyperlink w:anchor="_Toc256000137" w:history="1">
            <w:r>
              <w:rPr>
                <w:rStyle w:val="Hyperlink"/>
                <w:rFonts w:ascii="仿宋" w:eastAsia="仿宋" w:hAnsi="仿宋" w:cs="仿宋"/>
              </w:rPr>
              <w:t>三、支出决算表</w:t>
            </w:r>
            <w:r>
              <w:tab/>
            </w:r>
            <w:r>
              <w:fldChar w:fldCharType="begin"/>
            </w:r>
            <w:r>
              <w:instrText xml:space="preserve"> PAGEREF _Toc256000137 \h </w:instrText>
            </w:r>
            <w:r>
              <w:fldChar w:fldCharType="separate"/>
            </w:r>
            <w:r>
              <w:t>17</w:t>
            </w:r>
            <w:r>
              <w:fldChar w:fldCharType="end"/>
            </w:r>
          </w:hyperlink>
        </w:p>
        <w:p>
          <w:pPr>
            <w:pStyle w:val="TOC3"/>
            <w:tabs>
              <w:tab w:val="right" w:leader="dot" w:pos="9730"/>
            </w:tabs>
            <w:rPr>
              <w:rFonts w:asciiTheme="minorHAnsi" w:hAnsiTheme="minorHAnsi"/>
              <w:noProof/>
              <w:sz w:val="22"/>
            </w:rPr>
          </w:pPr>
          <w:hyperlink w:anchor="_Toc256000138" w:history="1">
            <w:r>
              <w:rPr>
                <w:rStyle w:val="Hyperlink"/>
                <w:rFonts w:ascii="仿宋" w:eastAsia="仿宋" w:hAnsi="仿宋" w:cs="仿宋"/>
              </w:rPr>
              <w:t>四、财政拨款收入支出决算总表</w:t>
            </w:r>
            <w:r>
              <w:tab/>
            </w:r>
            <w:r>
              <w:fldChar w:fldCharType="begin"/>
            </w:r>
            <w:r>
              <w:instrText xml:space="preserve"> PAGEREF _Toc256000138 \h </w:instrText>
            </w:r>
            <w:r>
              <w:fldChar w:fldCharType="separate"/>
            </w:r>
            <w:r>
              <w:t>21</w:t>
            </w:r>
            <w:r>
              <w:fldChar w:fldCharType="end"/>
            </w:r>
          </w:hyperlink>
        </w:p>
        <w:p>
          <w:pPr>
            <w:pStyle w:val="TOC3"/>
            <w:tabs>
              <w:tab w:val="right" w:leader="dot" w:pos="9730"/>
            </w:tabs>
            <w:rPr>
              <w:rFonts w:asciiTheme="minorHAnsi" w:hAnsiTheme="minorHAnsi"/>
              <w:noProof/>
              <w:sz w:val="22"/>
            </w:rPr>
          </w:pPr>
          <w:hyperlink w:anchor="_Toc256000139" w:history="1">
            <w:r>
              <w:rPr>
                <w:rStyle w:val="Hyperlink"/>
                <w:rFonts w:ascii="仿宋" w:eastAsia="仿宋" w:hAnsi="仿宋" w:cs="仿宋"/>
              </w:rPr>
              <w:t>五、一般公共预算财政拨款支出决算表</w:t>
            </w:r>
            <w:r>
              <w:tab/>
            </w:r>
            <w:r>
              <w:fldChar w:fldCharType="begin"/>
            </w:r>
            <w:r>
              <w:instrText xml:space="preserve"> PAGEREF _Toc256000139 \h </w:instrText>
            </w:r>
            <w:r>
              <w:fldChar w:fldCharType="separate"/>
            </w:r>
            <w:r>
              <w:t>24</w:t>
            </w:r>
            <w:r>
              <w:fldChar w:fldCharType="end"/>
            </w:r>
          </w:hyperlink>
        </w:p>
        <w:p>
          <w:pPr>
            <w:pStyle w:val="TOC3"/>
            <w:tabs>
              <w:tab w:val="right" w:leader="dot" w:pos="9730"/>
            </w:tabs>
            <w:rPr>
              <w:rFonts w:asciiTheme="minorHAnsi" w:hAnsiTheme="minorHAnsi"/>
              <w:noProof/>
              <w:sz w:val="22"/>
            </w:rPr>
          </w:pPr>
          <w:hyperlink w:anchor="_Toc256000140" w:history="1">
            <w:r>
              <w:rPr>
                <w:rStyle w:val="Hyperlink"/>
                <w:rFonts w:ascii="仿宋" w:eastAsia="仿宋" w:hAnsi="仿宋" w:cs="仿宋"/>
              </w:rPr>
              <w:t>六、一般公共预算财政拨款基本支出决算表</w:t>
            </w:r>
            <w:r>
              <w:tab/>
            </w:r>
            <w:r>
              <w:fldChar w:fldCharType="begin"/>
            </w:r>
            <w:r>
              <w:instrText xml:space="preserve"> PAGEREF _Toc256000140 \h </w:instrText>
            </w:r>
            <w:r>
              <w:fldChar w:fldCharType="separate"/>
            </w:r>
            <w:r>
              <w:t>27</w:t>
            </w:r>
            <w:r>
              <w:fldChar w:fldCharType="end"/>
            </w:r>
          </w:hyperlink>
        </w:p>
        <w:p>
          <w:pPr>
            <w:pStyle w:val="TOC3"/>
            <w:tabs>
              <w:tab w:val="right" w:leader="dot" w:pos="9730"/>
            </w:tabs>
            <w:rPr>
              <w:rFonts w:asciiTheme="minorHAnsi" w:hAnsiTheme="minorHAnsi"/>
              <w:noProof/>
              <w:sz w:val="22"/>
            </w:rPr>
          </w:pPr>
          <w:hyperlink w:anchor="_Toc256000141" w:history="1">
            <w:r>
              <w:rPr>
                <w:rStyle w:val="Hyperlink"/>
                <w:rFonts w:ascii="仿宋" w:eastAsia="仿宋" w:hAnsi="仿宋" w:cs="仿宋"/>
              </w:rPr>
              <w:t>七、一般公共预算财政拨款“三公”经费支出决算表</w:t>
            </w:r>
            <w:r>
              <w:tab/>
            </w:r>
            <w:r>
              <w:fldChar w:fldCharType="begin"/>
            </w:r>
            <w:r>
              <w:instrText xml:space="preserve"> PAGEREF _Toc256000141 \h </w:instrText>
            </w:r>
            <w:r>
              <w:fldChar w:fldCharType="separate"/>
            </w:r>
            <w:r>
              <w:t>30</w:t>
            </w:r>
            <w:r>
              <w:fldChar w:fldCharType="end"/>
            </w:r>
          </w:hyperlink>
        </w:p>
        <w:p>
          <w:pPr>
            <w:pStyle w:val="TOC3"/>
            <w:tabs>
              <w:tab w:val="right" w:leader="dot" w:pos="9730"/>
            </w:tabs>
            <w:rPr>
              <w:rFonts w:asciiTheme="minorHAnsi" w:hAnsiTheme="minorHAnsi"/>
              <w:noProof/>
              <w:sz w:val="22"/>
            </w:rPr>
          </w:pPr>
          <w:hyperlink w:anchor="_Toc256000142" w:history="1">
            <w:r>
              <w:rPr>
                <w:rStyle w:val="Hyperlink"/>
                <w:rFonts w:ascii="仿宋" w:eastAsia="仿宋" w:hAnsi="仿宋" w:cs="仿宋"/>
              </w:rPr>
              <w:t>八、政府性基金预算财政拨款收入支出决算表</w:t>
            </w:r>
            <w:r>
              <w:tab/>
            </w:r>
            <w:r>
              <w:fldChar w:fldCharType="begin"/>
            </w:r>
            <w:r>
              <w:instrText xml:space="preserve"> PAGEREF _Toc256000142 \h </w:instrText>
            </w:r>
            <w:r>
              <w:fldChar w:fldCharType="separate"/>
            </w:r>
            <w:r>
              <w:t>31</w:t>
            </w:r>
            <w:r>
              <w:fldChar w:fldCharType="end"/>
            </w:r>
          </w:hyperlink>
        </w:p>
        <w:p>
          <w:pPr>
            <w:pStyle w:val="TOC3"/>
            <w:tabs>
              <w:tab w:val="right" w:leader="dot" w:pos="9730"/>
            </w:tabs>
            <w:rPr>
              <w:rFonts w:asciiTheme="minorHAnsi" w:hAnsiTheme="minorHAnsi"/>
              <w:noProof/>
              <w:sz w:val="22"/>
            </w:rPr>
          </w:pPr>
          <w:hyperlink w:anchor="_Toc256000143" w:history="1">
            <w:r>
              <w:rPr>
                <w:rStyle w:val="Hyperlink"/>
                <w:rFonts w:ascii="仿宋" w:eastAsia="仿宋" w:hAnsi="仿宋" w:cs="仿宋"/>
              </w:rPr>
              <w:t>九、国有资本经营预算财政拨款支出决算表</w:t>
            </w:r>
            <w:r>
              <w:tab/>
            </w:r>
            <w:r>
              <w:fldChar w:fldCharType="begin"/>
            </w:r>
            <w:r>
              <w:instrText xml:space="preserve"> PAGEREF _Toc256000143 \h </w:instrText>
            </w:r>
            <w:r>
              <w:fldChar w:fldCharType="separate"/>
            </w:r>
            <w:r>
              <w:t>32</w:t>
            </w:r>
            <w:r>
              <w:fldChar w:fldCharType="end"/>
            </w:r>
          </w:hyperlink>
        </w:p>
        <w:p>
          <w:pPr>
            <w:pStyle w:val="TOC2"/>
            <w:tabs>
              <w:tab w:val="right" w:leader="dot" w:pos="9730"/>
            </w:tabs>
            <w:rPr>
              <w:rFonts w:asciiTheme="minorHAnsi" w:hAnsiTheme="minorHAnsi"/>
              <w:noProof/>
              <w:sz w:val="22"/>
            </w:rPr>
          </w:pPr>
          <w:hyperlink w:anchor="_Toc256000144" w:history="1">
            <w:r>
              <w:rPr>
                <w:rStyle w:val="Hyperlink"/>
                <w:rFonts w:ascii="仿宋" w:eastAsia="仿宋" w:hAnsi="仿宋" w:cs="仿宋"/>
              </w:rPr>
              <w:t>第三部分</w:t>
            </w:r>
            <w:r>
              <w:rPr>
                <w:rStyle w:val="Hyperlink"/>
                <w:rFonts w:ascii="黑体" w:eastAsia="黑体" w:hAnsi="黑体" w:cs="黑体"/>
              </w:rPr>
              <w:t xml:space="preserve"> </w:t>
            </w:r>
            <w:r>
              <w:rPr>
                <w:rStyle w:val="Hyperlink"/>
                <w:rFonts w:ascii="仿宋" w:eastAsia="仿宋" w:hAnsi="仿宋" w:cs="仿宋"/>
              </w:rPr>
              <w:t>2024年度单位决算情况说明</w:t>
            </w:r>
            <w:r>
              <w:tab/>
            </w:r>
            <w:r>
              <w:fldChar w:fldCharType="begin"/>
            </w:r>
            <w:r>
              <w:instrText xml:space="preserve"> PAGEREF _Toc256000144 \h </w:instrText>
            </w:r>
            <w:r>
              <w:fldChar w:fldCharType="separate"/>
            </w:r>
            <w:r>
              <w:t>33</w:t>
            </w:r>
            <w:r>
              <w:fldChar w:fldCharType="end"/>
            </w:r>
          </w:hyperlink>
        </w:p>
        <w:p>
          <w:pPr>
            <w:pStyle w:val="TOC3"/>
            <w:tabs>
              <w:tab w:val="right" w:leader="dot" w:pos="9730"/>
            </w:tabs>
            <w:rPr>
              <w:rFonts w:asciiTheme="minorHAnsi" w:hAnsiTheme="minorHAnsi"/>
              <w:noProof/>
              <w:sz w:val="22"/>
            </w:rPr>
          </w:pPr>
          <w:hyperlink w:anchor="_Toc256000145" w:history="1">
            <w:r>
              <w:rPr>
                <w:rStyle w:val="Hyperlink"/>
                <w:rFonts w:ascii="仿宋" w:eastAsia="仿宋" w:hAnsi="仿宋" w:cs="仿宋"/>
              </w:rPr>
              <w:t>一、收入支出决算总体情况说明</w:t>
            </w:r>
            <w:r>
              <w:tab/>
            </w:r>
            <w:r>
              <w:fldChar w:fldCharType="begin"/>
            </w:r>
            <w:r>
              <w:instrText xml:space="preserve"> PAGEREF _Toc256000145 \h </w:instrText>
            </w:r>
            <w:r>
              <w:fldChar w:fldCharType="separate"/>
            </w:r>
            <w:r>
              <w:t>34</w:t>
            </w:r>
            <w:r>
              <w:fldChar w:fldCharType="end"/>
            </w:r>
          </w:hyperlink>
        </w:p>
        <w:p>
          <w:pPr>
            <w:pStyle w:val="TOC3"/>
            <w:tabs>
              <w:tab w:val="right" w:leader="dot" w:pos="9730"/>
            </w:tabs>
            <w:rPr>
              <w:rFonts w:asciiTheme="minorHAnsi" w:hAnsiTheme="minorHAnsi"/>
              <w:noProof/>
              <w:sz w:val="22"/>
            </w:rPr>
          </w:pPr>
          <w:hyperlink w:anchor="_Toc256000146" w:history="1">
            <w:r>
              <w:rPr>
                <w:rStyle w:val="Hyperlink"/>
                <w:rFonts w:ascii="仿宋" w:eastAsia="仿宋" w:hAnsi="仿宋" w:cs="仿宋"/>
              </w:rPr>
              <w:t>二、财政拨款收入支出决算总体情况说明</w:t>
            </w:r>
            <w:r>
              <w:tab/>
            </w:r>
            <w:r>
              <w:fldChar w:fldCharType="begin"/>
            </w:r>
            <w:r>
              <w:instrText xml:space="preserve"> PAGEREF _Toc256000146 \h </w:instrText>
            </w:r>
            <w:r>
              <w:fldChar w:fldCharType="separate"/>
            </w:r>
            <w:r>
              <w:t>35</w:t>
            </w:r>
            <w:r>
              <w:fldChar w:fldCharType="end"/>
            </w:r>
          </w:hyperlink>
        </w:p>
        <w:p>
          <w:pPr>
            <w:pStyle w:val="TOC3"/>
            <w:tabs>
              <w:tab w:val="right" w:leader="dot" w:pos="9730"/>
            </w:tabs>
            <w:rPr>
              <w:rFonts w:asciiTheme="minorHAnsi" w:hAnsiTheme="minorHAnsi"/>
              <w:noProof/>
              <w:sz w:val="22"/>
            </w:rPr>
          </w:pPr>
          <w:hyperlink w:anchor="_Toc256000147" w:history="1">
            <w:r>
              <w:rPr>
                <w:rStyle w:val="Hyperlink"/>
                <w:rFonts w:ascii="仿宋" w:eastAsia="仿宋" w:hAnsi="仿宋" w:cs="仿宋"/>
              </w:rPr>
              <w:t>三、一般公共预算财政拨款支出决算情况说明</w:t>
            </w:r>
            <w:r>
              <w:tab/>
            </w:r>
            <w:r>
              <w:fldChar w:fldCharType="begin"/>
            </w:r>
            <w:r>
              <w:instrText xml:space="preserve"> PAGEREF _Toc256000147 \h </w:instrText>
            </w:r>
            <w:r>
              <w:fldChar w:fldCharType="separate"/>
            </w:r>
            <w:r>
              <w:t>35</w:t>
            </w:r>
            <w:r>
              <w:fldChar w:fldCharType="end"/>
            </w:r>
          </w:hyperlink>
        </w:p>
        <w:p>
          <w:pPr>
            <w:pStyle w:val="TOC3"/>
            <w:tabs>
              <w:tab w:val="right" w:leader="dot" w:pos="9730"/>
            </w:tabs>
            <w:rPr>
              <w:rFonts w:asciiTheme="minorHAnsi" w:hAnsiTheme="minorHAnsi"/>
              <w:noProof/>
              <w:sz w:val="22"/>
            </w:rPr>
          </w:pPr>
          <w:hyperlink w:anchor="_Toc256000148" w:history="1">
            <w:r>
              <w:rPr>
                <w:rStyle w:val="Hyperlink"/>
                <w:rFonts w:ascii="仿宋" w:eastAsia="仿宋" w:hAnsi="仿宋" w:cs="仿宋"/>
              </w:rPr>
              <w:t>四、政府性基金预算财政拨款支出决算情况说明</w:t>
            </w:r>
            <w:r>
              <w:tab/>
            </w:r>
            <w:r>
              <w:fldChar w:fldCharType="begin"/>
            </w:r>
            <w:r>
              <w:instrText xml:space="preserve"> PAGEREF _Toc256000148 \h </w:instrText>
            </w:r>
            <w:r>
              <w:fldChar w:fldCharType="separate"/>
            </w:r>
            <w:r>
              <w:t>37</w:t>
            </w:r>
            <w:r>
              <w:fldChar w:fldCharType="end"/>
            </w:r>
          </w:hyperlink>
        </w:p>
        <w:p>
          <w:pPr>
            <w:pStyle w:val="TOC3"/>
            <w:tabs>
              <w:tab w:val="right" w:leader="dot" w:pos="9730"/>
            </w:tabs>
            <w:rPr>
              <w:rFonts w:asciiTheme="minorHAnsi" w:hAnsiTheme="minorHAnsi"/>
              <w:noProof/>
              <w:sz w:val="22"/>
            </w:rPr>
          </w:pPr>
          <w:hyperlink w:anchor="_Toc256000149" w:history="1">
            <w:r>
              <w:rPr>
                <w:rStyle w:val="Hyperlink"/>
                <w:rFonts w:ascii="仿宋" w:eastAsia="仿宋" w:hAnsi="仿宋" w:cs="仿宋"/>
              </w:rPr>
              <w:t>五、国有资本经营预算财政拨款支出决算情况说明</w:t>
            </w:r>
            <w:r>
              <w:tab/>
            </w:r>
            <w:r>
              <w:fldChar w:fldCharType="begin"/>
            </w:r>
            <w:r>
              <w:instrText xml:space="preserve"> PAGEREF _Toc256000149 \h </w:instrText>
            </w:r>
            <w:r>
              <w:fldChar w:fldCharType="separate"/>
            </w:r>
            <w:r>
              <w:t>37</w:t>
            </w:r>
            <w:r>
              <w:fldChar w:fldCharType="end"/>
            </w:r>
          </w:hyperlink>
        </w:p>
        <w:p>
          <w:pPr>
            <w:pStyle w:val="TOC3"/>
            <w:tabs>
              <w:tab w:val="right" w:leader="dot" w:pos="9730"/>
            </w:tabs>
            <w:rPr>
              <w:rFonts w:asciiTheme="minorHAnsi" w:hAnsiTheme="minorHAnsi"/>
              <w:noProof/>
              <w:sz w:val="22"/>
            </w:rPr>
          </w:pPr>
          <w:hyperlink w:anchor="_Toc256000150" w:history="1">
            <w:r>
              <w:rPr>
                <w:rStyle w:val="Hyperlink"/>
                <w:rFonts w:ascii="仿宋" w:eastAsia="仿宋" w:hAnsi="仿宋" w:cs="仿宋"/>
              </w:rPr>
              <w:t>六、一般公共预算财政拨款基本支出决算情况说明</w:t>
            </w:r>
            <w:r>
              <w:tab/>
            </w:r>
            <w:r>
              <w:fldChar w:fldCharType="begin"/>
            </w:r>
            <w:r>
              <w:instrText xml:space="preserve"> PAGEREF _Toc256000150 \h </w:instrText>
            </w:r>
            <w:r>
              <w:fldChar w:fldCharType="separate"/>
            </w:r>
            <w:r>
              <w:t>37</w:t>
            </w:r>
            <w:r>
              <w:fldChar w:fldCharType="end"/>
            </w:r>
          </w:hyperlink>
        </w:p>
        <w:p>
          <w:pPr>
            <w:pStyle w:val="TOC3"/>
            <w:tabs>
              <w:tab w:val="right" w:leader="dot" w:pos="9730"/>
            </w:tabs>
            <w:rPr>
              <w:rFonts w:asciiTheme="minorHAnsi" w:hAnsiTheme="minorHAnsi"/>
              <w:noProof/>
              <w:sz w:val="22"/>
            </w:rPr>
          </w:pPr>
          <w:hyperlink w:anchor="_Toc256000151" w:history="1">
            <w:r>
              <w:rPr>
                <w:rStyle w:val="Hyperlink"/>
                <w:rFonts w:ascii="仿宋" w:eastAsia="仿宋" w:hAnsi="仿宋" w:cs="仿宋"/>
              </w:rPr>
              <w:t>七、一般公共预算财政拨款“三公”经费支出决算情况说明</w:t>
            </w:r>
            <w:r>
              <w:tab/>
            </w:r>
            <w:r>
              <w:fldChar w:fldCharType="begin"/>
            </w:r>
            <w:r>
              <w:instrText xml:space="preserve"> PAGEREF _Toc256000151 \h </w:instrText>
            </w:r>
            <w:r>
              <w:fldChar w:fldCharType="separate"/>
            </w:r>
            <w:r>
              <w:t>38</w:t>
            </w:r>
            <w:r>
              <w:fldChar w:fldCharType="end"/>
            </w:r>
          </w:hyperlink>
        </w:p>
        <w:p>
          <w:pPr>
            <w:pStyle w:val="TOC3"/>
            <w:tabs>
              <w:tab w:val="right" w:leader="dot" w:pos="9730"/>
            </w:tabs>
            <w:rPr>
              <w:rFonts w:asciiTheme="minorHAnsi" w:hAnsiTheme="minorHAnsi"/>
              <w:noProof/>
              <w:sz w:val="22"/>
            </w:rPr>
          </w:pPr>
          <w:hyperlink w:anchor="_Toc256000152" w:history="1">
            <w:r>
              <w:rPr>
                <w:rStyle w:val="Hyperlink"/>
                <w:rFonts w:ascii="仿宋" w:eastAsia="仿宋" w:hAnsi="仿宋" w:cs="仿宋"/>
              </w:rPr>
              <w:t>八、预算绩效情况说明</w:t>
            </w:r>
            <w:r>
              <w:tab/>
            </w:r>
            <w:r>
              <w:fldChar w:fldCharType="begin"/>
            </w:r>
            <w:r>
              <w:instrText xml:space="preserve"> PAGEREF _Toc256000152 \h </w:instrText>
            </w:r>
            <w:r>
              <w:fldChar w:fldCharType="separate"/>
            </w:r>
            <w:r>
              <w:t>39</w:t>
            </w:r>
            <w:r>
              <w:fldChar w:fldCharType="end"/>
            </w:r>
          </w:hyperlink>
        </w:p>
        <w:p>
          <w:pPr>
            <w:pStyle w:val="TOC3"/>
            <w:tabs>
              <w:tab w:val="right" w:leader="dot" w:pos="9730"/>
            </w:tabs>
            <w:rPr>
              <w:rFonts w:asciiTheme="minorHAnsi" w:hAnsiTheme="minorHAnsi"/>
              <w:noProof/>
              <w:sz w:val="22"/>
            </w:rPr>
          </w:pPr>
          <w:hyperlink w:anchor="_Toc256000153" w:history="1">
            <w:r>
              <w:rPr>
                <w:rStyle w:val="Hyperlink"/>
                <w:rFonts w:ascii="仿宋" w:eastAsia="仿宋" w:hAnsi="仿宋" w:cs="仿宋"/>
              </w:rPr>
              <w:t>九、其他重要事项说明</w:t>
            </w:r>
            <w:r>
              <w:tab/>
            </w:r>
            <w:r>
              <w:fldChar w:fldCharType="begin"/>
            </w:r>
            <w:r>
              <w:instrText xml:space="preserve"> PAGEREF _Toc256000153 \h </w:instrText>
            </w:r>
            <w:r>
              <w:fldChar w:fldCharType="separate"/>
            </w:r>
            <w:r>
              <w:t>39</w:t>
            </w:r>
            <w:r>
              <w:fldChar w:fldCharType="end"/>
            </w:r>
          </w:hyperlink>
        </w:p>
        <w:p>
          <w:pPr>
            <w:pStyle w:val="TOC2"/>
            <w:tabs>
              <w:tab w:val="right" w:leader="dot" w:pos="9730"/>
            </w:tabs>
            <w:rPr>
              <w:rFonts w:asciiTheme="minorHAnsi" w:hAnsiTheme="minorHAnsi"/>
              <w:noProof/>
              <w:sz w:val="22"/>
            </w:rPr>
          </w:pPr>
          <w:hyperlink w:anchor="_Toc256000154" w:history="1">
            <w:r>
              <w:rPr>
                <w:rStyle w:val="Hyperlink"/>
                <w:rFonts w:ascii="仿宋" w:eastAsia="仿宋" w:hAnsi="仿宋" w:cs="仿宋"/>
              </w:rPr>
              <w:t>第四部分</w:t>
            </w:r>
            <w:r>
              <w:rPr>
                <w:rStyle w:val="Hyperlink"/>
                <w:rFonts w:ascii="黑体" w:eastAsia="黑体" w:hAnsi="黑体" w:cs="黑体"/>
              </w:rPr>
              <w:t xml:space="preserve"> </w:t>
            </w:r>
            <w:r>
              <w:rPr>
                <w:rStyle w:val="Hyperlink"/>
                <w:rFonts w:ascii="仿宋" w:eastAsia="仿宋" w:hAnsi="仿宋" w:cs="仿宋"/>
              </w:rPr>
              <w:t>名词解释</w:t>
            </w:r>
            <w:r>
              <w:tab/>
            </w:r>
            <w:r>
              <w:fldChar w:fldCharType="begin"/>
            </w:r>
            <w:r>
              <w:instrText xml:space="preserve"> PAGEREF _Toc256000154 \h </w:instrText>
            </w:r>
            <w:r>
              <w:fldChar w:fldCharType="separate"/>
            </w:r>
            <w:r>
              <w:t>41</w:t>
            </w:r>
            <w:r>
              <w:fldChar w:fldCharType="end"/>
            </w:r>
          </w:hyperlink>
        </w:p>
        <w:p>
          <w:pPr>
            <w:pStyle w:val="TOC2"/>
            <w:tabs>
              <w:tab w:val="right" w:leader="dot" w:pos="9730"/>
            </w:tabs>
            <w:rPr>
              <w:rFonts w:asciiTheme="minorHAnsi" w:hAnsiTheme="minorHAnsi"/>
              <w:noProof/>
              <w:sz w:val="22"/>
            </w:rPr>
          </w:pPr>
          <w:hyperlink w:anchor="_Toc256000155" w:history="1">
            <w:r>
              <w:rPr>
                <w:rStyle w:val="Hyperlink"/>
                <w:rFonts w:ascii="仿宋" w:eastAsia="仿宋" w:hAnsi="仿宋" w:cs="仿宋"/>
              </w:rPr>
              <w:t>第五部分</w:t>
            </w:r>
            <w:r>
              <w:rPr>
                <w:rStyle w:val="Hyperlink"/>
                <w:rFonts w:ascii="黑体" w:eastAsia="黑体" w:hAnsi="黑体" w:cs="黑体"/>
              </w:rPr>
              <w:t xml:space="preserve"> </w:t>
            </w:r>
            <w:r>
              <w:rPr>
                <w:rStyle w:val="Hyperlink"/>
                <w:rFonts w:ascii="仿宋" w:eastAsia="仿宋" w:hAnsi="仿宋" w:cs="仿宋"/>
              </w:rPr>
              <w:t>附件</w:t>
            </w:r>
            <w:r>
              <w:tab/>
            </w:r>
            <w:r>
              <w:fldChar w:fldCharType="begin"/>
            </w:r>
            <w:r>
              <w:instrText xml:space="preserve"> PAGEREF _Toc256000155 \h </w:instrText>
            </w:r>
            <w:r>
              <w:fldChar w:fldCharType="separate"/>
            </w:r>
            <w:r>
              <w:t>44</w:t>
            </w:r>
            <w:r>
              <w:fldChar w:fldCharType="end"/>
            </w:r>
          </w:hyperlink>
        </w:p>
        <w:p>
          <w:pPr>
            <w:adjustRightInd w:val="0"/>
            <w:snapToGrid w:val="0"/>
            <w:rPr>
              <w:rFonts w:ascii="仿宋" w:eastAsia="仿宋" w:hAnsi="仿宋" w:cs="仿宋" w:hint="eastAsia"/>
              <w:b w:val="0"/>
              <w:bCs/>
              <w:kern w:val="2"/>
              <w:sz w:val="32"/>
              <w:szCs w:val="32"/>
              <w:lang w:val="en-US" w:eastAsia="zh-CN" w:bidi="ar-SA"/>
            </w:rPr>
            <w:sectPr>
              <w:footerReference w:type="default" r:id="rId6"/>
              <w:pgSz w:w="11906" w:h="16838"/>
              <w:pgMar w:top="1440" w:right="1083" w:bottom="1440" w:left="1083" w:header="0" w:footer="720" w:gutter="0"/>
              <w:pgNumType w:start="1"/>
              <w:cols w:num="1" w:space="0"/>
              <w:titlePg w:val="0"/>
              <w:rtlGutter w:val="0"/>
              <w:docGrid w:type="lines" w:linePitch="317" w:charSpace="0"/>
            </w:sectPr>
          </w:pPr>
          <w:r>
            <w:rPr>
              <w:rFonts w:ascii="仿宋" w:eastAsia="仿宋" w:hAnsi="仿宋" w:cs="仿宋" w:hint="eastAsia"/>
              <w:b w:val="0"/>
              <w:bCs/>
              <w:kern w:val="2"/>
              <w:sz w:val="32"/>
              <w:szCs w:val="32"/>
              <w:lang w:val="en-US" w:eastAsia="zh-CN" w:bidi="ar-SA"/>
            </w:rPr>
            <w:fldChar w:fldCharType="end"/>
          </w:r>
        </w:p>
      </w:sdtContent>
    </w:sdt>
    <w:p w14:paraId="70202DA5">
      <w:pPr>
        <w:pStyle w:val="MsoNormal"/>
        <w:widowControl/>
        <w:spacing w:before="100" w:after="270"/>
        <w:ind w:left="0" w:right="0" w:firstLine="640"/>
        <w:jc w:val="center"/>
        <w:rPr>
          <w:rFonts w:ascii="Times New Roman" w:eastAsia="Times New Roman" w:hAnsi="Times New Roman" w:cs="Times New Roman"/>
          <w:kern w:val="0"/>
          <w:sz w:val="24"/>
        </w:rPr>
      </w:pPr>
      <w:bookmarkStart w:id="0" w:name="a000"/>
    </w:p>
    <w:p>
      <w:pPr>
        <w:pStyle w:val="MsoNormal"/>
        <w:widowControl/>
        <w:spacing w:before="100" w:after="100"/>
        <w:ind w:left="100" w:right="100" w:firstLine="640"/>
        <w:jc w:val="center"/>
        <w:rPr>
          <w:rFonts w:ascii="Times New Roman" w:eastAsia="Times New Roman" w:hAnsi="Times New Roman" w:cs="Times New Roman"/>
          <w:kern w:val="0"/>
          <w:sz w:val="24"/>
        </w:rPr>
      </w:pPr>
      <w:r>
        <w:rPr>
          <w:rFonts w:ascii="Calibri" w:eastAsia="Calibri" w:hAnsi="Calibri" w:cs="Calibri"/>
          <w:spacing w:val="0"/>
          <w:kern w:val="0"/>
          <w:sz w:val="84"/>
          <w:szCs w:val="84"/>
        </w:rPr>
        <w:t> </w:t>
      </w:r>
    </w:p>
    <w:p>
      <w:pPr>
        <w:widowControl/>
        <w:spacing w:before="240" w:after="240"/>
        <w:jc w:val="left"/>
        <w:rPr>
          <w:rFonts w:ascii="Times New Roman" w:eastAsia="Times New Roman" w:hAnsi="Times New Roman" w:cs="Times New Roman"/>
          <w:kern w:val="0"/>
          <w:sz w:val="24"/>
        </w:rPr>
      </w:pPr>
    </w:p>
    <w:p>
      <w:pPr>
        <w:widowControl/>
        <w:spacing w:before="240" w:after="240"/>
        <w:jc w:val="left"/>
        <w:rPr>
          <w:rFonts w:ascii="Times New Roman" w:eastAsia="Times New Roman" w:hAnsi="Times New Roman" w:cs="Times New Roman"/>
          <w:kern w:val="0"/>
          <w:sz w:val="24"/>
        </w:rPr>
      </w:pPr>
    </w:p>
    <w:p>
      <w:pPr>
        <w:widowControl/>
        <w:spacing w:before="240" w:after="240"/>
        <w:jc w:val="left"/>
        <w:rPr>
          <w:rFonts w:ascii="Times New Roman" w:eastAsia="Times New Roman" w:hAnsi="Times New Roman" w:cs="Times New Roman"/>
          <w:kern w:val="0"/>
          <w:sz w:val="24"/>
        </w:rPr>
      </w:pPr>
    </w:p>
    <w:p>
      <w:pPr>
        <w:widowControl/>
        <w:spacing w:before="240" w:after="240"/>
        <w:jc w:val="left"/>
        <w:rPr>
          <w:rFonts w:ascii="Times New Roman" w:eastAsia="Times New Roman" w:hAnsi="Times New Roman" w:cs="Times New Roman"/>
          <w:kern w:val="0"/>
          <w:sz w:val="24"/>
        </w:rPr>
      </w:pPr>
    </w:p>
    <w:p>
      <w:pPr>
        <w:widowControl/>
        <w:spacing w:before="240" w:after="240"/>
        <w:jc w:val="left"/>
        <w:rPr>
          <w:rFonts w:ascii="Times New Roman" w:eastAsia="Times New Roman" w:hAnsi="Times New Roman" w:cs="Times New Roman"/>
          <w:kern w:val="0"/>
          <w:sz w:val="24"/>
        </w:rPr>
      </w:pPr>
    </w:p>
    <w:p>
      <w:pPr>
        <w:widowControl/>
        <w:spacing w:before="240" w:after="240"/>
        <w:jc w:val="left"/>
        <w:rPr>
          <w:rFonts w:ascii="Times New Roman" w:eastAsia="Times New Roman" w:hAnsi="Times New Roman" w:cs="Times New Roman"/>
          <w:kern w:val="0"/>
          <w:sz w:val="24"/>
        </w:rPr>
      </w:pPr>
    </w:p>
    <w:p>
      <w:pPr>
        <w:widowControl/>
        <w:spacing w:before="240" w:after="2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 w:name="_Toc256000000"/>
      <w:bookmarkStart w:id="2" w:name="_Toc256000026"/>
      <w:bookmarkStart w:id="3" w:name="_Toc256000052"/>
      <w:bookmarkStart w:id="4" w:name="_Toc256000078"/>
      <w:bookmarkStart w:id="5" w:name="_Toc256000104"/>
      <w:bookmarkStart w:id="6" w:name="_Toc256000130"/>
      <w:r>
        <w:rPr>
          <w:rFonts w:ascii="黑体" w:eastAsia="黑体" w:hAnsi="黑体" w:cs="黑体"/>
          <w:b w:val="0"/>
          <w:bCs w:val="0"/>
          <w:spacing w:val="0"/>
          <w:sz w:val="56"/>
          <w:szCs w:val="56"/>
        </w:rPr>
        <w:t>第一部分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单位概况</w:t>
      </w:r>
      <w:bookmarkEnd w:id="6"/>
      <w:bookmarkEnd w:id="5"/>
      <w:bookmarkEnd w:id="4"/>
      <w:bookmarkEnd w:id="3"/>
      <w:bookmarkEnd w:id="2"/>
      <w:bookmarkEnd w:id="1"/>
    </w:p>
    <w:p>
      <w:pPr>
        <w:sectPr>
          <w:footerReference w:type="default" r:id="rId7"/>
          <w:type w:val="nextPage"/>
          <w:pgSz w:w="11906" w:h="16838"/>
          <w:pgMar w:right="720" w:left="720" w:header="720" w:footer="720"/>
          <w:pgNumType w:start="1"/>
          <w:cols w:space="720"/>
          <w:titlePg w:val="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7" w:name="_Toc256000001"/>
      <w:bookmarkStart w:id="8" w:name="_Toc256000027"/>
      <w:bookmarkStart w:id="9" w:name="_Toc256000053"/>
      <w:bookmarkStart w:id="10" w:name="_Toc256000079"/>
      <w:bookmarkStart w:id="11" w:name="_Toc256000105"/>
      <w:bookmarkStart w:id="12" w:name="_Toc256000131"/>
      <w:r>
        <w:rPr>
          <w:rFonts w:ascii="黑体" w:eastAsia="黑体" w:hAnsi="黑体" w:cs="黑体"/>
          <w:b w:val="0"/>
          <w:bCs w:val="0"/>
          <w:spacing w:val="0"/>
        </w:rPr>
        <w:t>一、单位主要职责</w:t>
      </w:r>
      <w:bookmarkEnd w:id="12"/>
      <w:bookmarkEnd w:id="11"/>
      <w:bookmarkEnd w:id="10"/>
      <w:bookmarkEnd w:id="9"/>
      <w:bookmarkEnd w:id="8"/>
      <w:bookmarkEnd w:id="7"/>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上杭县茶地镇人民政府（本级）单位的主要职责是：（一）执行国家行政机关的决定、命令和国家制定的法令、法规，执行本级人民代表大会的各项决议，并报告执行决议、决定和命令的情况。</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（二）制定并落实本行政区域的经济计划和措施，全面提高人民群众的生活水平和生活质量。</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（三）承担国有资产、集体资产管理、监督及增值保值责任。保护国有财产和集体财产，保户公民私人所有的合法财产，维护社会秩序，保障公民的人身权利、民主权利和其他权利。</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（四）开展社会主义民主和法制的宣传教育，保障公民的权利，打击违法犯罪，维护社会稳定。</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（五）制定社会各项事业发展计划，发展教育、卫生、科技、民政、广播电视、文化、体育事业；加强计划生育工作；推进社会保障、社会福利事业和养老保险、农村基础设施建设等工作。</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（六）加强乡级财政的监督和管理，按计划组织、管理乡财政收入和支出，执行国家有关财经纪律和政策，保证国家财政收入的完成。</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（七）指导各村委员会的组织制度建设和业务建设，促进村委员会民主自治。</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3" w:name="_Toc256000002"/>
      <w:bookmarkStart w:id="14" w:name="_Toc256000028"/>
      <w:bookmarkStart w:id="15" w:name="_Toc256000054"/>
      <w:bookmarkStart w:id="16" w:name="_Toc256000080"/>
      <w:bookmarkStart w:id="17" w:name="_Toc256000106"/>
      <w:bookmarkStart w:id="18" w:name="_Toc256000132"/>
      <w:r>
        <w:rPr>
          <w:rFonts w:ascii="黑体" w:eastAsia="黑体" w:hAnsi="黑体" w:cs="黑体"/>
          <w:b w:val="0"/>
          <w:bCs w:val="0"/>
          <w:spacing w:val="0"/>
        </w:rPr>
        <w:t>二、单位基本情况</w:t>
      </w:r>
      <w:bookmarkEnd w:id="18"/>
      <w:bookmarkEnd w:id="17"/>
      <w:bookmarkEnd w:id="16"/>
      <w:bookmarkEnd w:id="15"/>
      <w:bookmarkEnd w:id="14"/>
      <w:bookmarkEnd w:id="1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从决算单位构成看，本单位包括3个内设机构，其中：列入2024年决算编制范围的单位详细情况见下表:</w:t>
      </w:r>
    </w:p>
    <w:tbl>
      <w:tblPr>
        <w:tblW w:w="5000" w:type="pct"/>
        <w:tblInd w:w="13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Pr>
      <w:tblGrid>
        <w:gridCol w:w="4671"/>
        <w:gridCol w:w="3503"/>
        <w:gridCol w:w="2336"/>
      </w:tblGrid>
      <w:tr>
        <w:tblPrEx>
          <w:tblW w:w="5000" w:type="pct"/>
          <w:tblInd w:w="13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PrEx>
        <w:trPr>
          <w:cantSplit/>
          <w:tblHeader/>
        </w:trPr>
        <w:tc>
          <w:tcPr>
            <w:tcW w:w="2000" w:type="pct"/>
            <w:tcBorders>
              <w:bottom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单位名称</w:t>
            </w:r>
          </w:p>
        </w:tc>
        <w:tc>
          <w:tcPr>
            <w:tcW w:w="1500" w:type="pct"/>
            <w:tcBorders>
              <w:left w:val="inset" w:sz="6" w:space="0" w:color="808080"/>
              <w:bottom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单位性质</w:t>
            </w:r>
          </w:p>
        </w:tc>
        <w:tc>
          <w:tcPr>
            <w:tcW w:w="1000" w:type="pct"/>
            <w:tcBorders>
              <w:left w:val="inset" w:sz="6" w:space="0" w:color="808080"/>
              <w:bottom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bCs/>
                <w:i w:val="0"/>
                <w:iCs w:val="0"/>
                <w:smallCaps w:val="0"/>
                <w:color w:val="000000"/>
                <w:spacing w:val="0"/>
                <w:kern w:val="0"/>
                <w:sz w:val="24"/>
              </w:rPr>
            </w:pPr>
            <w:r>
              <w:rPr>
                <w:rFonts w:ascii="宋体" w:eastAsia="宋体" w:hAnsi="宋体" w:cs="宋体"/>
                <w:b/>
                <w:bCs/>
                <w:i w:val="0"/>
                <w:iCs w:val="0"/>
                <w:smallCaps w:val="0"/>
                <w:color w:val="000000"/>
                <w:spacing w:val="0"/>
                <w:kern w:val="0"/>
                <w:sz w:val="21"/>
              </w:rPr>
              <w:t>在职人数</w:t>
            </w:r>
          </w:p>
        </w:tc>
      </w:tr>
      <w:tr>
        <w:tblPrEx>
          <w:tblW w:w="5000" w:type="pct"/>
          <w:tblInd w:w="130" w:type="dxa"/>
          <w:tblLayout w:type="fixed"/>
          <w:tblCellMar>
            <w:top w:w="15" w:type="dxa"/>
            <w:left w:w="15" w:type="dxa"/>
            <w:bottom w:w="15" w:type="dxa"/>
            <w:right w:w="15" w:type="dxa"/>
          </w:tblCellMar>
        </w:tblPrEx>
        <w:trPr>
          <w:cantSplit/>
        </w:trPr>
        <w:tc>
          <w:tcPr>
            <w:tcW w:w="4258" w:type="dxa"/>
            <w:tcBorders>
              <w:top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上杭县茶地镇人民政府（本级）</w:t>
            </w:r>
          </w:p>
        </w:tc>
        <w:tc>
          <w:tcPr>
            <w:tcW w:w="3193" w:type="dxa"/>
            <w:tcBorders>
              <w:top w:val="inset" w:sz="6" w:space="0" w:color="808080"/>
              <w:left w:val="inset" w:sz="6" w:space="0" w:color="808080"/>
              <w:righ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行政单位</w:t>
            </w:r>
          </w:p>
        </w:tc>
        <w:tc>
          <w:tcPr>
            <w:tcW w:w="2129" w:type="dxa"/>
            <w:tcBorders>
              <w:top w:val="inset" w:sz="6" w:space="0" w:color="808080"/>
              <w:left w:val="inset" w:sz="6" w:space="0" w:color="808080"/>
            </w:tcBorders>
            <w:noWrap w:val="0"/>
            <w:tcMar>
              <w:top w:w="22" w:type="dxa"/>
              <w:left w:w="22" w:type="dxa"/>
              <w:bottom w:w="22" w:type="dxa"/>
              <w:right w:w="22" w:type="dxa"/>
            </w:tcMar>
            <w:vAlign w:val="center"/>
            <w:hideMark/>
          </w:tcPr>
          <w:p>
            <w:pPr>
              <w:widowControl/>
              <w:ind w:firstLine="640"/>
              <w:jc w:val="center"/>
              <w:rPr>
                <w:rFonts w:ascii="SimSun" w:eastAsia="SimSun" w:hAnsi="SimSun" w:cs="SimSun"/>
                <w:b w:val="0"/>
                <w:bCs w:val="0"/>
                <w:i w:val="0"/>
                <w:iCs w:val="0"/>
                <w:smallCaps w:val="0"/>
                <w:color w:val="000000"/>
                <w:spacing w:val="0"/>
                <w:kern w:val="0"/>
                <w:sz w:val="24"/>
              </w:rPr>
            </w:pPr>
            <w:r>
              <w:rPr>
                <w:rFonts w:ascii="宋体" w:eastAsia="宋体" w:hAnsi="宋体" w:cs="宋体"/>
                <w:b w:val="0"/>
                <w:bCs w:val="0"/>
                <w:i w:val="0"/>
                <w:iCs w:val="0"/>
                <w:smallCaps w:val="0"/>
                <w:color w:val="000000"/>
                <w:spacing w:val="0"/>
                <w:kern w:val="0"/>
                <w:sz w:val="21"/>
              </w:rPr>
              <w:t>19</w:t>
            </w:r>
          </w:p>
        </w:tc>
      </w:tr>
    </w:tbl>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9" w:name="_Toc256000003"/>
      <w:bookmarkStart w:id="20" w:name="_Toc256000029"/>
      <w:bookmarkStart w:id="21" w:name="_Toc256000055"/>
      <w:bookmarkStart w:id="22" w:name="_Toc256000081"/>
      <w:bookmarkStart w:id="23" w:name="_Toc256000107"/>
      <w:bookmarkStart w:id="24" w:name="_Toc256000133"/>
      <w:r>
        <w:rPr>
          <w:rFonts w:ascii="黑体" w:eastAsia="黑体" w:hAnsi="黑体" w:cs="黑体"/>
          <w:b w:val="0"/>
          <w:bCs w:val="0"/>
          <w:spacing w:val="0"/>
        </w:rPr>
        <w:t>三、单位主要工作总结</w:t>
      </w:r>
      <w:bookmarkEnd w:id="24"/>
      <w:bookmarkEnd w:id="23"/>
      <w:bookmarkEnd w:id="22"/>
      <w:bookmarkEnd w:id="21"/>
      <w:bookmarkEnd w:id="20"/>
      <w:bookmarkEnd w:id="1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2024年，上杭县茶地镇人民政府（本级）单位主要任务是：蓄动能、谋发展，经济实力稳步增强、为人民服务围绕上述任务，重点完成了以下工作：</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一、致力于推进经济高质量发展</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经济发展稳步推进。2024年1-11月实现财政收入1156.25万元，其中工商税收294.63万元，非税收入17.48万元，上级补助收入844.14万元。2024年1-11月，实现规上工业产值4.2055亿元，同比增长42.3%，居全县第三；工业投资完成34715万元，同比增速19.89%，全县排名第一；建安投资完成26522万元，同比增速41.8%，全县排名第二；固定资产投资2024年计划数2.8亿元，完成4.894亿元，同比增速23.6%，全县排名第二；限上社会消费品零售额3246.9万元，同比增速9.41%；限上住餐业销售额1360.7万元，同比增速53.1%，全县排名第一。</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项目建设有序推进。秉持项目引领的发展理念，今年以来，共谋划项目20个，其中列为县“五个一批”项目8个、县重点项目1个。目前，全镇在建项目8个，其中县重点项目汀江流域黄潭河茶地段水生态环境综合治理工程（一期）已全面竣工；持续积极推进茶地镇灾后恢复重建项目、护岸水毁修复工程、基础设施灾后修复、翁基村乡村振兴、集贸市场改造、大燮村村级组织活动场所、灾后圩上桥改造及集镇路面修复等项目建设，制定工程进度目标，力争提前完成项目建设。农业防灾减灾和农田基础设施修复管护已完工。积极策划上杭县水稻品种测试评价基地等两个项目，均已通过省发改委评审，并报送国家发改委审核。</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招商引资提质增效。紧紧围绕“六稳”“六保”要求，全力恢复灾后生产生活秩序，全镇经济呈现稳定恢复增长态势。今年以来，镇领导班子开展外出招商引资工作11次，对接企业13家，完成招商引资签约任务3个、开工项目1个、竣工项目1个。全县揭榜招商工作开展以来，积极对接项目3个，其中现阶段可参加揭榜招商项目2个，已揭榜签约项目1个；正在培育企业5家，已完成入库材料申报工作。</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粮食安全有力保障。坚持推动藏粮于地、藏粮于技，2024年，粮食播种总面积共计14424亩，其中大豆播种面积430亩、早稻面积2946亩、中稻面积866亩、晚稻面积8877亩、其它杂粮面积1246亩，粮食总产量达5076吨。全力以赴整治耕地“非农化”“非粮化”现象，高标农田项目待验收的面积 650余亩（茶地村）。农业基础设施进一步提升，完成2025年大燮、高屋、樟树、翁基、下连科等5个村3500亩高标准农田建设项目设计评审。大力发展烟稻轮植，2024年烟叶种植面积430亩，同比增长1.18%。着重推进粮食五新技术的示范与推广工作，下科村五新示范片流转耕地 65亩，切实落实早稻35亩、中稻86亩、晚稻 65亩，与本村内非五新示范片相比，平均每亩可增收45元，新增农民收入达0.45万元。</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二、致力于示范带动强村富民</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乡村振兴“成色”提升。全力推进翁基村省级乡村振兴示范建设，以“三项主要产业”为抓手，开展沿河步道集中式光伏新能源、现代化农业产业园、党建口袋公园、“烧架花”市级非物质文化遗产、村内基础设施等项目建设，构建完善“一溪”（调和溪）、两岸（溪东、溪西）、三区（光伏能源区、农业产业区、非遗文化区）发展规划布局，建成机制活、产业优、百姓富、生态美的省级乡村振兴示范村。依托国家级水稻抗性鉴定圃、全国示范性陈进周劳模创新工作室、茶米香合作社、客运站等，打造乡村振兴服务基地（共富工坊），聚力大燮村“一村一品”建设，“禾米香”红米、黑米被认定为国家级绿色食品A级产品。大力发展脐橙种植，2024年茶地村、久泰村、樟树村、上连科村、竹马村、大燮村等6个村共计种植脐橙约800亩，全年脐橙总产量约2000吨，产值达800余万元。</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生态底色持续擦亮。深入贯彻“绿水青山就是金山银山”理念，坚决抓好生态环保督察发现问题整改工作。严格落实河湖长制工作责任制，今年以来，摸排河湖“清四乱”、非法电鱼等相关涉河问题29件，已全部完成销号；开展各类护河清洁行动5次，投放鱼苗6500余尾，镇域内河湖环境质量显著改善，黄潭河支流茶地调和溪黄竹墩断面Ⅲ类水质达标率100%。严格落实林长制工作责任制，持续开展森林图斑复绿整治工作，实施造林绿化152亩，实施预防性松材线虫采伐240亩，常态化做好林业有害生物测报、松材线虫病防控、森林防灭火工作。今年以来，全镇未发生火警火灾，森林防灭火工作的态势总体保持平稳。</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镇村面貌逐步改变。全面学习并运用好“千村示范、万村整治”工程经验，聚焦村容村貌提升、生活污水与垃圾治理等重点工作，以翁基村作为示范典型，成功打造出了一批小而优、小且精的乡村美丽景致，由点到面发挥带动辐射作用，加速推进宜居宜业的美丽新农村建设。聚焦完善基础设施建设，着力解决交通改造、路面拓宽等民生实事，全面完成茶太线征地项目共计183.433亩、下科村水口桥与大燮村宫玉桥桥梁重建工程，持续擦亮乡村底色。</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三、致力于提升基层治理水平</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灾后重建有力有序。制定《2024年茶地镇农村住房灾后重建工作方案》，实行干部挂钩帮扶和村级工作经费奖励激励机制，全面开展农房灾后重建竞赛活动，“赛”出农房灾后重建“加速度”。截至目前，全镇56户农房灾后重建户已全部搬迁入住新房，重建进度、奖励机制获省应急厅充分肯定。全力做好农业生产、基础设施恢复工作，茶地镇农业防灾减灾和农田基础设施修复管护项目、茶地镇护岸水毁修复工程、茶地镇基础设施灾后修复项目、茶地镇灾后圩上桥改造及集镇路面修复工程，以上项目均已开工建设，年内将全部竣工。同时，多措并举争取灾后重建资金，结合项目谋划，科学有序、加力加速做好道路修复、耕地恢复等灾后重建工作，保障茶地镇经济社会稳定发展。</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平安建设卓有成效。扎实开展“八五”普法，深化平安“三率”建设，常态化推进扫黑除恶专项斗争，强化矛盾纠纷排查化解，实现矛盾纠纷全化解、信访积案全清零，滞留缅北涉诈高危人员在全县率先实现“清零”，连续七年获评市级“平安乡镇”，“平安茶地”建设成效明显。今年以来，全镇受理各类刑事案件4起，行政案件18起，查处18起，未发生重大群体性事件和“民转刑”案件；化解矛盾纠纷29起、调解29起，化解率、调解满意率均100%，受理12345便民服务平台投诉133件、解决133件，及时答复率100%，办结信访事项2件、办结率100%；发放“平安茶地”宣传品6000余份、宣传材料20000余份。</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专项整治精准高效。严格落实安全生产“党政同责、一岗双责”，扎实推进安全生产治本攻坚三年行动。今年以来，共开展烟花爆竹管控专项整治12次，组织各类安全隐患检查12次，检查单位127家次、商铺125家次，发现一般隐患116条，完成整改116条，整改率100%，处罚商铺1家。开展防灾减灾、防洪抢险、防汛、坍塌事故应急救援、消防应急演练8场次，组织学习培训及观看警示教育片9场次，安全生产形势安定稳定。</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四、致力于完善惠民服务保障</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保障帮扶持续强化。坚持在发展中保障和改善民生，不断巩固拓展脱贫攻坚成果同乡村振兴有效衔接。全镇现有低保户116户184人，低保边缘家庭16户57人，五保户76户76人。今年以来，共发放低保金等各类补助239万元。健全完善社会保障，全镇参加城乡综合养老保险6768人，城乡养老待遇发放1639人，今年以来，新增养老待遇发放109人，清理城乡居民养老保险暂停待遇发放人员62人；按月足额发放高龄津贴，今年以来，累计发放津贴34.74万元，上门协助完成高龄老人认证1600人次。持续支持医疗服务提升，茶地卫生院购入彩色多普勒超声机，开展彩色多普勒B超检查。深入开展健康筛查工作，完成高血压、糖尿病、重精患者免费体检共计706人次。</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民生福祉不断殷实。便民服务优质高效，深入推行“一件事一次办”，办理食品经营许可证、营业执照、高龄补贴等事项95件，开展便民服务帮办代办服务2000余件，受益群众3000余人。多形式、多渠道全力保障居民就业，加强就业服务培训，组织就业培训2场150余人次，引导未就业人员参与企业招聘117名，2024年新增就业人员50人。扎实推进教育强镇建设，不断提升教育教学质量。全力做好茶地中学委托上杭四中管理工作，今年中考茶地中学6名同学被上杭一中、二中录取，普高上线率达50%；茶地中心小学荣获2023—2024学年小学教学质量管理三等奖。双拥工作发展新篇章，退役军人服务站累计发放231张优待证，茶地镇人民武装部荣获市级“征兵工作先进单位”，同时被龙岩军分区推荐到省军区参评“四星级”人民武装部，为双拥工作奠定良好基础。探索养老服务新模式，提升“长者食堂”规模化水平，高屋村、官山村长者食堂每日供应中餐和晚餐，有效解决高龄老人、残疾人、五保户等群体“吃饭难”、“做饭难”问题。村庄规划工作有序推进，完成了11个村村庄规划编制，11个村的村庄规划已通过评审。民生项目进展顺利，全镇13处主要平交路口的“四必上”工程已完成、茶太线征地工作已基本完成。</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五、致力于改进作风提升政府效能</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做实工作跟踪督办。坚持“一事一督办，一事一汇总”原则，结合“周计划、月总结、季评比”活动，严格执行周重点工作任务督办和工作周报制度，结合全镇每周工作实际，制定重点工作任务督办落实制度，明确督办重点工作内容、牵头领导、责任人，由镇党政综合办公室进行全过程跟踪督办，确保督办工作“事事有结果、件件有回音”。同时，结合重点工作任务督办落实情况，整理形成工作周报，扎实推动全镇各项工作落实落地。工作开展以来，共制定督办要点488项，发布工作周报20条215项。</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纪律建设持续严明。坚持党风廉政建设“一岗双责”，严格抓好《中国共产党纪律处分条例》的贯彻执行，扎实开展党纪学习教育，以反腐倡廉实效取信于民。坚持教育、制度、监督并重，点线面结合，构建严密的防范网络，保证权力健康有序运行。认真贯彻落实中央八项规定及其实施细则精神，严控“三公”经费支出，严格落实公务接待、财务等各项管理制度，提高财政资金使用效率，将更多的财政资金用在为民谋利的“刀刃”上。坚持过“紧日子”，持续压减财政非急需非刚性支出。</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此外，人防、民族宗教、党史方志、档案、供销合作、保密、外事侨务、文联、侨联、客联、工商联、工青妇、残联、科协、农机、老龄、红十字会、关心下一代等事业进一步发展。</w:t>
      </w:r>
    </w:p>
    <w:p>
      <w:pPr>
        <w:sectPr>
          <w:footerReference w:type="default" r:id="rId8"/>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p"/>
        <w:widowControl/>
        <w:spacing w:before="100" w:after="100"/>
        <w:ind w:left="100" w:right="100" w:firstLine="6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25" w:name="_Toc256000004"/>
      <w:bookmarkStart w:id="26" w:name="_Toc256000030"/>
      <w:bookmarkStart w:id="27" w:name="_Toc256000056"/>
      <w:bookmarkStart w:id="28" w:name="_Toc256000082"/>
      <w:bookmarkStart w:id="29" w:name="_Toc256000108"/>
      <w:bookmarkStart w:id="30" w:name="_Toc256000134"/>
      <w:r>
        <w:rPr>
          <w:rFonts w:ascii="黑体" w:eastAsia="黑体" w:hAnsi="黑体" w:cs="黑体"/>
          <w:b w:val="0"/>
          <w:bCs w:val="0"/>
          <w:spacing w:val="0"/>
          <w:sz w:val="56"/>
          <w:szCs w:val="56"/>
        </w:rPr>
        <w:t>第二部分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2024年度单位决算表</w:t>
      </w:r>
      <w:bookmarkEnd w:id="30"/>
      <w:bookmarkEnd w:id="29"/>
      <w:bookmarkEnd w:id="28"/>
      <w:bookmarkEnd w:id="27"/>
      <w:bookmarkEnd w:id="26"/>
      <w:bookmarkEnd w:id="25"/>
    </w:p>
    <w:p>
      <w:pPr>
        <w:sectPr>
          <w:footerReference w:type="default" r:id="rId9"/>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31" w:name="_Toc256000005"/>
      <w:bookmarkStart w:id="32" w:name="_Toc256000031"/>
      <w:bookmarkStart w:id="33" w:name="_Toc256000057"/>
      <w:bookmarkStart w:id="34" w:name="_Toc256000083"/>
      <w:bookmarkStart w:id="35" w:name="_Toc256000109"/>
      <w:bookmarkStart w:id="36" w:name="_Toc256000135"/>
      <w:r>
        <w:rPr>
          <w:rFonts w:ascii="黑体" w:eastAsia="黑体" w:hAnsi="黑体" w:cs="黑体"/>
          <w:b w:val="0"/>
          <w:bCs w:val="0"/>
          <w:spacing w:val="0"/>
        </w:rPr>
        <w:t>一、收入支出决算总表</w:t>
      </w:r>
      <w:bookmarkEnd w:id="36"/>
      <w:bookmarkEnd w:id="35"/>
      <w:bookmarkEnd w:id="34"/>
      <w:bookmarkEnd w:id="33"/>
      <w:bookmarkEnd w:id="32"/>
      <w:bookmarkEnd w:id="31"/>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3789"/>
        <w:gridCol w:w="3790"/>
        <w:gridCol w:w="3790"/>
        <w:gridCol w:w="3790"/>
      </w:tblGrid>
      <w:tr>
        <w:tblPrEx>
          <w:tblW w:w="5000" w:type="pct"/>
          <w:tblInd w:w="20" w:type="dxa"/>
          <w:tblLayout w:type="fixed"/>
          <w:tblCellMar>
            <w:top w:w="0" w:type="dxa"/>
            <w:left w:w="108" w:type="dxa"/>
            <w:bottom w:w="0" w:type="dxa"/>
            <w:right w:w="108" w:type="dxa"/>
          </w:tblCellMar>
        </w:tblPrEx>
        <w:trPr>
          <w:cantSplit/>
          <w:tblHeader/>
        </w:trPr>
        <w:tc>
          <w:tcPr>
            <w:tcW w:w="16380" w:type="dxa"/>
            <w:gridSpan w:val="4"/>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收入支出决算总表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公开01表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3"/>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编制单位：上杭县茶地镇人民政府（本级）</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收入</w:t>
            </w:r>
          </w:p>
        </w:tc>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项目(按支出功能分类)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2,244.90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二、外交支出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四、上级补助收入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五、事业收入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六、经营收入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六、科学技术支出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七、附属单位上缴收入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八、其他收入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九、卫生健康支出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十一、城乡社区支出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十二、农林水支出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558.43</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十三、交通运输支出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十四、资源勘探工业信息等支出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十五、商业服务业等支出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十六、金融支出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十七、援助其他地区支出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十八、自然资源海洋气象等支出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十九、住房保障支出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二十、粮油物资储备支出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二十一、国有资本经营预算支出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二十二、灾害防治及应急管理支出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二十三、其他支出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56.22</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二十四、债务还本支出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二十五、债务付息支出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二十六、抗疫特别国债安排的支出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2,316.04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2,316.14</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使用非财政拨款结余（含专用结余）</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结余分配</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3.47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年末结转和结余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3.37</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总计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2,319.51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总计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2,319.51</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4"/>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注：1.本表反映单位本年度的总收支和年末结转结余情况。</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4"/>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2.本套报表金额单位转换时可能存在尾数误差。</w:t>
            </w:r>
          </w:p>
        </w:tc>
      </w:tr>
    </w:tbl>
    <w:p>
      <w:pPr>
        <w:sectPr>
          <w:footerReference w:type="default" r:id="rId10"/>
          <w:type w:val="nextPage"/>
          <w:pgSz w:w="16383" w:h="11906" w:orient="landscape"/>
          <w:pgMar w:top="1134" w:right="720" w:bottom="1134" w:left="720" w:header="720" w:footer="720"/>
          <w:cols w:space="720"/>
        </w:sectPr>
      </w:pP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32"/>
          <w:szCs w:val="32"/>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37" w:name="_Toc256000006"/>
      <w:bookmarkStart w:id="38" w:name="_Toc256000032"/>
      <w:bookmarkStart w:id="39" w:name="_Toc256000058"/>
      <w:bookmarkStart w:id="40" w:name="_Toc256000084"/>
      <w:bookmarkStart w:id="41" w:name="_Toc256000110"/>
      <w:bookmarkStart w:id="42" w:name="_Toc256000136"/>
      <w:r>
        <w:rPr>
          <w:rFonts w:ascii="黑体" w:eastAsia="黑体" w:hAnsi="黑体" w:cs="黑体"/>
          <w:b w:val="0"/>
          <w:bCs w:val="0"/>
          <w:spacing w:val="0"/>
        </w:rPr>
        <w:t>二、收入决算表</w:t>
      </w:r>
      <w:bookmarkEnd w:id="42"/>
      <w:bookmarkEnd w:id="41"/>
      <w:bookmarkEnd w:id="40"/>
      <w:bookmarkEnd w:id="39"/>
      <w:bookmarkEnd w:id="38"/>
      <w:bookmarkEnd w:id="37"/>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gk02</w:t>
      </w:r>
    </w:p>
    <w:tbl>
      <w:tblPr>
        <w:tblW w:w="5000" w:type="pct"/>
        <w:tblInd w:w="20" w:type="dxa"/>
        <w:tblLayout w:type="fixed"/>
        <w:tblCellMar>
          <w:top w:w="0" w:type="dxa"/>
          <w:left w:w="108" w:type="dxa"/>
          <w:bottom w:w="0" w:type="dxa"/>
          <w:right w:w="108" w:type="dxa"/>
        </w:tblCellMar>
      </w:tblPr>
      <w:tblGrid>
        <w:gridCol w:w="578"/>
        <w:gridCol w:w="578"/>
        <w:gridCol w:w="578"/>
        <w:gridCol w:w="1679"/>
        <w:gridCol w:w="1678"/>
        <w:gridCol w:w="1678"/>
        <w:gridCol w:w="1678"/>
        <w:gridCol w:w="1678"/>
        <w:gridCol w:w="1678"/>
        <w:gridCol w:w="1678"/>
        <w:gridCol w:w="1678"/>
      </w:tblGrid>
      <w:tr>
        <w:tblPrEx>
          <w:tblW w:w="5000" w:type="pct"/>
          <w:tblInd w:w="20" w:type="dxa"/>
          <w:tblLayout w:type="fixed"/>
          <w:tblCellMar>
            <w:top w:w="0" w:type="dxa"/>
            <w:left w:w="108" w:type="dxa"/>
            <w:bottom w:w="0" w:type="dxa"/>
            <w:right w:w="108" w:type="dxa"/>
          </w:tblCellMar>
        </w:tblPrEx>
        <w:trPr>
          <w:cantSplit/>
          <w:tblHeader/>
        </w:trPr>
        <w:tc>
          <w:tcPr>
            <w:tcW w:w="14578" w:type="dxa"/>
            <w:gridSpan w:val="11"/>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收入决算表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公开02表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编制单位：上杭县茶地镇人民政府（本级）</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财政拨款收入 </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上级补助收入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事业收入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经营收入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附属单位上缴收入</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其他收入</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gridSpan w:val="3"/>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2,316.04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2,316.04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教育管理事务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其他教育管理事务支出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人力资源和社会保障管理事务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其他人力资源和社会保障管理事务支出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其他卫生健康管理事务支出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污染防治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其他城乡社区管理事务支出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558.43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558.43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农业农村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228.79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228.79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农产品质量安全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其他农业农村支出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227.59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227.59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54.77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54.77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水利工程运行与维护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防汛</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巩固脱贫攻坚成果衔接乡村振兴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其他巩固脱贫攻坚成果衔接乡村振兴支出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农村综合改革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187.88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187.88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对村级公益事业建设的补助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对村民委员会和村党支部的补助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101.78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101.78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对村集体经济组织的补助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大中型水库移民后期扶持基金支出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基础设施建设和经济发展</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公路水路运输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307.46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307.46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自然灾害灾后重建补助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148.62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148.62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205.55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205.55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彩票公益金安排的支出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用于社会福利的彩票公益金支出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4578" w:type="dxa"/>
            <w:gridSpan w:val="11"/>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注：本表反映单位本年度取得的各项收入情况。</w:t>
            </w:r>
          </w:p>
        </w:tc>
      </w:tr>
    </w:tbl>
    <w:p>
      <w:pPr>
        <w:sectPr>
          <w:footerReference w:type="default" r:id="rId11"/>
          <w:type w:val="nextPage"/>
          <w:pgSz w:w="16383" w:h="11906" w:orient="landscape"/>
          <w:pgMar w:top="1134" w:right="720" w:bottom="1134" w:left="720" w:header="720" w:footer="720"/>
          <w:cols w:space="720"/>
        </w:sectPr>
      </w:pP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32"/>
          <w:szCs w:val="32"/>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43" w:name="_Toc256000007"/>
      <w:bookmarkStart w:id="44" w:name="_Toc256000033"/>
      <w:bookmarkStart w:id="45" w:name="_Toc256000059"/>
      <w:bookmarkStart w:id="46" w:name="_Toc256000085"/>
      <w:bookmarkStart w:id="47" w:name="_Toc256000111"/>
      <w:bookmarkStart w:id="48" w:name="_Toc256000137"/>
      <w:r>
        <w:rPr>
          <w:rFonts w:ascii="黑体" w:eastAsia="黑体" w:hAnsi="黑体" w:cs="黑体"/>
          <w:b w:val="0"/>
          <w:bCs w:val="0"/>
          <w:spacing w:val="0"/>
        </w:rPr>
        <w:t>三、支出决算表</w:t>
      </w:r>
      <w:bookmarkEnd w:id="48"/>
      <w:bookmarkEnd w:id="47"/>
      <w:bookmarkEnd w:id="46"/>
      <w:bookmarkEnd w:id="45"/>
      <w:bookmarkEnd w:id="44"/>
      <w:bookmarkEnd w:id="43"/>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gk03</w:t>
      </w:r>
    </w:p>
    <w:tbl>
      <w:tblPr>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W w:w="5000" w:type="pct"/>
          <w:tblInd w:w="20" w:type="dxa"/>
          <w:tblLayout w:type="fixed"/>
          <w:tblCellMar>
            <w:top w:w="0" w:type="dxa"/>
            <w:left w:w="108" w:type="dxa"/>
            <w:bottom w:w="0" w:type="dxa"/>
            <w:right w:w="108" w:type="dxa"/>
          </w:tblCellMar>
        </w:tblPrEx>
        <w:trPr>
          <w:cantSplit/>
          <w:tblHeader/>
        </w:trPr>
        <w:tc>
          <w:tcPr>
            <w:tcW w:w="14400" w:type="dxa"/>
            <w:gridSpan w:val="10"/>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支出决算表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4"/>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公开03表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编制单位：上杭县茶地镇人民政府（本级）</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上缴上级支出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经营支出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对附属单位补助支出</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gridSpan w:val="3"/>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1,024.82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1,291.33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教育管理事务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其他教育管理事务支出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人力资源和社会保障管理事务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其他人力资源和社会保障管理事务支出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其他卫生健康管理事务支出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污染防治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其他城乡社区管理事务支出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558.43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136.88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421.55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农业农村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228.79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228.79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农产品质量安全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其他农业农村支出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227.59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227.59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54.77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54.77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水利工程运行与维护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防汛</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巩固脱贫攻坚成果衔接乡村振兴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其他巩固脱贫攻坚成果衔接乡村振兴支出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农村综合改革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187.88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136.88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对村级公益事业建设的补助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对村民委员会和村党支部的补助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101.78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101.78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对村集体经济组织的补助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大中型水库移民后期扶持基金支出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基础设施建设和经济发展</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公路水路运输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307.46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307.46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自然灾害灾后重建补助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148.62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148.62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205.55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205.55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彩票公益金安排的支出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用于社会福利的彩票公益金支出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4400" w:type="dxa"/>
            <w:gridSpan w:val="10"/>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注：本表反映单位本年度各项支出情况。</w:t>
            </w:r>
          </w:p>
        </w:tc>
      </w:tr>
    </w:tbl>
    <w:p>
      <w:pPr>
        <w:sectPr>
          <w:footerReference w:type="default" r:id="rId12"/>
          <w:type w:val="nextPage"/>
          <w:pgSz w:w="16383" w:h="11906" w:orient="landscape"/>
          <w:pgMar w:top="1134" w:right="720" w:bottom="1134" w:left="720" w:header="720" w:footer="720"/>
          <w:cols w:space="720"/>
        </w:sectPr>
      </w:pPr>
    </w:p>
    <w:p>
      <w:pPr>
        <w:pStyle w:val="p"/>
        <w:widowControl/>
        <w:spacing w:before="100" w:after="100"/>
        <w:ind w:left="100" w:right="100" w:firstLine="0"/>
        <w:jc w:val="left"/>
        <w:rPr>
          <w:rFonts w:ascii="Times New Roman" w:eastAsia="Times New Roman" w:hAnsi="Times New Roman" w:cs="Times New Roman"/>
          <w:kern w:val="0"/>
          <w:sz w:val="24"/>
        </w:rPr>
      </w:pPr>
      <w:r>
        <w:rPr>
          <w:rFonts w:ascii="Times New Roman" w:eastAsia="Times New Roman" w:hAnsi="Times New Roman" w:cs="Times New Roman"/>
          <w:spacing w:val="0"/>
          <w:kern w:val="0"/>
          <w:sz w:val="27"/>
          <w:szCs w:val="27"/>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49" w:name="_Toc256000008"/>
      <w:bookmarkStart w:id="50" w:name="_Toc256000034"/>
      <w:bookmarkStart w:id="51" w:name="_Toc256000060"/>
      <w:bookmarkStart w:id="52" w:name="_Toc256000086"/>
      <w:bookmarkStart w:id="53" w:name="_Toc256000112"/>
      <w:bookmarkStart w:id="54" w:name="_Toc256000138"/>
      <w:r>
        <w:rPr>
          <w:rFonts w:ascii="黑体" w:eastAsia="黑体" w:hAnsi="黑体" w:cs="黑体"/>
          <w:b w:val="0"/>
          <w:bCs w:val="0"/>
          <w:spacing w:val="0"/>
        </w:rPr>
        <w:t>四、财政拨款收入支出决算总表</w:t>
      </w:r>
      <w:bookmarkEnd w:id="54"/>
      <w:bookmarkEnd w:id="53"/>
      <w:bookmarkEnd w:id="52"/>
      <w:bookmarkEnd w:id="51"/>
      <w:bookmarkEnd w:id="50"/>
      <w:bookmarkEnd w:id="49"/>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tblPrEx>
          <w:tblW w:w="5000" w:type="pct"/>
          <w:tblInd w:w="20" w:type="dxa"/>
          <w:tblLayout w:type="fixed"/>
          <w:tblCellMar>
            <w:top w:w="0" w:type="dxa"/>
            <w:left w:w="108" w:type="dxa"/>
            <w:bottom w:w="0" w:type="dxa"/>
            <w:right w:w="108" w:type="dxa"/>
          </w:tblCellMar>
        </w:tblPrEx>
        <w:trPr>
          <w:cantSplit/>
          <w:tblHeader/>
        </w:trPr>
        <w:tc>
          <w:tcPr>
            <w:tcW w:w="16381" w:type="dxa"/>
            <w:gridSpan w:val="7"/>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财政拨款收入支出决算总表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公开04表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编制单位：上杭县茶地镇人民政府（本级）</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收入</w:t>
            </w:r>
          </w:p>
        </w:tc>
        <w:tc>
          <w:tcPr>
            <w:tcW w:w="21600" w:type="dxa"/>
            <w:gridSpan w:val="5"/>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项目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项目（按功能分类）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国有资本经营预算财政拨款</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一、一般公共预算财政拨款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2,244.90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二、外交支出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四、公共安全支出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五、教育支出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六、科学技术支出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七、文化旅游体育与传媒支出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八、社会保障和就业支出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九、卫生健康支出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十一、城乡社区支出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十二、农林水支出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558.43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543.43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十三、交通运输支出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十四、资源勘探工业信息等支出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十五、商业服务业等支出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十六、金融支出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十七、援助其他地区支出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十八、自然资源海洋气象等支出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十九、住房保障支出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二十、粮油物资储备支出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二十一、国有资本经营预算支出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二十二、灾害防治及应急管理支出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二十三、其他支出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二十四、债务还本支出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二十五、债务付息支出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二十六、抗疫特别国债安排的支出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2,316.04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年初财政拨款结转和结余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年末财政拨款结转和结余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一、一般公共预算财政拨款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二、政府性基金预算财政拨款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三、国有资本经营预算财政拨款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总计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2,318.24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总计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2,318.24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2,247.10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6381" w:type="dxa"/>
            <w:gridSpan w:val="7"/>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注：本表反映单位本年度一般公共预算财政拨款、政府性基金预算财政拨款和国有资本经营预算财政拨款的总收支和年末结转结余情况。</w:t>
            </w:r>
          </w:p>
        </w:tc>
      </w:tr>
    </w:tbl>
    <w:p>
      <w:pPr>
        <w:sectPr>
          <w:footerReference w:type="default" r:id="rId13"/>
          <w:type w:val="nextPage"/>
          <w:pgSz w:w="16383" w:h="11906" w:orient="landscape"/>
          <w:pgMar w:top="1134" w:right="720" w:bottom="1134" w:left="720" w:header="720" w:footer="720"/>
          <w:cols w:space="720"/>
        </w:sectPr>
      </w:pPr>
    </w:p>
    <w:p>
      <w:pPr>
        <w:pStyle w:val="p"/>
        <w:widowControl/>
        <w:spacing w:before="100" w:after="100"/>
        <w:ind w:left="100" w:right="100" w:firstLine="0"/>
        <w:jc w:val="left"/>
        <w:rPr>
          <w:rFonts w:ascii="Times New Roman" w:eastAsia="Times New Roman" w:hAnsi="Times New Roman" w:cs="Times New Roman"/>
          <w:kern w:val="0"/>
          <w:sz w:val="24"/>
        </w:rPr>
      </w:pPr>
      <w:r>
        <w:rPr>
          <w:rFonts w:ascii="Times New Roman" w:eastAsia="Times New Roman" w:hAnsi="Times New Roman" w:cs="Times New Roman"/>
          <w:spacing w:val="0"/>
          <w:kern w:val="0"/>
          <w:sz w:val="27"/>
          <w:szCs w:val="27"/>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55" w:name="_Toc256000009"/>
      <w:bookmarkStart w:id="56" w:name="_Toc256000035"/>
      <w:bookmarkStart w:id="57" w:name="_Toc256000061"/>
      <w:bookmarkStart w:id="58" w:name="_Toc256000087"/>
      <w:bookmarkStart w:id="59" w:name="_Toc256000113"/>
      <w:bookmarkStart w:id="60" w:name="_Toc256000139"/>
      <w:r>
        <w:rPr>
          <w:rFonts w:ascii="黑体" w:eastAsia="黑体" w:hAnsi="黑体" w:cs="黑体"/>
          <w:b w:val="0"/>
          <w:bCs w:val="0"/>
          <w:spacing w:val="0"/>
        </w:rPr>
        <w:t>五、一般公共预算财政拨款支出决算表</w:t>
      </w:r>
      <w:bookmarkEnd w:id="60"/>
      <w:bookmarkEnd w:id="59"/>
      <w:bookmarkEnd w:id="58"/>
      <w:bookmarkEnd w:id="57"/>
      <w:bookmarkEnd w:id="56"/>
      <w:bookmarkEnd w:id="55"/>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gk05</w:t>
      </w:r>
    </w:p>
    <w:tbl>
      <w:tblPr>
        <w:tblW w:w="5000" w:type="pct"/>
        <w:tblInd w:w="20" w:type="dxa"/>
        <w:tblLayout w:type="fixed"/>
        <w:tblCellMar>
          <w:top w:w="0" w:type="dxa"/>
          <w:left w:w="108" w:type="dxa"/>
          <w:bottom w:w="0" w:type="dxa"/>
          <w:right w:w="108" w:type="dxa"/>
        </w:tblCellMar>
      </w:tblPr>
      <w:tblGrid>
        <w:gridCol w:w="1740"/>
        <w:gridCol w:w="3354"/>
        <w:gridCol w:w="3355"/>
        <w:gridCol w:w="3355"/>
        <w:gridCol w:w="3355"/>
      </w:tblGrid>
      <w:tr>
        <w:tblPrEx>
          <w:tblW w:w="5000" w:type="pct"/>
          <w:tblInd w:w="20" w:type="dxa"/>
          <w:tblLayout w:type="fixed"/>
          <w:tblCellMar>
            <w:top w:w="0" w:type="dxa"/>
            <w:left w:w="108" w:type="dxa"/>
            <w:bottom w:w="0" w:type="dxa"/>
            <w:right w:w="108" w:type="dxa"/>
          </w:tblCellMar>
        </w:tblPrEx>
        <w:trPr>
          <w:cantSplit/>
          <w:tblHeader/>
        </w:trPr>
        <w:tc>
          <w:tcPr>
            <w:tcW w:w="16380" w:type="dxa"/>
            <w:gridSpan w:val="5"/>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一般公共预算财政拨款支出决算表</w:t>
            </w:r>
          </w:p>
        </w:tc>
      </w:tr>
      <w:tr>
        <w:tblPrEx>
          <w:tblW w:w="5000" w:type="pct"/>
          <w:tblInd w:w="20" w:type="dxa"/>
          <w:tblLayout w:type="fixed"/>
          <w:tblCellMar>
            <w:top w:w="0" w:type="dxa"/>
            <w:left w:w="108" w:type="dxa"/>
            <w:bottom w:w="0" w:type="dxa"/>
            <w:right w:w="108" w:type="dxa"/>
          </w:tblCellMar>
        </w:tblPrEx>
        <w:trPr>
          <w:cantSplit/>
          <w:tblHeader/>
        </w:trPr>
        <w:tc>
          <w:tcPr>
            <w:tcW w:w="1053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公开05表</w:t>
            </w:r>
          </w:p>
        </w:tc>
      </w:tr>
      <w:tr>
        <w:tblPrEx>
          <w:tblW w:w="5000" w:type="pct"/>
          <w:tblInd w:w="20" w:type="dxa"/>
          <w:tblLayout w:type="fixed"/>
          <w:tblCellMar>
            <w:top w:w="0" w:type="dxa"/>
            <w:left w:w="108" w:type="dxa"/>
            <w:bottom w:w="0" w:type="dxa"/>
            <w:right w:w="108" w:type="dxa"/>
          </w:tblCellMar>
        </w:tblPrEx>
        <w:trPr>
          <w:cantSplit/>
          <w:tblHeader/>
        </w:trPr>
        <w:tc>
          <w:tcPr>
            <w:tcW w:w="10530" w:type="dxa"/>
            <w:gridSpan w:val="3"/>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编制单位：上杭县茶地镇人民政府（本级）</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10545"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r>
      <w:tr>
        <w:tblPrEx>
          <w:tblW w:w="5000" w:type="pct"/>
          <w:tblInd w:w="20" w:type="dxa"/>
          <w:tblLayout w:type="fixed"/>
          <w:tblCellMar>
            <w:top w:w="0" w:type="dxa"/>
            <w:left w:w="108" w:type="dxa"/>
            <w:bottom w:w="0" w:type="dxa"/>
            <w:right w:w="108" w:type="dxa"/>
          </w:tblCellMar>
        </w:tblPrEx>
        <w:trPr>
          <w:cantSplit/>
          <w:tblHeader/>
        </w:trPr>
        <w:tc>
          <w:tcPr>
            <w:tcW w:w="1054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小计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rPr>
        <w:tc>
          <w:tcPr>
            <w:tcW w:w="10545"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1,024.82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1,220.18</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一般公共服务支出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政府办公厅（室）及相关机构事务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2010301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行政运行</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864.09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教育支出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教育管理事务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其他教育管理事务支出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19.76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人力资源和社会保障管理事务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其他人力资源和社会保障管理事务支出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15.92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2089999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其他社会保障和就业支出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卫生健康管理事务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2100199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其他卫生健康管理事务支出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节能环保支出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污染防治</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2110302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66.82</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城乡社区管理事务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2120199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其他城乡社区管理事务支出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61.99</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543.43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136.88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406.55</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农业农村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228.79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228.79</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农产品质量安全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其他农业农村支出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227.59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227.59</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54.77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54.77</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水利工程运行与维护</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2.87</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2130314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防汛</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51.90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51.90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巩固脱贫攻坚成果衔接乡村振兴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72.00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45.00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2130599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其他巩固脱贫攻坚成果衔接乡村振兴支出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农村综合改革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187.88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136.88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对村级公益事业建设的补助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对村民委员会和村党支部的补助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101.78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101.78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2130706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对村集体经济组织的补助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35.10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交通运输支出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公路水路运输</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2140104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公路建设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23.10</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灾害防治及应急管理支出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661.64</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自然灾害救灾补助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307.46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307.46</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自然灾害灾后重建补助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148.62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148.62</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2240799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其他自然灾害救灾及恢复重建支出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205.55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205.55</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r>
      <w:tr>
        <w:tblPrEx>
          <w:tblW w:w="5000" w:type="pct"/>
          <w:tblInd w:w="20" w:type="dxa"/>
          <w:tblLayout w:type="fixed"/>
          <w:tblCellMar>
            <w:top w:w="0" w:type="dxa"/>
            <w:left w:w="108" w:type="dxa"/>
            <w:bottom w:w="0" w:type="dxa"/>
            <w:right w:w="108" w:type="dxa"/>
          </w:tblCellMar>
        </w:tblPrEx>
        <w:trPr>
          <w:cantSplit/>
        </w:trPr>
        <w:tc>
          <w:tcPr>
            <w:tcW w:w="10545"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2299999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0.08</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5"/>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注：本表反映单位本年度一般公共预算财政拨款支出情况。</w:t>
            </w:r>
          </w:p>
        </w:tc>
      </w:tr>
    </w:tbl>
    <w:p>
      <w:pPr>
        <w:sectPr>
          <w:footerReference w:type="default" r:id="rId14"/>
          <w:type w:val="nextPage"/>
          <w:pgSz w:w="16383" w:h="11906" w:orient="landscape"/>
          <w:pgMar w:top="1134" w:right="720" w:bottom="1134" w:left="720" w:header="720" w:footer="720"/>
          <w:cols w:space="720"/>
        </w:sectPr>
      </w:pPr>
    </w:p>
    <w:p>
      <w:pPr>
        <w:pStyle w:val="p"/>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24"/>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61" w:name="_Toc256000010"/>
      <w:bookmarkStart w:id="62" w:name="_Toc256000036"/>
      <w:bookmarkStart w:id="63" w:name="_Toc256000062"/>
      <w:bookmarkStart w:id="64" w:name="_Toc256000088"/>
      <w:bookmarkStart w:id="65" w:name="_Toc256000114"/>
      <w:bookmarkStart w:id="66" w:name="_Toc256000140"/>
      <w:r>
        <w:rPr>
          <w:rFonts w:ascii="黑体" w:eastAsia="黑体" w:hAnsi="黑体" w:cs="黑体"/>
          <w:b w:val="0"/>
          <w:bCs w:val="0"/>
          <w:spacing w:val="0"/>
        </w:rPr>
        <w:t>六、一般公共预算财政拨款基本支出决算表</w:t>
      </w:r>
      <w:bookmarkEnd w:id="66"/>
      <w:bookmarkEnd w:id="65"/>
      <w:bookmarkEnd w:id="64"/>
      <w:bookmarkEnd w:id="63"/>
      <w:bookmarkEnd w:id="62"/>
      <w:bookmarkEnd w:id="61"/>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tblPrEx>
          <w:tblW w:w="5000" w:type="pct"/>
          <w:tblInd w:w="20" w:type="dxa"/>
          <w:tblLayout w:type="fixed"/>
          <w:tblCellMar>
            <w:top w:w="0" w:type="dxa"/>
            <w:left w:w="108" w:type="dxa"/>
            <w:bottom w:w="0" w:type="dxa"/>
            <w:right w:w="108" w:type="dxa"/>
          </w:tblCellMar>
        </w:tblPrEx>
        <w:trPr>
          <w:cantSplit/>
          <w:tblHeader/>
        </w:trPr>
        <w:tc>
          <w:tcPr>
            <w:tcW w:w="16377" w:type="dxa"/>
            <w:gridSpan w:val="9"/>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一般公共预算财政拨款基本支出决算表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公开06表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6"/>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编制单位：上杭县茶地镇人民政府（本级）</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gridSpan w:val="2"/>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经济分类科目编码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金额</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工资福利支出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730.20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商品和服务支出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204.75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国内债务发行费用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基本工资</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113.16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办公费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51.39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国外债务发行费用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津贴补贴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46.28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印刷费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资本性支出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12.66</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奖金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咨询费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房屋建筑物购建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伙食补助费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手续费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办公设备购置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12.66</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绩效工资</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专用设备购置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机关事业单位基本养老保险缴费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108.37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电费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27.88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职业年金缴费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邮电费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10.45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大型修缮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职工基本医疗保险缴费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30.85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取暖费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信息网络及软件购置更新</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公务员医疗补助缴费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18.86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物业管理费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物资储备</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其他社会保障缴费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39.75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差旅费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土地补偿</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住房公积金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因公出国（境）费用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安置补助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医疗费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维修（护）费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地上附着物和青苗补偿</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30199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其他工资福利支出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218.68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租赁费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拆迁补偿</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对个人和家庭的补助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77.21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会议费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4.96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公务用车购置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离休费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培训费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31019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其他交通工具购置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退休费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公务接待费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31021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文物和陈列品购置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退职（役）费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30218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专用材料费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31022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无形资产购置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抚恤金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被装购置费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31099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其他资本性支出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生活补助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48.15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专用燃料费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对企业补助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救济费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5.58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劳务费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1.72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资本金注入</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医疗费补助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10.72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委托业务费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政府投资基金股权投资</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助学金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工会经费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1.27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费用补贴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奖励金</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福利费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1.48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利息补贴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个人农业生产补贴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30231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公务用车运行维护费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3.88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31206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其他资本性补助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9"/>
                <w:szCs w:val="29"/>
              </w:rPr>
            </w:pPr>
            <w:r>
              <w:rPr>
                <w:rFonts w:ascii="宋体" w:eastAsia="宋体" w:hAnsi="宋体" w:cs="宋体"/>
                <w:b w:val="0"/>
                <w:bCs w:val="0"/>
                <w:i w:val="0"/>
                <w:iCs w:val="0"/>
                <w:smallCaps w:val="0"/>
                <w:color w:val="000000"/>
                <w:kern w:val="0"/>
                <w:sz w:val="21"/>
                <w:szCs w:val="29"/>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30311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代缴社会保险费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30239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其他交通费用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31299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其他对企业补助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其他对个人和家庭的补助</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9.73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30240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税金及附加费用</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30299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其他商品和服务支出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33.67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国家赔偿费用支出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债务利息及费用支出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39908</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对民间非营利组织和群众性自治组织补贴</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国内债务付息</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39909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经常性赠与</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30702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国外债务付息</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39910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资本性赠与</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人员经费合计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807.41</w:t>
            </w:r>
          </w:p>
        </w:tc>
        <w:tc>
          <w:tcPr>
            <w:tcW w:w="21600" w:type="dxa"/>
            <w:gridSpan w:val="5"/>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公用经费合计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217.41</w:t>
            </w:r>
          </w:p>
        </w:tc>
      </w:tr>
      <w:tr>
        <w:tblPrEx>
          <w:tblW w:w="5000" w:type="pct"/>
          <w:tblInd w:w="20" w:type="dxa"/>
          <w:tblLayout w:type="fixed"/>
          <w:tblCellMar>
            <w:top w:w="0" w:type="dxa"/>
            <w:left w:w="108" w:type="dxa"/>
            <w:bottom w:w="0" w:type="dxa"/>
            <w:right w:w="108" w:type="dxa"/>
          </w:tblCellMar>
        </w:tblPrEx>
        <w:trPr>
          <w:cantSplit/>
        </w:trPr>
        <w:tc>
          <w:tcPr>
            <w:tcW w:w="16377" w:type="dxa"/>
            <w:gridSpan w:val="9"/>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注：本表反映单位本年度一般公共预算财政拨款基本支出明细情况。</w:t>
            </w:r>
          </w:p>
        </w:tc>
      </w:tr>
    </w:tbl>
    <w:p>
      <w:pPr>
        <w:sectPr>
          <w:footerReference w:type="default" r:id="rId15"/>
          <w:type w:val="nextPage"/>
          <w:pgSz w:w="16383" w:h="11906" w:orient="landscape"/>
          <w:pgMar w:top="1134" w:right="720" w:bottom="1134" w:left="720" w:header="720" w:footer="720"/>
          <w:cols w:space="720"/>
        </w:sectPr>
      </w:pPr>
    </w:p>
    <w:p>
      <w:pPr>
        <w:pStyle w:val="p"/>
        <w:widowControl/>
        <w:spacing w:before="100" w:after="100"/>
        <w:ind w:left="100" w:right="100" w:firstLine="0"/>
        <w:jc w:val="left"/>
        <w:rPr>
          <w:rFonts w:ascii="Times New Roman" w:eastAsia="Times New Roman" w:hAnsi="Times New Roman" w:cs="Times New Roman"/>
          <w:kern w:val="0"/>
          <w:sz w:val="24"/>
        </w:rPr>
      </w:pPr>
      <w:r>
        <w:rPr>
          <w:rFonts w:ascii="Times New Roman" w:eastAsia="Times New Roman" w:hAnsi="Times New Roman" w:cs="Times New Roman"/>
          <w:spacing w:val="0"/>
          <w:kern w:val="0"/>
          <w:sz w:val="27"/>
          <w:szCs w:val="27"/>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67" w:name="_Toc256000011"/>
      <w:bookmarkStart w:id="68" w:name="_Toc256000037"/>
      <w:bookmarkStart w:id="69" w:name="_Toc256000063"/>
      <w:bookmarkStart w:id="70" w:name="_Toc256000089"/>
      <w:bookmarkStart w:id="71" w:name="_Toc256000115"/>
      <w:bookmarkStart w:id="72" w:name="_Toc256000141"/>
      <w:r>
        <w:rPr>
          <w:rFonts w:ascii="黑体" w:eastAsia="黑体" w:hAnsi="黑体" w:cs="黑体"/>
          <w:b w:val="0"/>
          <w:bCs w:val="0"/>
          <w:spacing w:val="0"/>
        </w:rPr>
        <w:t>七、一般公共预算财政拨款“三公”经费支出决算表</w:t>
      </w:r>
      <w:bookmarkEnd w:id="72"/>
      <w:bookmarkEnd w:id="71"/>
      <w:bookmarkEnd w:id="70"/>
      <w:bookmarkEnd w:id="69"/>
      <w:bookmarkEnd w:id="68"/>
      <w:bookmarkEnd w:id="67"/>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w:t>
      </w:r>
    </w:p>
    <w:tbl>
      <w:tblPr>
        <w:tblW w:w="5000" w:type="pct"/>
        <w:tblInd w:w="20" w:type="dxa"/>
        <w:tblLayout w:type="fixed"/>
        <w:tblCellMar>
          <w:top w:w="0" w:type="dxa"/>
          <w:left w:w="108" w:type="dxa"/>
          <w:bottom w:w="0" w:type="dxa"/>
          <w:right w:w="108" w:type="dxa"/>
        </w:tblCellMar>
      </w:tblPr>
      <w:tblGrid>
        <w:gridCol w:w="5053"/>
        <w:gridCol w:w="5053"/>
        <w:gridCol w:w="5053"/>
      </w:tblGrid>
      <w:tr>
        <w:tblPrEx>
          <w:tblW w:w="5000" w:type="pct"/>
          <w:tblInd w:w="20" w:type="dxa"/>
          <w:tblLayout w:type="fixed"/>
          <w:tblCellMar>
            <w:top w:w="0" w:type="dxa"/>
            <w:left w:w="108" w:type="dxa"/>
            <w:bottom w:w="0" w:type="dxa"/>
            <w:right w:w="108" w:type="dxa"/>
          </w:tblCellMar>
        </w:tblPrEx>
        <w:trPr>
          <w:cantSplit/>
          <w:tblHeader/>
        </w:trPr>
        <w:tc>
          <w:tcPr>
            <w:tcW w:w="16383" w:type="dxa"/>
            <w:gridSpan w:val="3"/>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一般公共预算财政拨款“三公”经费支出决算表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公开07表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编制单位：上杭县茶地镇人民政府（本级）</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行次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决算数</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11.88</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 因公出国（境）费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 公务用车购置及运行维护费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3.88</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其中：（1）公务用车购置费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（2）公务用车运行维护费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3.88</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 公务接待费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8.00</w:t>
            </w: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注：1.本表反映单位本年度“三公”经费支出决算情况，包括当年一般公共预算财政拨款和以前年度结转资金安排的实际支出。</w:t>
            </w:r>
          </w:p>
        </w:tc>
      </w:tr>
      <w:tr>
        <w:tblPrEx>
          <w:tblW w:w="5000" w:type="pct"/>
          <w:tblInd w:w="20" w:type="dxa"/>
          <w:tblLayout w:type="fixed"/>
          <w:tblCellMar>
            <w:top w:w="0" w:type="dxa"/>
            <w:left w:w="108" w:type="dxa"/>
            <w:bottom w:w="0" w:type="dxa"/>
            <w:right w:w="108" w:type="dxa"/>
          </w:tblCellMar>
        </w:tblPrEx>
        <w:trPr>
          <w:cantSplit/>
        </w:trPr>
        <w:tc>
          <w:tcPr>
            <w:tcW w:w="16383" w:type="dxa"/>
            <w:gridSpan w:val="3"/>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6"/>
          <w:type w:val="nextPage"/>
          <w:pgSz w:w="16383" w:h="11906" w:orient="landscape"/>
          <w:pgMar w:top="1134" w:right="720" w:bottom="1134" w:left="720" w:header="720" w:footer="720"/>
          <w:cols w:space="720"/>
        </w:sectPr>
      </w:pP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宋体" w:hAnsi="宋体" w:cs="宋体"/>
          <w:spacing w:val="0"/>
          <w:kern w:val="0"/>
          <w:sz w:val="32"/>
          <w:szCs w:val="32"/>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73" w:name="_Toc256000012"/>
      <w:bookmarkStart w:id="74" w:name="_Toc256000038"/>
      <w:bookmarkStart w:id="75" w:name="_Toc256000064"/>
      <w:bookmarkStart w:id="76" w:name="_Toc256000090"/>
      <w:bookmarkStart w:id="77" w:name="_Toc256000116"/>
      <w:bookmarkStart w:id="78" w:name="_Toc256000142"/>
      <w:r>
        <w:rPr>
          <w:rFonts w:ascii="黑体" w:eastAsia="黑体" w:hAnsi="黑体" w:cs="黑体"/>
          <w:b w:val="0"/>
          <w:bCs w:val="0"/>
          <w:spacing w:val="0"/>
        </w:rPr>
        <w:t>八、政府性基金预算财政拨款收入支出决算表</w:t>
      </w:r>
      <w:bookmarkEnd w:id="78"/>
      <w:bookmarkEnd w:id="77"/>
      <w:bookmarkEnd w:id="76"/>
      <w:bookmarkEnd w:id="75"/>
      <w:bookmarkEnd w:id="74"/>
      <w:bookmarkEnd w:id="73"/>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gk08</w:t>
      </w:r>
    </w:p>
    <w:tbl>
      <w:tblPr>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tblPrEx>
          <w:tblW w:w="5000" w:type="pct"/>
          <w:tblInd w:w="20" w:type="dxa"/>
          <w:tblLayout w:type="fixed"/>
          <w:tblCellMar>
            <w:top w:w="0" w:type="dxa"/>
            <w:left w:w="108" w:type="dxa"/>
            <w:bottom w:w="0" w:type="dxa"/>
            <w:right w:w="108" w:type="dxa"/>
          </w:tblCellMar>
        </w:tblPrEx>
        <w:trPr>
          <w:cantSplit/>
          <w:tblHeader/>
        </w:trPr>
        <w:tc>
          <w:tcPr>
            <w:tcW w:w="14400" w:type="dxa"/>
            <w:gridSpan w:val="10"/>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政府性基金预算财政拨款收入支出决算表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528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公开08表</w:t>
            </w:r>
          </w:p>
        </w:tc>
      </w:tr>
      <w:tr>
        <w:tblPrEx>
          <w:tblW w:w="5000" w:type="pct"/>
          <w:tblInd w:w="20" w:type="dxa"/>
          <w:tblLayout w:type="fixed"/>
          <w:tblCellMar>
            <w:top w:w="0" w:type="dxa"/>
            <w:left w:w="108" w:type="dxa"/>
            <w:bottom w:w="0" w:type="dxa"/>
            <w:right w:w="108" w:type="dxa"/>
          </w:tblCellMar>
        </w:tblPrEx>
        <w:trPr>
          <w:cantSplit/>
          <w:tblHeader/>
        </w:trPr>
        <w:tc>
          <w:tcPr>
            <w:tcW w:w="5280" w:type="dxa"/>
            <w:gridSpan w:val="7"/>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编制单位：上杭县茶地镇人民政府（本级）</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4"/>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年初结转和结余 </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本年收入</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年末结转和结余</w:t>
            </w:r>
          </w:p>
        </w:tc>
      </w:tr>
      <w:tr>
        <w:tblPrEx>
          <w:tblW w:w="5000" w:type="pct"/>
          <w:tblInd w:w="20" w:type="dxa"/>
          <w:tblLayout w:type="fixed"/>
          <w:tblCellMar>
            <w:top w:w="0" w:type="dxa"/>
            <w:left w:w="108" w:type="dxa"/>
            <w:bottom w:w="0" w:type="dxa"/>
            <w:right w:w="108" w:type="dxa"/>
          </w:tblCellMar>
        </w:tblPrEx>
        <w:trPr>
          <w:cantSplit/>
          <w:tblHeader/>
        </w:trPr>
        <w:tc>
          <w:tcPr>
            <w:tcW w:w="5295" w:type="dxa"/>
            <w:gridSpan w:val="3"/>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支出功能分类科目编码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小计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xml:space="preserve">基本支出 </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gridSpan w:val="3"/>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529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类</w:t>
            </w:r>
          </w:p>
        </w:tc>
        <w:tc>
          <w:tcPr>
            <w:tcW w:w="529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款</w:t>
            </w:r>
          </w:p>
        </w:tc>
        <w:tc>
          <w:tcPr>
            <w:tcW w:w="5295"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栏次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6</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71.14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农林水支出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大中型水库移民后期扶持基金支出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2137202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基础设施建设和经济发展</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15.00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其他支出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彩票公益金安排的支出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5295"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2296002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用于社会福利的彩票公益金支出</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56.14</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14400" w:type="dxa"/>
            <w:gridSpan w:val="10"/>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注：1.本表反映单位本年度政府性基金预算财政拨款收入、支出及结转和结余情况。</w:t>
            </w:r>
          </w:p>
        </w:tc>
      </w:tr>
      <w:tr>
        <w:tblPrEx>
          <w:tblW w:w="5000" w:type="pct"/>
          <w:tblInd w:w="20" w:type="dxa"/>
          <w:tblLayout w:type="fixed"/>
          <w:tblCellMar>
            <w:top w:w="0" w:type="dxa"/>
            <w:left w:w="108" w:type="dxa"/>
            <w:bottom w:w="0" w:type="dxa"/>
            <w:right w:w="108" w:type="dxa"/>
          </w:tblCellMar>
        </w:tblPrEx>
        <w:trPr>
          <w:cantSplit/>
        </w:trPr>
        <w:tc>
          <w:tcPr>
            <w:tcW w:w="14400" w:type="dxa"/>
            <w:gridSpan w:val="10"/>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p>
        </w:tc>
      </w:tr>
    </w:tbl>
    <w:p>
      <w:pPr>
        <w:sectPr>
          <w:footerReference w:type="default" r:id="rId17"/>
          <w:type w:val="nextPage"/>
          <w:pgSz w:w="16383" w:h="11906" w:orient="landscape"/>
          <w:pgMar w:top="1134" w:right="720" w:bottom="1134" w:left="720" w:header="720" w:footer="720"/>
          <w:cols w:space="720"/>
        </w:sectPr>
      </w:pPr>
    </w:p>
    <w:p>
      <w:pPr>
        <w:pStyle w:val="MsoNormal"/>
        <w:widowControl/>
        <w:spacing w:before="100" w:after="100"/>
        <w:ind w:left="100" w:right="100" w:firstLine="0"/>
        <w:jc w:val="left"/>
        <w:rPr>
          <w:rFonts w:ascii="Times New Roman" w:eastAsia="Times New Roman" w:hAnsi="Times New Roman" w:cs="Times New Roman"/>
          <w:kern w:val="0"/>
          <w:sz w:val="24"/>
        </w:rPr>
      </w:pPr>
      <w:r>
        <w:rPr>
          <w:rFonts w:ascii="Times New Roman" w:eastAsia="Times New Roman" w:hAnsi="Times New Roman" w:cs="Times New Roman"/>
          <w:spacing w:val="0"/>
          <w:kern w:val="0"/>
          <w:sz w:val="27"/>
          <w:szCs w:val="27"/>
        </w:rPr>
        <w:t> </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79" w:name="_Toc256000013"/>
      <w:bookmarkStart w:id="80" w:name="_Toc256000039"/>
      <w:bookmarkStart w:id="81" w:name="_Toc256000065"/>
      <w:bookmarkStart w:id="82" w:name="_Toc256000091"/>
      <w:bookmarkStart w:id="83" w:name="_Toc256000117"/>
      <w:bookmarkStart w:id="84" w:name="_Toc256000143"/>
      <w:r>
        <w:rPr>
          <w:rFonts w:ascii="黑体" w:eastAsia="黑体" w:hAnsi="黑体" w:cs="黑体"/>
          <w:b w:val="0"/>
          <w:bCs w:val="0"/>
          <w:spacing w:val="0"/>
        </w:rPr>
        <w:t>九、国有资本经营预算财政拨款支出决算表</w:t>
      </w:r>
      <w:bookmarkEnd w:id="84"/>
      <w:bookmarkEnd w:id="83"/>
      <w:bookmarkEnd w:id="82"/>
      <w:bookmarkEnd w:id="81"/>
      <w:bookmarkEnd w:id="80"/>
      <w:bookmarkEnd w:id="79"/>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horizontal layout gk09</w:t>
      </w:r>
    </w:p>
    <w:tbl>
      <w:tblPr>
        <w:tblW w:w="5000" w:type="pct"/>
        <w:tblInd w:w="20" w:type="dxa"/>
        <w:tblLayout w:type="fixed"/>
        <w:tblCellMar>
          <w:top w:w="0" w:type="dxa"/>
          <w:left w:w="108" w:type="dxa"/>
          <w:bottom w:w="0" w:type="dxa"/>
          <w:right w:w="108" w:type="dxa"/>
        </w:tblCellMar>
      </w:tblPr>
      <w:tblGrid>
        <w:gridCol w:w="3031"/>
        <w:gridCol w:w="3032"/>
        <w:gridCol w:w="3032"/>
        <w:gridCol w:w="3032"/>
        <w:gridCol w:w="3032"/>
      </w:tblGrid>
      <w:tr>
        <w:tblPrEx>
          <w:tblW w:w="5000" w:type="pct"/>
          <w:tblInd w:w="20" w:type="dxa"/>
          <w:tblLayout w:type="fixed"/>
          <w:tblCellMar>
            <w:top w:w="0" w:type="dxa"/>
            <w:left w:w="108" w:type="dxa"/>
            <w:bottom w:w="0" w:type="dxa"/>
            <w:right w:w="108" w:type="dxa"/>
          </w:tblCellMar>
        </w:tblPrEx>
        <w:trPr>
          <w:cantSplit/>
          <w:tblHeader/>
        </w:trPr>
        <w:tc>
          <w:tcPr>
            <w:tcW w:w="16380" w:type="dxa"/>
            <w:gridSpan w:val="5"/>
            <w:noWrap w:val="0"/>
            <w:tcMar>
              <w:top w:w="20" w:type="dxa"/>
              <w:left w:w="108" w:type="dxa"/>
              <w:bottom w:w="20" w:type="dxa"/>
              <w:right w:w="108" w:type="dxa"/>
            </w:tcMar>
            <w:vAlign w:val="center"/>
            <w:hideMark/>
          </w:tcPr>
          <w:p>
            <w:pPr>
              <w:widowControl/>
              <w:jc w:val="center"/>
              <w:rPr>
                <w:rFonts w:ascii="SimHei" w:eastAsia="SimHei" w:hAnsi="SimHei" w:cs="SimHei"/>
                <w:b w:val="0"/>
                <w:bCs w:val="0"/>
                <w:i w:val="0"/>
                <w:iCs w:val="0"/>
                <w:smallCaps w:val="0"/>
                <w:color w:val="000000"/>
                <w:kern w:val="0"/>
                <w:sz w:val="36"/>
                <w:szCs w:val="36"/>
              </w:rPr>
            </w:pPr>
            <w:r>
              <w:rPr>
                <w:rFonts w:ascii="黑体" w:eastAsia="黑体" w:hAnsi="黑体" w:cs="黑体"/>
                <w:b w:val="0"/>
                <w:bCs w:val="0"/>
                <w:i w:val="0"/>
                <w:iCs w:val="0"/>
                <w:smallCaps w:val="0"/>
                <w:color w:val="000000"/>
                <w:kern w:val="0"/>
                <w:sz w:val="32"/>
                <w:szCs w:val="36"/>
              </w:rPr>
              <w:t>国有资本经营预算财政拨款支出决算表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bottom"/>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Times New Roman" w:eastAsia="Times New Roman" w:hAnsi="Times New Roman" w:cs="Times New Roman"/>
                <w:b w:val="0"/>
                <w:bCs w:val="0"/>
                <w:i w:val="0"/>
                <w:iCs w:val="0"/>
                <w:smallCaps w:val="0"/>
                <w:color w:val="000000"/>
                <w:kern w:val="0"/>
                <w:sz w:val="26"/>
                <w:szCs w:val="26"/>
              </w:rPr>
              <w:t> </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公开09表</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4"/>
            <w:noWrap w:val="0"/>
            <w:tcMar>
              <w:top w:w="20" w:type="dxa"/>
              <w:left w:w="108" w:type="dxa"/>
              <w:bottom w:w="20"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4"/>
                <w:szCs w:val="26"/>
              </w:rPr>
              <w:t>编制单位：上杭县茶地镇人民政府（本级）</w:t>
            </w:r>
          </w:p>
        </w:tc>
        <w:tc>
          <w:tcPr>
            <w:tcW w:w="21600" w:type="dxa"/>
            <w:noWrap w:val="0"/>
            <w:tcMar>
              <w:top w:w="20" w:type="dxa"/>
              <w:left w:w="108" w:type="dxa"/>
              <w:bottom w:w="20"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单位：万元</w:t>
            </w:r>
          </w:p>
        </w:tc>
      </w:tr>
      <w:tr>
        <w:tblPrEx>
          <w:tblW w:w="5000" w:type="pct"/>
          <w:tblInd w:w="20" w:type="dxa"/>
          <w:tblLayout w:type="fixed"/>
          <w:tblCellMar>
            <w:top w:w="0" w:type="dxa"/>
            <w:left w:w="108" w:type="dxa"/>
            <w:bottom w:w="0" w:type="dxa"/>
            <w:right w:w="108" w:type="dxa"/>
          </w:tblCellMar>
        </w:tblPrEx>
        <w:trPr>
          <w:cantSplit/>
          <w:tblHeader/>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 目</w:t>
            </w:r>
          </w:p>
        </w:tc>
        <w:tc>
          <w:tcPr>
            <w:tcW w:w="21600" w:type="dxa"/>
            <w:gridSpan w:val="3"/>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本年支出</w:t>
            </w:r>
          </w:p>
        </w:tc>
      </w:tr>
      <w:tr>
        <w:tblPrEx>
          <w:tblW w:w="5000" w:type="pct"/>
          <w:tblInd w:w="20" w:type="dxa"/>
          <w:tblLayout w:type="fixed"/>
          <w:tblCellMar>
            <w:top w:w="0" w:type="dxa"/>
            <w:left w:w="108" w:type="dxa"/>
            <w:bottom w:w="0" w:type="dxa"/>
            <w:right w:w="108" w:type="dxa"/>
          </w:tblCellMar>
        </w:tblPrEx>
        <w:trPr>
          <w:cantSplit/>
          <w:tblHeader/>
        </w:trPr>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功能分类科目编码</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科目名称</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基本支出</w:t>
            </w:r>
          </w:p>
        </w:tc>
        <w:tc>
          <w:tcPr>
            <w:tcW w:w="21600" w:type="dxa"/>
            <w:vMerge w:val="restart"/>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项目支出</w:t>
            </w: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blHeader/>
        </w:trPr>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c>
          <w:tcPr>
            <w:tcW w:w="0" w:type="dxa"/>
            <w:vMerge/>
            <w:tcBorders>
              <w:top w:val="single" w:sz="6" w:space="0" w:color="000000"/>
              <w:left w:val="single" w:sz="6" w:space="0" w:color="000000"/>
              <w:bottom w:val="single" w:sz="6" w:space="0" w:color="000000"/>
              <w:right w:val="single" w:sz="6" w:space="0" w:color="000000"/>
            </w:tcBorders>
            <w:tcMar>
              <w:left w:w="108" w:type="dxa"/>
              <w:right w:w="108" w:type="dxa"/>
            </w:tcMar>
            <w:vAlign w:val="center"/>
            <w:hideMark/>
          </w:tcPr>
          <w:p>
            <w:pPr>
              <w:rPr>
                <w:rFonts w:ascii="Times New Roman" w:eastAsia="Times New Roman" w:hAnsi="Times New Roman" w:cs="Times New Roman"/>
                <w:b w:val="0"/>
                <w:bCs w:val="0"/>
                <w:i w:val="0"/>
                <w:iCs w:val="0"/>
                <w:smallCaps w:val="0"/>
                <w:color w:val="000000"/>
                <w:kern w:val="0"/>
                <w:sz w:val="26"/>
                <w:szCs w:val="26"/>
              </w:rPr>
            </w:pPr>
          </w:p>
        </w:tc>
      </w:tr>
      <w:tr>
        <w:tblPrEx>
          <w:tblW w:w="5000" w:type="pct"/>
          <w:tblInd w:w="20" w:type="dxa"/>
          <w:tblLayout w:type="fixed"/>
          <w:tblCellMar>
            <w:top w:w="0" w:type="dxa"/>
            <w:left w:w="108" w:type="dxa"/>
            <w:bottom w:w="0" w:type="dxa"/>
            <w:right w:w="108" w:type="dxa"/>
          </w:tblCellMar>
        </w:tblPrEx>
        <w:trPr>
          <w:cantSplit/>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栏次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1</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3</w:t>
            </w:r>
          </w:p>
        </w:tc>
      </w:tr>
      <w:tr>
        <w:tblPrEx>
          <w:tblW w:w="5000" w:type="pct"/>
          <w:tblInd w:w="20" w:type="dxa"/>
          <w:tblLayout w:type="fixed"/>
          <w:tblCellMar>
            <w:top w:w="0" w:type="dxa"/>
            <w:left w:w="108" w:type="dxa"/>
            <w:bottom w:w="0" w:type="dxa"/>
            <w:right w:w="108" w:type="dxa"/>
          </w:tblCellMar>
        </w:tblPrEx>
        <w:trPr>
          <w:cantSplit/>
        </w:trPr>
        <w:tc>
          <w:tcPr>
            <w:tcW w:w="21600" w:type="dxa"/>
            <w:gridSpan w:val="2"/>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center"/>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合计</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0.00</w:t>
            </w:r>
          </w:p>
        </w:tc>
      </w:tr>
      <w:tr>
        <w:tblPrEx>
          <w:tblW w:w="5000" w:type="pct"/>
          <w:tblInd w:w="20" w:type="dxa"/>
          <w:tblLayout w:type="fixed"/>
          <w:tblCellMar>
            <w:top w:w="0" w:type="dxa"/>
            <w:left w:w="108" w:type="dxa"/>
            <w:bottom w:w="0" w:type="dxa"/>
            <w:right w:w="108" w:type="dxa"/>
          </w:tblCellMar>
        </w:tblPrEx>
        <w:trPr>
          <w:cantSplit/>
        </w:trPr>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c>
          <w:tcPr>
            <w:tcW w:w="21600" w:type="dxa"/>
            <w:tcBorders>
              <w:top w:val="single" w:sz="6" w:space="0" w:color="000000"/>
              <w:left w:val="single" w:sz="6" w:space="0" w:color="000000"/>
              <w:bottom w:val="single" w:sz="6" w:space="0" w:color="000000"/>
              <w:right w:val="single" w:sz="6" w:space="0" w:color="000000"/>
            </w:tcBorders>
            <w:noWrap w:val="0"/>
            <w:tcMar>
              <w:top w:w="22" w:type="dxa"/>
              <w:left w:w="108" w:type="dxa"/>
              <w:bottom w:w="22" w:type="dxa"/>
              <w:right w:w="108" w:type="dxa"/>
            </w:tcMar>
            <w:vAlign w:val="center"/>
            <w:hideMark/>
          </w:tcPr>
          <w:p>
            <w:pPr>
              <w:widowControl/>
              <w:jc w:val="righ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 </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5"/>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注：1.本表反映单位本年度国有资本经营预算财政拨款支出情况</w:t>
            </w:r>
          </w:p>
        </w:tc>
      </w:tr>
      <w:tr>
        <w:tblPrEx>
          <w:tblW w:w="5000" w:type="pct"/>
          <w:tblInd w:w="20" w:type="dxa"/>
          <w:tblLayout w:type="fixed"/>
          <w:tblCellMar>
            <w:top w:w="0" w:type="dxa"/>
            <w:left w:w="108" w:type="dxa"/>
            <w:bottom w:w="0" w:type="dxa"/>
            <w:right w:w="108" w:type="dxa"/>
          </w:tblCellMar>
        </w:tblPrEx>
        <w:trPr>
          <w:cantSplit/>
        </w:trPr>
        <w:tc>
          <w:tcPr>
            <w:tcW w:w="16380" w:type="dxa"/>
            <w:gridSpan w:val="5"/>
            <w:noWrap w:val="0"/>
            <w:tcMar>
              <w:top w:w="20" w:type="dxa"/>
              <w:left w:w="108" w:type="dxa"/>
              <w:bottom w:w="20" w:type="dxa"/>
              <w:right w:w="108" w:type="dxa"/>
            </w:tcMar>
            <w:vAlign w:val="center"/>
            <w:hideMark/>
          </w:tcPr>
          <w:p>
            <w:pPr>
              <w:widowControl/>
              <w:spacing w:line="375" w:lineRule="atLeast"/>
              <w:jc w:val="left"/>
              <w:rPr>
                <w:rFonts w:ascii="Times New Roman" w:eastAsia="Times New Roman" w:hAnsi="Times New Roman" w:cs="Times New Roman"/>
                <w:b w:val="0"/>
                <w:bCs w:val="0"/>
                <w:i w:val="0"/>
                <w:iCs w:val="0"/>
                <w:smallCaps w:val="0"/>
                <w:color w:val="000000"/>
                <w:kern w:val="0"/>
                <w:sz w:val="26"/>
                <w:szCs w:val="26"/>
              </w:rPr>
            </w:pPr>
            <w:r>
              <w:rPr>
                <w:rFonts w:ascii="宋体" w:eastAsia="宋体" w:hAnsi="宋体" w:cs="宋体"/>
                <w:b w:val="0"/>
                <w:bCs w:val="0"/>
                <w:i w:val="0"/>
                <w:iCs w:val="0"/>
                <w:smallCaps w:val="0"/>
                <w:color w:val="000000"/>
                <w:kern w:val="0"/>
                <w:sz w:val="21"/>
                <w:szCs w:val="26"/>
              </w:rPr>
              <w:t>2.本单位2024年度没有使用国有资本经营预算财政拨款安排的支出</w:t>
            </w:r>
          </w:p>
        </w:tc>
      </w:tr>
    </w:tbl>
    <w:p>
      <w:pPr>
        <w:sectPr>
          <w:footerReference w:type="default" r:id="rId18"/>
          <w:type w:val="nextPage"/>
          <w:pgSz w:w="16383" w:h="11906" w:orient="landscape"/>
          <w:pgMar w:top="1134" w:right="720" w:bottom="1134" w:left="720" w:header="720" w:footer="720"/>
          <w:cols w:space="720"/>
        </w:sectPr>
      </w:pPr>
    </w:p>
    <w:p>
      <w:pPr>
        <w:pStyle w:val="MsoNormal"/>
        <w:widowControl/>
        <w:spacing w:before="240" w:after="240"/>
        <w:jc w:val="left"/>
        <w:rPr>
          <w:rFonts w:ascii="Times New Roman" w:eastAsia="Times New Roman" w:hAnsi="Times New Roman" w:cs="Times New Roman"/>
          <w:kern w:val="0"/>
          <w:sz w:val="24"/>
        </w:rPr>
      </w:pPr>
      <w:r>
        <w:rPr>
          <w:rFonts w:ascii="黑体" w:eastAsia="黑体" w:hAnsi="黑体" w:cs="黑体"/>
          <w:spacing w:val="0"/>
          <w:kern w:val="0"/>
          <w:sz w:val="56"/>
          <w:szCs w:val="56"/>
        </w:rPr>
        <w:t> </w:t>
      </w: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85" w:name="_Toc256000014"/>
      <w:bookmarkStart w:id="86" w:name="_Toc256000040"/>
      <w:bookmarkStart w:id="87" w:name="_Toc256000066"/>
      <w:bookmarkStart w:id="88" w:name="_Toc256000092"/>
      <w:bookmarkStart w:id="89" w:name="_Toc256000118"/>
      <w:bookmarkStart w:id="90" w:name="_Toc256000144"/>
      <w:r>
        <w:rPr>
          <w:rFonts w:ascii="黑体" w:eastAsia="黑体" w:hAnsi="黑体" w:cs="黑体"/>
          <w:b w:val="0"/>
          <w:bCs w:val="0"/>
          <w:spacing w:val="0"/>
          <w:sz w:val="56"/>
          <w:szCs w:val="56"/>
        </w:rPr>
        <w:t>第三部分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2024年度单位决算情况说明</w:t>
      </w:r>
      <w:bookmarkEnd w:id="90"/>
      <w:bookmarkEnd w:id="89"/>
      <w:bookmarkEnd w:id="88"/>
      <w:bookmarkEnd w:id="87"/>
      <w:bookmarkEnd w:id="86"/>
      <w:bookmarkEnd w:id="85"/>
    </w:p>
    <w:p>
      <w:pPr>
        <w:sectPr>
          <w:footerReference w:type="default" r:id="rId19"/>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91" w:name="_Toc256000015"/>
      <w:bookmarkStart w:id="92" w:name="_Toc256000041"/>
      <w:bookmarkStart w:id="93" w:name="_Toc256000067"/>
      <w:bookmarkStart w:id="94" w:name="_Toc256000093"/>
      <w:bookmarkStart w:id="95" w:name="_Toc256000119"/>
      <w:bookmarkStart w:id="96" w:name="_Toc256000145"/>
      <w:r>
        <w:rPr>
          <w:rFonts w:ascii="黑体" w:eastAsia="黑体" w:hAnsi="黑体" w:cs="黑体"/>
          <w:b w:val="0"/>
          <w:bCs w:val="0"/>
          <w:spacing w:val="0"/>
        </w:rPr>
        <w:t>一、收入支出决算总体情况说明</w:t>
      </w:r>
      <w:bookmarkEnd w:id="96"/>
      <w:bookmarkEnd w:id="95"/>
      <w:bookmarkEnd w:id="94"/>
      <w:bookmarkEnd w:id="93"/>
      <w:bookmarkEnd w:id="92"/>
      <w:bookmarkEnd w:id="91"/>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（一）收入支出决算总体情况说明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2024年度本单位收入总计2,319.51万元，支出总计2,319.51万元，与上年决算数相比，各增加557.58万元，各</w:t>
      </w:r>
      <w:r>
        <w:rPr>
          <w:rFonts w:ascii="仿宋_GB2312" w:eastAsia="仿宋_GB2312" w:hAnsi="仿宋_GB2312" w:cs="仿宋_GB2312"/>
          <w:kern w:val="0"/>
          <w:sz w:val="32"/>
          <w:szCs w:val="32"/>
        </w:rPr>
        <w:t>增长</w:t>
      </w:r>
      <w:r>
        <w:rPr>
          <w:rFonts w:ascii="仿宋_GB2312" w:eastAsia="仿宋_GB2312" w:hAnsi="仿宋_GB2312" w:cs="仿宋_GB2312"/>
          <w:spacing w:val="0"/>
          <w:kern w:val="0"/>
          <w:sz w:val="32"/>
          <w:szCs w:val="32"/>
        </w:rPr>
        <w:t>31.65%。主要是2024年6.16自然灾害上级补助和专项支出</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（二）收入决算情况说明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2024年度收入2,316.04万元，比上年决算数</w:t>
      </w:r>
      <w:r>
        <w:rPr>
          <w:rFonts w:ascii="仿宋_GB2312" w:eastAsia="仿宋_GB2312" w:hAnsi="仿宋_GB2312" w:cs="仿宋_GB2312"/>
          <w:kern w:val="0"/>
          <w:sz w:val="32"/>
          <w:szCs w:val="32"/>
        </w:rPr>
        <w:t>增加</w:t>
      </w:r>
      <w:r>
        <w:rPr>
          <w:rFonts w:ascii="仿宋_GB2312" w:eastAsia="仿宋_GB2312" w:hAnsi="仿宋_GB2312" w:cs="仿宋_GB2312"/>
          <w:spacing w:val="0"/>
          <w:kern w:val="0"/>
          <w:sz w:val="32"/>
          <w:szCs w:val="32"/>
        </w:rPr>
        <w:t>557.58万元，</w:t>
      </w:r>
      <w:r>
        <w:rPr>
          <w:rFonts w:ascii="仿宋_GB2312" w:eastAsia="仿宋_GB2312" w:hAnsi="仿宋_GB2312" w:cs="仿宋_GB2312"/>
          <w:kern w:val="0"/>
          <w:sz w:val="32"/>
          <w:szCs w:val="32"/>
        </w:rPr>
        <w:t>增长</w:t>
      </w:r>
      <w:r>
        <w:rPr>
          <w:rFonts w:ascii="仿宋_GB2312" w:eastAsia="仿宋_GB2312" w:hAnsi="仿宋_GB2312" w:cs="仿宋_GB2312"/>
          <w:spacing w:val="0"/>
          <w:kern w:val="0"/>
          <w:sz w:val="32"/>
          <w:szCs w:val="32"/>
        </w:rPr>
        <w:t>31.71%，</w:t>
      </w:r>
      <w:r>
        <w:rPr>
          <w:rFonts w:ascii="仿宋_GB2312" w:eastAsia="仿宋_GB2312" w:hAnsi="仿宋_GB2312" w:cs="仿宋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1.一般公共预算财政拨款收入2,244.90万元。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2.政府性基金预算财政拨款收入71.14万元。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3.国有资本经营预算财政拨款收入0万元。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4.上级补助收入0万元。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5.事业收入0万元。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6.经营收入0万元。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7.附属单位上缴收入0万元。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8.其他收入0万元。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楷体_GB2312" w:eastAsia="楷体_GB2312" w:hAnsi="楷体_GB2312" w:cs="楷体_GB2312"/>
          <w:b/>
          <w:bCs/>
          <w:spacing w:val="0"/>
          <w:kern w:val="0"/>
          <w:sz w:val="32"/>
          <w:szCs w:val="32"/>
        </w:rPr>
        <w:t>（三）支出决算情况说明</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2024年度支出2,316.14万元，比上年决算数增加557.68万元，</w:t>
      </w:r>
      <w:r>
        <w:rPr>
          <w:rFonts w:ascii="仿宋_GB2312" w:eastAsia="仿宋_GB2312" w:hAnsi="仿宋_GB2312" w:cs="仿宋_GB2312"/>
          <w:spacing w:val="0"/>
          <w:kern w:val="0"/>
          <w:sz w:val="32"/>
          <w:szCs w:val="32"/>
        </w:rPr>
        <w:t>增长</w:t>
      </w:r>
      <w:r>
        <w:rPr>
          <w:rFonts w:ascii="仿宋_GB2312" w:eastAsia="仿宋_GB2312" w:hAnsi="仿宋_GB2312" w:cs="仿宋_GB2312"/>
          <w:spacing w:val="0"/>
          <w:kern w:val="0"/>
          <w:sz w:val="32"/>
          <w:szCs w:val="32"/>
        </w:rPr>
        <w:t>31.71%，具体情况如下：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1.基本支出1,024.82万元。其中，人员支出807.41万元，公用支出217.41万元。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2.项目支出1,291.33万元。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3.上缴上级支出0万元。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4.经营支出0万元。</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5.对附属单位补助支出0万元。</w:t>
      </w:r>
    </w:p>
    <w:p>
      <w:pPr>
        <w:pStyle w:val="Heading3"/>
        <w:keepNext w:val="0"/>
        <w:keepLines w:val="0"/>
        <w:spacing w:before="100" w:after="100" w:line="240" w:lineRule="auto"/>
        <w:ind w:left="100" w:right="100" w:firstLine="640" w:firstLineChars="0"/>
        <w:rPr>
          <w:rFonts w:ascii="Times New Roman" w:eastAsia="Times New Roman" w:hAnsi="Times New Roman" w:cs="Times New Roman"/>
          <w:b/>
          <w:bCs/>
          <w:kern w:val="0"/>
          <w:sz w:val="28"/>
          <w:szCs w:val="28"/>
        </w:rPr>
      </w:pPr>
      <w:bookmarkStart w:id="97" w:name="_Toc256000016"/>
      <w:bookmarkStart w:id="98" w:name="_Toc256000042"/>
      <w:bookmarkStart w:id="99" w:name="_Toc256000068"/>
      <w:bookmarkStart w:id="100" w:name="_Toc256000094"/>
      <w:bookmarkStart w:id="101" w:name="_Toc256000120"/>
      <w:bookmarkStart w:id="102" w:name="_Toc256000146"/>
      <w:r>
        <w:rPr>
          <w:rFonts w:ascii="黑体" w:eastAsia="黑体" w:hAnsi="黑体" w:cs="黑体"/>
          <w:b w:val="0"/>
          <w:bCs w:val="0"/>
          <w:spacing w:val="0"/>
        </w:rPr>
        <w:t>二、财政拨款收入支出决算总体情况说明</w:t>
      </w:r>
      <w:bookmarkEnd w:id="102"/>
      <w:bookmarkEnd w:id="101"/>
      <w:bookmarkEnd w:id="100"/>
      <w:bookmarkEnd w:id="99"/>
      <w:bookmarkEnd w:id="98"/>
      <w:bookmarkEnd w:id="97"/>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2024年度财政拨款收入总计2,318.24万元，支出总计2,318.24万元，与上年决算数相比，各增加564.99万元，</w:t>
      </w:r>
      <w:r>
        <w:rPr>
          <w:rFonts w:ascii="仿宋_GB2312" w:eastAsia="仿宋_GB2312" w:hAnsi="仿宋_GB2312" w:cs="仿宋_GB2312"/>
          <w:spacing w:val="0"/>
          <w:kern w:val="0"/>
          <w:sz w:val="32"/>
          <w:szCs w:val="32"/>
        </w:rPr>
        <w:t>增长</w:t>
      </w:r>
      <w:r>
        <w:rPr>
          <w:rFonts w:ascii="仿宋_GB2312" w:eastAsia="仿宋_GB2312" w:hAnsi="仿宋_GB2312" w:cs="仿宋_GB2312"/>
          <w:spacing w:val="0"/>
          <w:kern w:val="0"/>
          <w:sz w:val="32"/>
          <w:szCs w:val="32"/>
        </w:rPr>
        <w:t>32.23%，主要是：2024年6.16自然灾害上级补助和专项支出</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03" w:name="_Toc256000017"/>
      <w:bookmarkStart w:id="104" w:name="_Toc256000043"/>
      <w:bookmarkStart w:id="105" w:name="_Toc256000069"/>
      <w:bookmarkStart w:id="106" w:name="_Toc256000095"/>
      <w:bookmarkStart w:id="107" w:name="_Toc256000121"/>
      <w:bookmarkStart w:id="108" w:name="_Toc256000147"/>
      <w:r>
        <w:rPr>
          <w:rFonts w:ascii="黑体" w:eastAsia="黑体" w:hAnsi="黑体" w:cs="黑体"/>
          <w:b w:val="0"/>
          <w:bCs w:val="0"/>
          <w:spacing w:val="0"/>
        </w:rPr>
        <w:t>三、一般公共预算财政拨款支出决算情况说明</w:t>
      </w:r>
      <w:bookmarkEnd w:id="108"/>
      <w:bookmarkEnd w:id="107"/>
      <w:bookmarkEnd w:id="106"/>
      <w:bookmarkEnd w:id="105"/>
      <w:bookmarkEnd w:id="104"/>
      <w:bookmarkEnd w:id="10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2024年一般公共预算财政拨款支出2,245.00万元，比上年决算数增加493.95万元，</w:t>
      </w:r>
      <w:r>
        <w:rPr>
          <w:rFonts w:ascii="仿宋_GB2312" w:eastAsia="仿宋_GB2312" w:hAnsi="仿宋_GB2312" w:cs="仿宋_GB2312"/>
          <w:spacing w:val="0"/>
          <w:kern w:val="0"/>
          <w:sz w:val="32"/>
          <w:szCs w:val="32"/>
        </w:rPr>
        <w:t>增长</w:t>
      </w:r>
      <w:r>
        <w:rPr>
          <w:rFonts w:ascii="仿宋_GB2312" w:eastAsia="仿宋_GB2312" w:hAnsi="仿宋_GB2312" w:cs="仿宋_GB2312"/>
          <w:spacing w:val="0"/>
          <w:kern w:val="0"/>
          <w:sz w:val="32"/>
          <w:szCs w:val="32"/>
        </w:rPr>
        <w:t>28.21%，</w:t>
      </w:r>
      <w:r>
        <w:rPr>
          <w:rFonts w:ascii="仿宋_GB2312" w:eastAsia="仿宋_GB2312" w:hAnsi="仿宋_GB2312" w:cs="仿宋_GB2312"/>
          <w:spacing w:val="0"/>
          <w:kern w:val="0"/>
          <w:sz w:val="32"/>
          <w:szCs w:val="32"/>
        </w:rPr>
        <w:t>具体情况如下(按</w:t>
      </w:r>
      <w:r>
        <w:rPr>
          <w:rStyle w:val="15"/>
          <w:rFonts w:ascii="仿宋_GB2312" w:eastAsia="仿宋_GB2312" w:hAnsi="仿宋_GB2312" w:cs="仿宋_GB2312"/>
          <w:spacing w:val="0"/>
          <w:kern w:val="0"/>
          <w:sz w:val="32"/>
          <w:szCs w:val="32"/>
        </w:rPr>
        <w:t>项级科目</w:t>
      </w:r>
      <w:r>
        <w:rPr>
          <w:rFonts w:ascii="仿宋_GB2312" w:eastAsia="仿宋_GB2312" w:hAnsi="仿宋_GB2312" w:cs="仿宋_GB2312"/>
          <w:spacing w:val="0"/>
          <w:kern w:val="0"/>
          <w:sz w:val="32"/>
          <w:szCs w:val="32"/>
        </w:rPr>
        <w:t>分类统计)：</w:t>
      </w:r>
    </w:p>
    <w:p>
      <w:pPr>
        <w:pStyle w:val="MsoNormal"/>
        <w:widowControl/>
        <w:spacing w:before="100" w:after="100" w:line="560" w:lineRule="atLeast"/>
        <w:ind w:left="100" w:right="100" w:firstLine="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  （一）2010301 行政运行 864.09万元，较上年决算数减少293.85万元，下降25.38%。主要原因是厉行节约</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  （二）2050199 其他教育管理事务支出 3.00万元，较上年决算数增加3.00万元。主要原因是增加教育投入</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  （三）2080199 其他人力资源和社会保障管理事务支出 15.92万元，较上年决算数增加15.92万元。主要原因是其他人力资源和社会保障管理事务支出增加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  （四）2089999 其他社会保障和就业支出 3.84万元，较上年决算数增加3.84万元。主要原因是其他社会保障和就业支出增加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  （五）2100199 其他卫生健康管理事务支出 1.09万元，较上年决算数增加1.09万元。主要原因是其他卫生健康管理事务支出增加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  （六）2110302 水体 66.82万元，较上年决算数增加66.82万元。主要原因是6.16自然灾害增加支出</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  （七）2120199 其他城乡社区管理事务支出 61.99万元，较上年决算数增加61.99万元。主要原因是6.16自然灾害增加了支出</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  （八）2130109 农产品质量安全 1.20万元，较上年决算数增加1.20万元。主要原因是农产品质量安全支出增加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  （九）2130199 其他农业农村支出 227.59万元，较上年决算数增加227.59万元。主要原因是6.16自然灾害增加了农业支出</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  （十）2130306 水利工程运行与维护 2.87万元，较上年决算数增加2.87万元。主要原因是水利工程运行与维护支出增加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  （十一）2130314 防汛 51.90万元，较上年决算数增加51.90万元。主要原因是防汛支出增加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  （十二）2130504 农村基础设施建设 45.00万元，较上年决算数增加45.00万元。主要原因是6.16自然灾害增加了农村基础设施支出</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  （十三）2130599 其他巩固脱贫攻坚成果衔接乡村振兴支出 27.00万元，较上年决算数增加17.00万元，增长170.00%。主要原因是其他巩固脱贫攻坚成果衔接乡村振兴支出增加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  （十四）2130701 对村级公益事业建设的补助 51.00万元，较上年决算数减少23.00万元，下降31.08%。主要原因是对村级公益事业建设的补助支出增加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  （十五）2130705 对村民委员会和村党支部的补助 101.78万元，较上年决算数减少56.57万元，下降35.73%。主要原因是村民委员会和村党支部的补助减少</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  （十六）2130706 对村集体经济组织的补助 35.10万元，较上年决算数增加35.10万元。主要原因是村集体经济组织的补助增加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  （十七）2140104 公路建设 23.10万元，较上年决算数增加23.10万元。主要原因是 自然灾害导致公路建设 的增加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  （十八）2240703 自然灾害救灾补助 307.46万元，较上年决算数增加266.56万元，增长651.78%。主要原因是自然灾害救灾补助增加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  （十九）2240704 自然灾害灾后重建补助 148.62万元，较上年决算数增加148.62万元。主要原因是自然灾害灾后重建补助 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  （二十）2240799 其他自然灾害救灾及恢复重建支出 205.55万元，较上年决算数增加200.55万元，增长4011.08%。主要原因是其他自然灾害救灾及恢复重建支出增加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  （二十一）2299999 其他支出 0.08万元，较上年决算数减少2.92万元，下降97.33%。主要原因是其他支出减少</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09" w:name="_Toc256000018"/>
      <w:bookmarkStart w:id="110" w:name="_Toc256000044"/>
      <w:bookmarkStart w:id="111" w:name="_Toc256000070"/>
      <w:bookmarkStart w:id="112" w:name="_Toc256000096"/>
      <w:bookmarkStart w:id="113" w:name="_Toc256000122"/>
      <w:bookmarkStart w:id="114" w:name="_Toc256000148"/>
      <w:r>
        <w:rPr>
          <w:rFonts w:ascii="黑体" w:eastAsia="黑体" w:hAnsi="黑体" w:cs="黑体"/>
          <w:b w:val="0"/>
          <w:bCs w:val="0"/>
          <w:spacing w:val="0"/>
        </w:rPr>
        <w:t>四、政府性基金预算财政拨款支出决算情况说明</w:t>
      </w:r>
      <w:bookmarkEnd w:id="114"/>
      <w:bookmarkEnd w:id="113"/>
      <w:bookmarkEnd w:id="112"/>
      <w:bookmarkEnd w:id="111"/>
      <w:bookmarkEnd w:id="110"/>
      <w:bookmarkEnd w:id="10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2024年度政府性基金支出71.14万元，比上年决算数增加71.14万元，</w:t>
      </w:r>
      <w:r>
        <w:rPr>
          <w:rFonts w:ascii="仿宋_GB2312" w:eastAsia="仿宋_GB2312" w:hAnsi="仿宋_GB2312" w:cs="仿宋_GB2312"/>
          <w:spacing w:val="0"/>
          <w:kern w:val="0"/>
          <w:sz w:val="32"/>
          <w:szCs w:val="32"/>
        </w:rPr>
        <w:t>具体情况如下(按项级科目统计)：</w:t>
      </w:r>
    </w:p>
    <w:p>
      <w:pPr>
        <w:pStyle w:val="MsoNormal"/>
        <w:widowControl/>
        <w:spacing w:before="100" w:after="100" w:line="560" w:lineRule="atLeast"/>
        <w:ind w:left="100" w:right="100" w:firstLine="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  （一）2137202 基础设施建设和经济发展 15.00万元，较上年决算数增加15.00万元。主要原因是基础设施建设和经济发展增加</w:t>
      </w:r>
      <w:r>
        <w:rPr>
          <w:rFonts w:ascii="仿宋_GB2312" w:eastAsia="仿宋_GB2312" w:hAnsi="仿宋_GB2312" w:cs="仿宋_GB2312"/>
          <w:spacing w:val="0"/>
          <w:kern w:val="0"/>
          <w:sz w:val="32"/>
          <w:szCs w:val="32"/>
        </w:rPr>
        <w:br/>
      </w:r>
      <w:r>
        <w:rPr>
          <w:rFonts w:ascii="仿宋_GB2312" w:eastAsia="仿宋_GB2312" w:hAnsi="仿宋_GB2312" w:cs="仿宋_GB2312"/>
          <w:spacing w:val="0"/>
          <w:kern w:val="0"/>
          <w:sz w:val="32"/>
          <w:szCs w:val="32"/>
        </w:rPr>
        <w:t>  （二）2296002 用于社会福利的彩票公益金支出 56.14万元，较上年决算数增加56.14万元。主要原因是社会福利的彩票公益金支出增加</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15" w:name="_Toc256000019"/>
      <w:bookmarkStart w:id="116" w:name="_Toc256000045"/>
      <w:bookmarkStart w:id="117" w:name="_Toc256000071"/>
      <w:bookmarkStart w:id="118" w:name="_Toc256000097"/>
      <w:bookmarkStart w:id="119" w:name="_Toc256000123"/>
      <w:bookmarkStart w:id="120" w:name="_Toc256000149"/>
      <w:r>
        <w:rPr>
          <w:rFonts w:ascii="黑体" w:eastAsia="黑体" w:hAnsi="黑体" w:cs="黑体"/>
          <w:b w:val="0"/>
          <w:bCs w:val="0"/>
          <w:spacing w:val="0"/>
        </w:rPr>
        <w:t>五、国有资本经营预算财政拨款支出决算情况说明</w:t>
      </w:r>
      <w:bookmarkEnd w:id="120"/>
      <w:bookmarkEnd w:id="119"/>
      <w:bookmarkEnd w:id="118"/>
      <w:bookmarkEnd w:id="117"/>
      <w:bookmarkEnd w:id="116"/>
      <w:bookmarkEnd w:id="115"/>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本单位2024年度没有使用国有资本经营预算财政拨款安排的支出。</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21" w:name="_Toc256000020"/>
      <w:bookmarkStart w:id="122" w:name="_Toc256000046"/>
      <w:bookmarkStart w:id="123" w:name="_Toc256000072"/>
      <w:bookmarkStart w:id="124" w:name="_Toc256000098"/>
      <w:bookmarkStart w:id="125" w:name="_Toc256000124"/>
      <w:bookmarkStart w:id="126" w:name="_Toc256000150"/>
      <w:r>
        <w:rPr>
          <w:rFonts w:ascii="黑体" w:eastAsia="黑体" w:hAnsi="黑体" w:cs="黑体"/>
          <w:b w:val="0"/>
          <w:bCs w:val="0"/>
          <w:spacing w:val="0"/>
        </w:rPr>
        <w:t>六、一般公共预算财政拨款基本支出决算情况说明</w:t>
      </w:r>
      <w:bookmarkEnd w:id="126"/>
      <w:bookmarkEnd w:id="125"/>
      <w:bookmarkEnd w:id="124"/>
      <w:bookmarkEnd w:id="123"/>
      <w:bookmarkEnd w:id="122"/>
      <w:bookmarkEnd w:id="121"/>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2024年度一般公共预算财政拨款基本支出1,024.82万元，其中：</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一）人员经费807.41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二）公用经费217.41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27" w:name="_Toc256000021"/>
      <w:bookmarkStart w:id="128" w:name="_Toc256000047"/>
      <w:bookmarkStart w:id="129" w:name="_Toc256000073"/>
      <w:bookmarkStart w:id="130" w:name="_Toc256000099"/>
      <w:bookmarkStart w:id="131" w:name="_Toc256000125"/>
      <w:bookmarkStart w:id="132" w:name="_Toc256000151"/>
      <w:r>
        <w:rPr>
          <w:rFonts w:ascii="黑体" w:eastAsia="黑体" w:hAnsi="黑体" w:cs="黑体"/>
          <w:b w:val="0"/>
          <w:bCs w:val="0"/>
          <w:spacing w:val="0"/>
        </w:rPr>
        <w:t>七、一般公共预算财政拨款“三公”经费支出决算情况说明</w:t>
      </w:r>
      <w:bookmarkEnd w:id="132"/>
      <w:bookmarkEnd w:id="131"/>
      <w:bookmarkEnd w:id="130"/>
      <w:bookmarkEnd w:id="129"/>
      <w:bookmarkEnd w:id="128"/>
      <w:bookmarkEnd w:id="127"/>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2024年度一般公共预算财政拨款“三公”经费支出11.88万元，完成全年预算的65.98%；</w:t>
      </w:r>
      <w:r>
        <w:rPr>
          <w:rFonts w:ascii="仿宋_GB2312" w:eastAsia="仿宋_GB2312" w:hAnsi="仿宋_GB2312" w:cs="仿宋_GB2312"/>
          <w:spacing w:val="0"/>
          <w:kern w:val="0"/>
          <w:sz w:val="32"/>
          <w:szCs w:val="32"/>
        </w:rPr>
        <w:t>较上年增加3.25万元，增长37.62%。主要原因是6.16自然灾害导致三公经费增加</w:t>
      </w:r>
      <w:r>
        <w:rPr>
          <w:rFonts w:ascii="仿宋_GB2312" w:eastAsia="仿宋_GB2312" w:hAnsi="仿宋_GB2312" w:cs="仿宋_GB2312"/>
          <w:kern w:val="0"/>
          <w:sz w:val="32"/>
          <w:szCs w:val="32"/>
        </w:rPr>
        <w:t>。</w:t>
      </w:r>
      <w:r>
        <w:rPr>
          <w:rFonts w:ascii="仿宋_GB2312" w:eastAsia="仿宋_GB2312" w:hAnsi="仿宋_GB2312" w:cs="仿宋_GB2312"/>
          <w:spacing w:val="0"/>
          <w:kern w:val="0"/>
          <w:sz w:val="32"/>
          <w:szCs w:val="32"/>
        </w:rPr>
        <w:t>具体情况如下：</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（一）因公出国（境）费支出0万元，与全年预算数持平，</w:t>
      </w:r>
      <w:r>
        <w:rPr>
          <w:rFonts w:ascii="仿宋_GB2312" w:eastAsia="仿宋_GB2312" w:hAnsi="仿宋_GB2312" w:cs="仿宋_GB2312"/>
          <w:kern w:val="0"/>
          <w:sz w:val="32"/>
          <w:szCs w:val="32"/>
        </w:rPr>
        <w:t>与上年决算数持平。主要是无支出。</w:t>
      </w:r>
      <w:r>
        <w:rPr>
          <w:rFonts w:ascii="仿宋_GB2312" w:eastAsia="仿宋_GB2312" w:hAnsi="仿宋_GB2312" w:cs="仿宋_GB2312"/>
          <w:kern w:val="0"/>
          <w:sz w:val="32"/>
          <w:szCs w:val="32"/>
        </w:rPr>
        <w:t>全年安排本单位组织的出国团组0个，参加其他单位出国团组无支出个；全年因公出国（境）累计0 人次。</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（二）公务用车购置及运行费支出3.88万元，完成全年预算的38.76%；</w:t>
      </w:r>
      <w:r>
        <w:rPr>
          <w:rFonts w:ascii="仿宋_GB2312" w:eastAsia="仿宋_GB2312" w:hAnsi="仿宋_GB2312" w:cs="仿宋_GB2312"/>
          <w:spacing w:val="0"/>
          <w:kern w:val="0"/>
          <w:sz w:val="32"/>
          <w:szCs w:val="32"/>
        </w:rPr>
        <w:t>较上年</w:t>
      </w:r>
      <w:r>
        <w:rPr>
          <w:rFonts w:ascii="仿宋_GB2312" w:eastAsia="仿宋_GB2312" w:hAnsi="仿宋_GB2312" w:cs="仿宋_GB2312"/>
          <w:kern w:val="0"/>
          <w:sz w:val="32"/>
          <w:szCs w:val="32"/>
        </w:rPr>
        <w:t>增加0.12万元，增长3.07%。</w:t>
      </w:r>
      <w:r>
        <w:rPr>
          <w:rFonts w:ascii="仿宋_GB2312" w:eastAsia="仿宋_GB2312" w:hAnsi="仿宋_GB2312" w:cs="仿宋_GB2312"/>
          <w:kern w:val="0"/>
          <w:sz w:val="32"/>
          <w:szCs w:val="32"/>
        </w:rPr>
        <w:t>其中：</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公务用车购置费支出0万元，与全年预算数持平，</w:t>
      </w:r>
      <w:r>
        <w:rPr>
          <w:rFonts w:ascii="仿宋_GB2312" w:eastAsia="仿宋_GB2312" w:hAnsi="仿宋_GB2312" w:cs="仿宋_GB2312"/>
          <w:kern w:val="0"/>
          <w:sz w:val="32"/>
          <w:szCs w:val="32"/>
        </w:rPr>
        <w:t>与上年决算数持平</w:t>
      </w:r>
      <w:r>
        <w:rPr>
          <w:rFonts w:ascii="仿宋_GB2312" w:eastAsia="仿宋_GB2312" w:hAnsi="仿宋_GB2312" w:cs="仿宋_GB2312"/>
          <w:kern w:val="0"/>
          <w:sz w:val="32"/>
          <w:szCs w:val="32"/>
        </w:rPr>
        <w:t>。主要是无支出。</w:t>
      </w:r>
      <w:r>
        <w:rPr>
          <w:rFonts w:ascii="仿宋_GB2312" w:eastAsia="仿宋_GB2312" w:hAnsi="仿宋_GB2312" w:cs="仿宋_GB2312"/>
          <w:kern w:val="0"/>
          <w:sz w:val="32"/>
          <w:szCs w:val="32"/>
        </w:rPr>
        <w:t>2024年公务用车购置0辆</w:t>
      </w:r>
      <w:r>
        <w:rPr>
          <w:rFonts w:ascii="仿宋_GB2312" w:eastAsia="仿宋_GB2312" w:hAnsi="仿宋_GB2312" w:cs="仿宋_GB2312"/>
          <w:kern w:val="0"/>
          <w:sz w:val="32"/>
          <w:szCs w:val="32"/>
        </w:rPr>
        <w:t>。</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公务用车运行费支出3.88万元，完成全年预算的38.76%；</w:t>
      </w:r>
      <w:r>
        <w:rPr>
          <w:rFonts w:ascii="仿宋_GB2312" w:eastAsia="仿宋_GB2312" w:hAnsi="仿宋_GB2312" w:cs="仿宋_GB2312"/>
          <w:spacing w:val="0"/>
          <w:kern w:val="0"/>
          <w:sz w:val="32"/>
          <w:szCs w:val="32"/>
        </w:rPr>
        <w:t>较上年增加0.12万元，增长3.07%。</w:t>
      </w:r>
      <w:r>
        <w:rPr>
          <w:rFonts w:ascii="仿宋_GB2312" w:eastAsia="仿宋_GB2312" w:hAnsi="仿宋_GB2312" w:cs="仿宋_GB2312"/>
          <w:spacing w:val="0"/>
          <w:kern w:val="0"/>
          <w:sz w:val="32"/>
          <w:szCs w:val="32"/>
        </w:rPr>
        <w:t>主要是自然灾害导致公务用车运行费增加。</w:t>
      </w:r>
      <w:r>
        <w:rPr>
          <w:rFonts w:ascii="仿宋_GB2312" w:eastAsia="仿宋_GB2312" w:hAnsi="仿宋_GB2312" w:cs="仿宋_GB2312"/>
          <w:spacing w:val="0"/>
          <w:kern w:val="0"/>
          <w:sz w:val="32"/>
          <w:szCs w:val="32"/>
        </w:rPr>
        <w:t>截至2024年12月31日，本单位公务用车保有量为7辆。</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（三）公务接待费支出8.00万元，完成全年预算的 100.00%；</w:t>
      </w:r>
      <w:r>
        <w:rPr>
          <w:rFonts w:ascii="仿宋_GB2312" w:eastAsia="仿宋_GB2312" w:hAnsi="仿宋_GB2312" w:cs="仿宋_GB2312"/>
          <w:spacing w:val="0"/>
          <w:kern w:val="0"/>
          <w:sz w:val="32"/>
          <w:szCs w:val="32"/>
        </w:rPr>
        <w:t>较上年增加3.13万元，增长64.30%。</w:t>
      </w:r>
      <w:r>
        <w:rPr>
          <w:rFonts w:ascii="仿宋_GB2312" w:eastAsia="仿宋_GB2312" w:hAnsi="仿宋_GB2312" w:cs="仿宋_GB2312"/>
          <w:spacing w:val="0"/>
          <w:kern w:val="0"/>
          <w:sz w:val="32"/>
          <w:szCs w:val="32"/>
        </w:rPr>
        <w:t>主要是自然灾害导致公务接待支出增加。累计接待188批次、956人次。</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33" w:name="_Toc256000022"/>
      <w:bookmarkStart w:id="134" w:name="_Toc256000048"/>
      <w:bookmarkStart w:id="135" w:name="_Toc256000074"/>
      <w:bookmarkStart w:id="136" w:name="_Toc256000100"/>
      <w:bookmarkStart w:id="137" w:name="_Toc256000126"/>
      <w:bookmarkStart w:id="138" w:name="_Toc256000152"/>
      <w:r>
        <w:rPr>
          <w:rFonts w:ascii="黑体" w:eastAsia="黑体" w:hAnsi="黑体" w:cs="黑体"/>
          <w:b w:val="0"/>
          <w:bCs w:val="0"/>
          <w:spacing w:val="0"/>
        </w:rPr>
        <w:t>八、预算绩效情况说明</w:t>
      </w:r>
      <w:bookmarkEnd w:id="138"/>
      <w:bookmarkEnd w:id="137"/>
      <w:bookmarkEnd w:id="136"/>
      <w:bookmarkEnd w:id="135"/>
      <w:bookmarkEnd w:id="134"/>
      <w:bookmarkEnd w:id="133"/>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根据全面实施预算绩效管理要求，本单位组织对2024年度</w:t>
      </w:r>
      <w:r>
        <w:rPr>
          <w:rFonts w:ascii="仿宋_GB2312" w:eastAsia="仿宋_GB2312" w:hAnsi="仿宋_GB2312" w:cs="仿宋_GB2312"/>
          <w:spacing w:val="0"/>
          <w:kern w:val="0"/>
          <w:sz w:val="32"/>
          <w:szCs w:val="32"/>
        </w:rPr>
        <w:t>56</w:t>
      </w:r>
      <w:r>
        <w:rPr>
          <w:rFonts w:ascii="仿宋_GB2312" w:eastAsia="仿宋_GB2312" w:hAnsi="仿宋_GB2312" w:cs="仿宋_GB2312"/>
          <w:spacing w:val="0"/>
          <w:kern w:val="0"/>
          <w:sz w:val="32"/>
          <w:szCs w:val="32"/>
        </w:rPr>
        <w:t>个项目实施单位自评。</w:t>
      </w:r>
    </w:p>
    <w:p>
      <w:pPr>
        <w:pStyle w:val="Heading3"/>
        <w:keepNext w:val="0"/>
        <w:keepLines w:val="0"/>
        <w:spacing w:before="100" w:after="100" w:line="560" w:lineRule="atLeast"/>
        <w:ind w:left="100" w:right="100" w:firstLine="640" w:firstLineChars="0"/>
        <w:rPr>
          <w:rFonts w:ascii="Times New Roman" w:eastAsia="Times New Roman" w:hAnsi="Times New Roman" w:cs="Times New Roman"/>
          <w:b/>
          <w:bCs/>
          <w:kern w:val="0"/>
          <w:sz w:val="28"/>
          <w:szCs w:val="28"/>
        </w:rPr>
      </w:pPr>
      <w:bookmarkStart w:id="139" w:name="_Toc256000023"/>
      <w:bookmarkStart w:id="140" w:name="_Toc256000049"/>
      <w:bookmarkStart w:id="141" w:name="_Toc256000075"/>
      <w:bookmarkStart w:id="142" w:name="_Toc256000101"/>
      <w:bookmarkStart w:id="143" w:name="_Toc256000127"/>
      <w:bookmarkStart w:id="144" w:name="_Toc256000153"/>
      <w:r>
        <w:rPr>
          <w:rFonts w:ascii="黑体" w:eastAsia="黑体" w:hAnsi="黑体" w:cs="黑体"/>
          <w:b w:val="0"/>
          <w:bCs w:val="0"/>
          <w:spacing w:val="0"/>
        </w:rPr>
        <w:t>九、其他重要事项说明</w:t>
      </w:r>
      <w:bookmarkEnd w:id="144"/>
      <w:bookmarkEnd w:id="143"/>
      <w:bookmarkEnd w:id="142"/>
      <w:bookmarkEnd w:id="141"/>
      <w:bookmarkEnd w:id="140"/>
      <w:bookmarkEnd w:id="139"/>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（一）机关运行经费</w:t>
      </w:r>
      <w:r>
        <w:rPr>
          <w:rFonts w:ascii="楷体_GB2312" w:eastAsia="楷体_GB2312" w:hAnsi="楷体_GB2312" w:cs="楷体_GB2312"/>
          <w:spacing w:val="0"/>
          <w:kern w:val="0"/>
          <w:sz w:val="32"/>
          <w:szCs w:val="32"/>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2024年度机关运行经费支出217.41万元，比上年决算数减少117.63万元，下降35.11%，主要原因是:</w:t>
      </w:r>
      <w:r>
        <w:rPr>
          <w:rFonts w:ascii="仿宋_GB2312" w:eastAsia="仿宋_GB2312" w:hAnsi="仿宋_GB2312" w:cs="仿宋_GB2312"/>
          <w:spacing w:val="0"/>
          <w:kern w:val="0"/>
          <w:sz w:val="32"/>
          <w:szCs w:val="32"/>
        </w:rPr>
        <w:t xml:space="preserve"> 厉行节约</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（二）政府采购情况</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本单位2024年度政府采购支出总额1.78万元，其中：政府采购货物支出1.78万元、政府采购工程支出0万元、政府采购服务支出0万元。授予中小企业合同金额1.78万元，占政府采购支出总额的100.00%，其中：授予小微企业合同金额1.78万元，占授予中小企业合同金额的100.00%；货物采购授予中小企业合同金额占货物支出金额的100%，工程采购授予中小企业合同金额占工程支出金额的100%，服务采购授予中小企业合同金额占服务支出金额的100</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（三）国有资产占用使用情况</w:t>
      </w:r>
      <w:r>
        <w:rPr>
          <w:rFonts w:ascii="楷体_GB2312" w:eastAsia="楷体_GB2312" w:hAnsi="楷体_GB2312" w:cs="楷体_GB2312"/>
          <w:spacing w:val="0"/>
          <w:kern w:val="0"/>
          <w:sz w:val="32"/>
          <w:szCs w:val="32"/>
        </w:rPr>
        <w:t> </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Fonts w:ascii="仿宋_GB2312" w:eastAsia="仿宋_GB2312" w:hAnsi="仿宋_GB2312" w:cs="仿宋_GB2312"/>
          <w:spacing w:val="0"/>
          <w:kern w:val="0"/>
          <w:sz w:val="32"/>
          <w:szCs w:val="32"/>
        </w:rPr>
        <w:t>截至2024年12月31日，本单位共有车辆7 辆，其中：副部（省）级以上领导用车0 辆、主要领导干部用车0 辆、机要通信用车0辆、应急保障用车0辆、执法执勤用车0辆、特种专业技术用车0辆、离退休干部用车0辆、其他用车7辆，其他用车主要是公务用车；单位价值100万元以上设备（不含车辆）0台（套）。</w:t>
      </w:r>
      <w:r>
        <w:rPr>
          <w:rFonts w:ascii="仿宋_GB2312" w:eastAsia="仿宋_GB2312" w:hAnsi="仿宋_GB2312" w:cs="仿宋_GB2312"/>
          <w:spacing w:val="0"/>
          <w:kern w:val="0"/>
          <w:sz w:val="32"/>
          <w:szCs w:val="32"/>
        </w:rPr>
        <w:t> </w:t>
      </w:r>
      <w:r>
        <w:rPr>
          <w:rFonts w:ascii="仿宋_GB2312" w:eastAsia="仿宋_GB2312" w:hAnsi="仿宋_GB2312" w:cs="仿宋_GB2312"/>
          <w:spacing w:val="0"/>
          <w:kern w:val="0"/>
          <w:sz w:val="32"/>
          <w:szCs w:val="32"/>
        </w:rPr>
        <w:t> </w:t>
      </w:r>
      <w:r>
        <w:rPr>
          <w:rFonts w:ascii="宋体" w:hAnsi="宋体" w:cs="宋体"/>
          <w:spacing w:val="0"/>
          <w:kern w:val="0"/>
          <w:sz w:val="56"/>
          <w:szCs w:val="56"/>
        </w:rPr>
        <w:t xml:space="preserve"> </w:t>
      </w:r>
    </w:p>
    <w:p>
      <w:pPr>
        <w:sectPr>
          <w:footerReference w:type="default" r:id="rId20"/>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MsoNormal"/>
        <w:widowControl/>
        <w:spacing w:before="100" w:after="100"/>
        <w:ind w:left="100" w:right="100" w:firstLine="640"/>
        <w:jc w:val="left"/>
        <w:rPr>
          <w:rFonts w:ascii="Times New Roman" w:eastAsia="Times New Roman" w:hAnsi="Times New Roman" w:cs="Times New Roman"/>
          <w:kern w:val="0"/>
          <w:sz w:val="24"/>
        </w:rPr>
      </w:pPr>
    </w:p>
    <w:p>
      <w:pPr>
        <w:pStyle w:val="Heading2"/>
        <w:keepNext w:val="0"/>
        <w:keepLines w:val="0"/>
        <w:spacing w:before="100" w:after="100" w:line="240" w:lineRule="auto"/>
        <w:ind w:left="100" w:right="100" w:firstLine="0" w:firstLineChars="0"/>
        <w:jc w:val="center"/>
        <w:rPr>
          <w:rFonts w:ascii="Times New Roman" w:eastAsia="Times New Roman" w:hAnsi="Times New Roman" w:cs="Times New Roman"/>
          <w:b/>
          <w:bCs/>
          <w:kern w:val="0"/>
          <w:sz w:val="36"/>
          <w:szCs w:val="36"/>
        </w:rPr>
      </w:pPr>
      <w:bookmarkStart w:id="145" w:name="_Toc256000024"/>
      <w:bookmarkStart w:id="146" w:name="_Toc256000050"/>
      <w:bookmarkStart w:id="147" w:name="_Toc256000076"/>
      <w:bookmarkStart w:id="148" w:name="_Toc256000102"/>
      <w:bookmarkStart w:id="149" w:name="_Toc256000128"/>
      <w:bookmarkStart w:id="150" w:name="_Toc256000154"/>
      <w:r>
        <w:rPr>
          <w:rFonts w:ascii="黑体" w:eastAsia="黑体" w:hAnsi="黑体" w:cs="黑体"/>
          <w:b w:val="0"/>
          <w:bCs w:val="0"/>
          <w:spacing w:val="0"/>
          <w:sz w:val="56"/>
          <w:szCs w:val="56"/>
        </w:rPr>
        <w:t>第四部分</w:t>
      </w:r>
      <w:r>
        <w:rPr>
          <w:rFonts w:ascii="黑体" w:eastAsia="黑体" w:hAnsi="黑体" w:cs="黑体"/>
          <w:b w:val="0"/>
          <w:bCs w:val="0"/>
          <w:spacing w:val="0"/>
          <w:sz w:val="56"/>
          <w:szCs w:val="56"/>
        </w:rPr>
        <w:br/>
      </w:r>
      <w:r>
        <w:rPr>
          <w:rFonts w:ascii="黑体" w:eastAsia="黑体" w:hAnsi="黑体" w:cs="黑体"/>
          <w:b w:val="0"/>
          <w:bCs w:val="0"/>
          <w:spacing w:val="0"/>
          <w:sz w:val="56"/>
          <w:szCs w:val="56"/>
        </w:rPr>
        <w:t>名词解释</w:t>
      </w:r>
      <w:bookmarkEnd w:id="150"/>
      <w:bookmarkEnd w:id="149"/>
      <w:bookmarkEnd w:id="148"/>
      <w:bookmarkEnd w:id="147"/>
      <w:bookmarkEnd w:id="146"/>
      <w:bookmarkEnd w:id="145"/>
    </w:p>
    <w:p>
      <w:pPr>
        <w:sectPr>
          <w:footerReference w:type="default" r:id="rId21"/>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一、财政拨款收入：</w:t>
      </w:r>
      <w:r>
        <w:rPr>
          <w:rFonts w:ascii="仿宋_GB2312" w:eastAsia="仿宋_GB2312" w:hAnsi="仿宋_GB2312" w:cs="仿宋_GB2312"/>
          <w:spacing w:val="0"/>
          <w:kern w:val="0"/>
          <w:sz w:val="32"/>
          <w:szCs w:val="32"/>
        </w:rPr>
        <w:t>指单位从本级财政单位取得的财政预算资金，包括一般公共预算财政拨款、政府性基金预算财政拨款和国有资本经营预算财政拨款。</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二、事业收入：</w:t>
      </w:r>
      <w:r>
        <w:rPr>
          <w:rFonts w:ascii="仿宋_GB2312" w:eastAsia="仿宋_GB2312" w:hAnsi="仿宋_GB2312" w:cs="仿宋_GB2312"/>
          <w:spacing w:val="0"/>
          <w:kern w:val="0"/>
          <w:sz w:val="32"/>
          <w:szCs w:val="32"/>
        </w:rPr>
        <w:t>指事业单位开展专业业务活动及辅助活动所取得的收入。</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三、经营收入：</w:t>
      </w:r>
      <w:r>
        <w:rPr>
          <w:rFonts w:ascii="仿宋_GB2312" w:eastAsia="仿宋_GB2312" w:hAnsi="仿宋_GB2312" w:cs="仿宋_GB2312"/>
          <w:spacing w:val="0"/>
          <w:kern w:val="0"/>
          <w:sz w:val="32"/>
          <w:szCs w:val="32"/>
        </w:rPr>
        <w:t>指事业单位在专业业务活动及其辅助活动之外开展非独立核算经营活动取得的收入。</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四、其他收入：</w:t>
      </w:r>
      <w:r>
        <w:rPr>
          <w:rFonts w:ascii="仿宋_GB2312" w:eastAsia="仿宋_GB2312" w:hAnsi="仿宋_GB2312" w:cs="仿宋_GB2312"/>
          <w:kern w:val="0"/>
          <w:sz w:val="32"/>
          <w:szCs w:val="32"/>
        </w:rPr>
        <w:t>指除上述</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财政拨款收入</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事业收入</w:t>
      </w:r>
      <w:r>
        <w:rPr>
          <w:rFonts w:ascii="仿宋_GB2312" w:eastAsia="仿宋_GB2312" w:hAnsi="仿宋_GB2312" w:cs="仿宋_GB2312"/>
          <w:kern w:val="0"/>
          <w:sz w:val="32"/>
          <w:szCs w:val="32"/>
        </w:rPr>
        <w:t>”</w:t>
      </w:r>
      <w:r>
        <w:rPr>
          <w:rFonts w:ascii="仿宋_GB2312" w:eastAsia="仿宋_GB2312" w:hAnsi="仿宋_GB2312" w:cs="仿宋_GB2312"/>
          <w:kern w:val="0"/>
          <w:szCs w:val="21"/>
        </w:rPr>
        <w:t> </w:t>
      </w:r>
      <w:r>
        <w:rPr>
          <w:rFonts w:ascii="仿宋_GB2312" w:eastAsia="仿宋_GB2312" w:hAnsi="仿宋_GB2312" w:cs="仿宋_GB2312"/>
          <w:kern w:val="0"/>
          <w:sz w:val="32"/>
          <w:szCs w:val="32"/>
        </w:rPr>
        <w:t>“上级补助收入”“附属单位上缴收入”</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经营收入</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等以外取得的各项收入。主要是事业单位固定资产出租收入</w:t>
      </w:r>
      <w:r>
        <w:rPr>
          <w:rFonts w:ascii="仿宋_GB2312" w:eastAsia="仿宋_GB2312" w:hAnsi="仿宋_GB2312" w:cs="仿宋_GB2312"/>
          <w:kern w:val="0"/>
          <w:sz w:val="32"/>
          <w:szCs w:val="32"/>
        </w:rPr>
        <w:t>、存款利息收入</w:t>
      </w:r>
      <w:r>
        <w:rPr>
          <w:rFonts w:ascii="仿宋_GB2312" w:eastAsia="仿宋_GB2312" w:hAnsi="仿宋_GB2312" w:cs="仿宋_GB2312"/>
          <w:kern w:val="0"/>
          <w:sz w:val="32"/>
          <w:szCs w:val="32"/>
        </w:rPr>
        <w:t>等。</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五、使用非财政拨款结余（含专用结余）</w:t>
      </w:r>
      <w:r>
        <w:rPr>
          <w:rStyle w:val="15"/>
          <w:rFonts w:ascii="楷体_GB2312" w:eastAsia="楷体_GB2312" w:hAnsi="楷体_GB2312" w:cs="楷体_GB2312"/>
          <w:b/>
          <w:bCs/>
          <w:spacing w:val="0"/>
          <w:kern w:val="0"/>
          <w:sz w:val="32"/>
          <w:szCs w:val="32"/>
        </w:rPr>
        <w:t>：</w:t>
      </w:r>
      <w:r>
        <w:rPr>
          <w:rFonts w:ascii="仿宋_GB2312" w:eastAsia="仿宋_GB2312" w:hAnsi="仿宋_GB2312" w:cs="仿宋_GB2312"/>
          <w:kern w:val="0"/>
          <w:sz w:val="32"/>
          <w:szCs w:val="32"/>
        </w:rPr>
        <w:t>指事业单位</w:t>
      </w:r>
      <w:r>
        <w:rPr>
          <w:rFonts w:ascii="仿宋_GB2312" w:eastAsia="仿宋_GB2312" w:hAnsi="仿宋_GB2312" w:cs="仿宋_GB2312"/>
          <w:kern w:val="0"/>
          <w:sz w:val="32"/>
          <w:szCs w:val="32"/>
        </w:rPr>
        <w:t>按照预算管理要求</w:t>
      </w:r>
      <w:r>
        <w:rPr>
          <w:rFonts w:ascii="仿宋_GB2312" w:eastAsia="仿宋_GB2312" w:hAnsi="仿宋_GB2312" w:cs="仿宋_GB2312"/>
          <w:kern w:val="0"/>
          <w:sz w:val="32"/>
          <w:szCs w:val="32"/>
        </w:rPr>
        <w:t>使用非财政拨款结余弥补当年收支差额的金额</w:t>
      </w:r>
      <w:r>
        <w:rPr>
          <w:rFonts w:ascii="仿宋_GB2312" w:eastAsia="仿宋_GB2312" w:hAnsi="仿宋_GB2312" w:cs="仿宋_GB2312"/>
          <w:kern w:val="0"/>
          <w:sz w:val="32"/>
          <w:szCs w:val="32"/>
        </w:rPr>
        <w:t>，以及使用专用结余安排支出的金额</w:t>
      </w:r>
      <w:r>
        <w:rPr>
          <w:rFonts w:ascii="仿宋_GB2312" w:eastAsia="仿宋_GB2312" w:hAnsi="仿宋_GB2312" w:cs="仿宋_GB2312"/>
          <w:kern w:val="0"/>
          <w:sz w:val="32"/>
          <w:szCs w:val="32"/>
        </w:rPr>
        <w:t>。</w:t>
      </w:r>
    </w:p>
    <w:p>
      <w:pPr>
        <w:pStyle w:val="MsoNormal"/>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六、年初结转和结余：</w:t>
      </w:r>
      <w:r>
        <w:rPr>
          <w:rFonts w:ascii="仿宋_GB2312" w:eastAsia="仿宋_GB2312" w:hAnsi="仿宋_GB2312" w:cs="仿宋_GB2312"/>
          <w:spacing w:val="0"/>
          <w:kern w:val="0"/>
          <w:sz w:val="32"/>
          <w:szCs w:val="32"/>
        </w:rPr>
        <w:t>指单位以前年度尚未完成、结转到本年仍按原规定用途继续使用的资金，或项目已完成等产生的结余资金。</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七、结余分配：</w:t>
      </w:r>
      <w:r>
        <w:rPr>
          <w:rFonts w:ascii="仿宋_GB2312" w:eastAsia="仿宋_GB2312" w:hAnsi="仿宋_GB2312" w:cs="仿宋_GB2312"/>
          <w:spacing w:val="0"/>
          <w:kern w:val="0"/>
          <w:sz w:val="32"/>
          <w:szCs w:val="32"/>
        </w:rPr>
        <w:t>指事业单位按照会计制度规定缴纳的所得税、提取的专用结余以及转入非财政拨款结余的金额等。</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八、年末结转和结余：</w:t>
      </w:r>
      <w:r>
        <w:rPr>
          <w:rFonts w:ascii="仿宋_GB2312" w:eastAsia="仿宋_GB2312" w:hAnsi="仿宋_GB2312" w:cs="仿宋_GB2312"/>
          <w:spacing w:val="0"/>
          <w:kern w:val="0"/>
          <w:sz w:val="32"/>
          <w:szCs w:val="32"/>
        </w:rPr>
        <w:t>指单位按有关规定结转到下年或以后年度继续使用的资金，或项目已完成等产生的结余资金。</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九、基本支出：</w:t>
      </w:r>
      <w:r>
        <w:rPr>
          <w:rFonts w:ascii="仿宋_GB2312" w:eastAsia="仿宋_GB2312" w:hAnsi="仿宋_GB2312" w:cs="仿宋_GB2312"/>
          <w:spacing w:val="0"/>
          <w:kern w:val="0"/>
          <w:sz w:val="32"/>
          <w:szCs w:val="32"/>
        </w:rPr>
        <w:t>指为保障机构正常运转、完成日常工作任务而发生的人员支出和公用支出。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十、项目支出：</w:t>
      </w:r>
      <w:r>
        <w:rPr>
          <w:rFonts w:ascii="仿宋_GB2312" w:eastAsia="仿宋_GB2312" w:hAnsi="仿宋_GB2312" w:cs="仿宋_GB2312"/>
          <w:spacing w:val="0"/>
          <w:kern w:val="0"/>
          <w:sz w:val="32"/>
          <w:szCs w:val="32"/>
        </w:rPr>
        <w:t>指在基本支出之外为完成特定行政任务和事业发展目标所发生的支出。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十一、经营支出：</w:t>
      </w:r>
      <w:r>
        <w:rPr>
          <w:rFonts w:ascii="仿宋_GB2312" w:eastAsia="仿宋_GB2312" w:hAnsi="仿宋_GB2312" w:cs="仿宋_GB2312"/>
          <w:spacing w:val="0"/>
          <w:kern w:val="0"/>
          <w:sz w:val="32"/>
          <w:szCs w:val="32"/>
        </w:rPr>
        <w:t>指事业单位在专业业务活动及其辅助活动之外开展非独立核算经营活动发生的支出。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十二、“三公”经费：</w:t>
      </w:r>
      <w:r>
        <w:rPr>
          <w:rFonts w:ascii="仿宋_GB2312" w:eastAsia="仿宋_GB2312" w:hAnsi="仿宋_GB2312" w:cs="仿宋_GB2312"/>
          <w:spacing w:val="0"/>
          <w:kern w:val="0"/>
          <w:sz w:val="32"/>
          <w:szCs w:val="32"/>
        </w:rPr>
        <w:t>纳入本级财政预决算管理的“三公”经费，是指本级单位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燃料费、维修费、过桥过路费、保险费、安全奖励费用等支出；公务接待费反映单位按规定开支的各类公务接待（含外宾接待）支出。</w:t>
      </w:r>
    </w:p>
    <w:p>
      <w:pPr>
        <w:pStyle w:val="p"/>
        <w:widowControl/>
        <w:spacing w:before="100" w:after="100" w:line="560" w:lineRule="atLeast"/>
        <w:ind w:left="100" w:right="100" w:firstLine="640"/>
        <w:jc w:val="left"/>
        <w:rPr>
          <w:rFonts w:ascii="Times New Roman" w:eastAsia="Times New Roman" w:hAnsi="Times New Roman" w:cs="Times New Roman"/>
          <w:kern w:val="0"/>
          <w:sz w:val="24"/>
        </w:rPr>
      </w:pPr>
      <w:r>
        <w:rPr>
          <w:rStyle w:val="15"/>
          <w:rFonts w:ascii="楷体_GB2312" w:eastAsia="楷体_GB2312" w:hAnsi="楷体_GB2312" w:cs="楷体_GB2312"/>
          <w:b/>
          <w:bCs/>
          <w:spacing w:val="0"/>
          <w:kern w:val="0"/>
          <w:sz w:val="32"/>
          <w:szCs w:val="32"/>
        </w:rPr>
        <w:t>十三、机关运行经费：</w:t>
      </w:r>
      <w:r>
        <w:rPr>
          <w:rFonts w:ascii="仿宋_GB2312" w:eastAsia="仿宋_GB2312" w:hAnsi="仿宋_GB2312" w:cs="仿宋_GB2312"/>
          <w:kern w:val="0"/>
          <w:sz w:val="32"/>
          <w:szCs w:val="32"/>
        </w:rPr>
        <w:t>反映</w:t>
      </w:r>
      <w:r>
        <w:rPr>
          <w:rFonts w:ascii="仿宋_GB2312" w:eastAsia="仿宋_GB2312" w:hAnsi="仿宋_GB2312" w:cs="仿宋_GB2312"/>
          <w:kern w:val="0"/>
          <w:sz w:val="32"/>
          <w:szCs w:val="32"/>
        </w:rPr>
        <w:t>行政单位（含参照公务员法管理的事业单位）</w:t>
      </w:r>
      <w:r>
        <w:rPr>
          <w:rFonts w:ascii="仿宋_GB2312" w:eastAsia="仿宋_GB2312" w:hAnsi="仿宋_GB2312" w:cs="仿宋_GB2312"/>
          <w:kern w:val="0"/>
          <w:sz w:val="32"/>
          <w:szCs w:val="32"/>
        </w:rPr>
        <w:t>财政拨款基本支出中的公用经费支出</w:t>
      </w:r>
      <w:r>
        <w:rPr>
          <w:rFonts w:ascii="仿宋_GB2312" w:eastAsia="仿宋_GB2312" w:hAnsi="仿宋_GB2312" w:cs="仿宋_GB2312"/>
          <w:kern w:val="0"/>
          <w:sz w:val="32"/>
          <w:szCs w:val="32"/>
        </w:rPr>
        <w:t>，包括办公及印刷费、邮电费、差旅费、会议</w:t>
      </w:r>
      <w:r>
        <w:rPr>
          <w:rFonts w:ascii="仿宋_GB2312" w:eastAsia="仿宋_GB2312" w:hAnsi="仿宋_GB2312" w:cs="仿宋_GB2312"/>
          <w:kern w:val="0"/>
          <w:sz w:val="32"/>
          <w:szCs w:val="32"/>
        </w:rPr>
        <w:t>费、福利费、日常维修费、专用材料及一般设备购置费、办公用房水电费、办公用房取暖费、办公用房物业管理费、公务用车运行维护费以及其他费用。</w:t>
      </w:r>
    </w:p>
    <w:p>
      <w:pPr>
        <w:pStyle w:val="MsoNormal"/>
        <w:widowControl/>
        <w:spacing w:before="240" w:after="240"/>
        <w:ind w:firstLine="643"/>
        <w:jc w:val="left"/>
        <w:rPr>
          <w:rFonts w:ascii="Times New Roman" w:eastAsia="Times New Roman" w:hAnsi="Times New Roman" w:cs="Times New Roman"/>
          <w:kern w:val="0"/>
          <w:sz w:val="24"/>
        </w:rPr>
      </w:pPr>
    </w:p>
    <w:p>
      <w:pPr>
        <w:sectPr>
          <w:footerReference w:type="default" r:id="rId22"/>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MsoNormal"/>
        <w:widowControl/>
        <w:spacing w:before="240" w:after="240"/>
        <w:jc w:val="left"/>
        <w:rPr>
          <w:rFonts w:ascii="Times New Roman" w:eastAsia="Times New Roman" w:hAnsi="Times New Roman" w:cs="Times New Roman"/>
          <w:kern w:val="0"/>
          <w:sz w:val="24"/>
        </w:rPr>
      </w:pPr>
    </w:p>
    <w:p>
      <w:pPr>
        <w:pStyle w:val="Heading2"/>
        <w:keepNext w:val="0"/>
        <w:keepLines w:val="0"/>
        <w:spacing w:before="299" w:after="299" w:line="240" w:lineRule="auto"/>
        <w:ind w:firstLine="0" w:firstLineChars="0"/>
        <w:jc w:val="center"/>
        <w:rPr>
          <w:rFonts w:ascii="Times New Roman" w:eastAsia="Times New Roman" w:hAnsi="Times New Roman" w:cs="Times New Roman"/>
          <w:b/>
          <w:bCs/>
          <w:kern w:val="0"/>
          <w:sz w:val="36"/>
          <w:szCs w:val="36"/>
        </w:rPr>
      </w:pPr>
      <w:bookmarkStart w:id="151" w:name="_Toc256000025"/>
      <w:bookmarkStart w:id="152" w:name="_Toc256000051"/>
      <w:bookmarkStart w:id="153" w:name="_Toc256000077"/>
      <w:bookmarkStart w:id="154" w:name="_Toc256000103"/>
      <w:bookmarkStart w:id="155" w:name="_Toc256000129"/>
      <w:bookmarkStart w:id="156" w:name="_Toc256000155"/>
      <w:r>
        <w:rPr>
          <w:rFonts w:ascii="黑体" w:eastAsia="黑体" w:hAnsi="黑体" w:cs="黑体"/>
          <w:b w:val="0"/>
          <w:bCs w:val="0"/>
          <w:sz w:val="56"/>
          <w:szCs w:val="56"/>
        </w:rPr>
        <w:t>第五部分</w:t>
      </w:r>
      <w:r>
        <w:rPr>
          <w:rFonts w:ascii="黑体" w:eastAsia="黑体" w:hAnsi="黑体" w:cs="黑体"/>
          <w:b w:val="0"/>
          <w:bCs w:val="0"/>
          <w:sz w:val="56"/>
          <w:szCs w:val="56"/>
        </w:rPr>
        <w:br/>
      </w:r>
      <w:r>
        <w:rPr>
          <w:rFonts w:ascii="黑体" w:eastAsia="黑体" w:hAnsi="黑体" w:cs="黑体"/>
          <w:b w:val="0"/>
          <w:bCs w:val="0"/>
          <w:sz w:val="56"/>
          <w:szCs w:val="56"/>
        </w:rPr>
        <w:t>附件</w:t>
      </w:r>
      <w:bookmarkEnd w:id="156"/>
      <w:bookmarkEnd w:id="155"/>
      <w:bookmarkEnd w:id="154"/>
      <w:bookmarkEnd w:id="153"/>
      <w:bookmarkEnd w:id="152"/>
      <w:bookmarkEnd w:id="151"/>
    </w:p>
    <w:p>
      <w:pPr>
        <w:sectPr>
          <w:footerReference w:type="default" r:id="rId23"/>
          <w:type w:val="nextPage"/>
          <w:pgSz w:w="11906" w:h="16838"/>
          <w:pgMar w:right="720" w:left="720" w:header="720" w:footer="720"/>
          <w:cols w:space="720"/>
        </w:sectPr>
      </w:pPr>
    </w:p>
    <w:p>
      <w:pPr>
        <w:widowControl/>
        <w:spacing w:before="240" w:after="240"/>
        <w:jc w:val="left"/>
        <w:rPr>
          <w:rFonts w:ascii="Times New Roman" w:eastAsia="Times New Roman" w:hAnsi="Times New Roman" w:cs="Times New Roman"/>
          <w:vanish/>
          <w:kern w:val="0"/>
          <w:sz w:val="24"/>
        </w:rPr>
      </w:pPr>
      <w:r>
        <w:rPr>
          <w:rFonts w:ascii="Times New Roman" w:eastAsia="Times New Roman" w:hAnsi="Times New Roman" w:cs="Times New Roman"/>
          <w:vanish/>
          <w:kern w:val="0"/>
          <w:sz w:val="24"/>
        </w:rPr>
        <w:t>word page break</w:t>
      </w:r>
    </w:p>
    <w:p>
      <w:pPr>
        <w:pStyle w:val="MsoNormal"/>
        <w:widowControl/>
        <w:spacing w:before="240" w:after="240" w:line="560" w:lineRule="atLeast"/>
        <w:ind w:firstLine="640"/>
        <w:jc w:val="left"/>
        <w:rPr>
          <w:rFonts w:ascii="Times New Roman" w:eastAsia="Times New Roman" w:hAnsi="Times New Roman" w:cs="Times New Roman"/>
          <w:kern w:val="0"/>
          <w:sz w:val="24"/>
        </w:rPr>
      </w:pPr>
      <w:r>
        <w:rPr>
          <w:rFonts w:ascii="黑体" w:eastAsia="黑体" w:hAnsi="黑体" w:cs="黑体"/>
          <w:kern w:val="0"/>
          <w:sz w:val="32"/>
          <w:szCs w:val="32"/>
        </w:rPr>
        <w:t>《项目支出绩效自评表》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b/>
          <w:bCs/>
          <w:kern w:val="0"/>
          <w:sz w:val="32"/>
          <w:szCs w:val="32"/>
        </w:rPr>
        <w:t>项目支出绩效自评表</w:t>
      </w:r>
    </w:p>
    <w:p>
      <w:pPr>
        <w:pStyle w:val="MsoNormal"/>
        <w:widowControl/>
        <w:spacing w:before="240" w:after="240"/>
        <w:jc w:val="center"/>
        <w:rPr>
          <w:rFonts w:ascii="Times New Roman" w:eastAsia="Times New Roman" w:hAnsi="Times New Roman" w:cs="Times New Roman"/>
          <w:kern w:val="0"/>
          <w:sz w:val="24"/>
        </w:rPr>
      </w:pPr>
      <w:r>
        <w:rPr>
          <w:rFonts w:ascii="宋体" w:hAnsi="宋体" w:cs="宋体"/>
          <w:kern w:val="0"/>
          <w:sz w:val="22"/>
          <w:szCs w:val="22"/>
        </w:rPr>
        <w:t>（2024</w:t>
      </w:r>
      <w:r>
        <w:rPr>
          <w:rFonts w:ascii="宋体" w:hAnsi="宋体" w:cs="宋体"/>
          <w:kern w:val="0"/>
          <w:sz w:val="22"/>
          <w:szCs w:val="22"/>
        </w:rPr>
        <w:t>年度）</w:t>
      </w:r>
    </w:p>
    <w:p/>
    <w:tbl>
      <w:tblPr>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834"/>
        <w:gridCol w:w="834"/>
        <w:gridCol w:w="834"/>
        <w:gridCol w:w="834"/>
        <w:gridCol w:w="833"/>
        <w:gridCol w:w="833"/>
        <w:gridCol w:w="833"/>
        <w:gridCol w:w="833"/>
        <w:gridCol w:w="833"/>
        <w:gridCol w:w="833"/>
        <w:gridCol w:w="833"/>
        <w:gridCol w:w="833"/>
      </w:tblGrid>
      <w:tr>
        <w:tblPrEx>
          <w:tblW w:w="10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黑体" w:eastAsia="黑体" w:hAnsi="黑体" w:cs="黑体"/>
                <w:b w:val="0"/>
                <w:sz w:val="32"/>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sz w:val="24"/>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sz w:val="24"/>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sz w:val="24"/>
              </w:rPr>
              <w:t>2023年第二批道路交通安全隐患治理市级补助资金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茶地镇辖区公路平叉路口“四必上”安全防护建设设施工程（26处）</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公路口醒目标记</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完善农村基础设施建设，消除道路交通安全隐患，建设平安茶地。</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道路、人行道畅通率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2023年农村住房灾后重建市级补助资金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主要用于农村住房灾后重建，帮助受灾群众渡过难关。</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用于农村住房灾后重建，帮助受灾群众渡过难关</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主要用于农村住房灾后重建，帮助受灾群众渡过难关。</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受益群众人数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≥8户</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≥8户</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2024年第二批中央水利救灾资金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茶地镇护岸水毁修复工程</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茶地镇护岸水毁得以修复</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66.80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66.81</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该资金用于茶地镇竹马、茶地、翁基、樟树、下连科等村护岸损毁5处约420米，保障河道行洪安全</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正在实施及结算</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堤防（护岸）水毁修复数量</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=1处</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工程验收合格率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保障防洪工程安全度汛</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保障居民社会生活平稳</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促进地区生态和谐发展</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2024年第一、二批村主干储备人才相关经费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2024年村储备人才经费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村主干储备人才工资</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3.84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94.35</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4.07</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3.84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94.35</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村主干储备人才经费发放到位</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正在发放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未违规</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2024年革命老区项目（第一批）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将对集贸市场周边环境进行整治，统一店招，集镇市场周边三线下地，排水沟改造300米，铺设污水管280米，周边道路白改黑350米，沿街简易搭盖摊位整治。</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提高集镇品味及周边群众舒适感</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项目建成后，提高集镇品味及周边群众满意感、舒适感。</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2024年乡村振兴大专项（涉农项目整合）资金（提高干部基本报酬市级奖补资金）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提高村干部基本报酬</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2024年乡村振兴大专项资金及时到位</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2024年中央农业防灾减灾和水利救灾资金（防灾救灾第七批）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农业防灾减灾和水利救灾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191.35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89.00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191.35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89.00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防灾救灾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12</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9.23</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96.23</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茶地镇民政服务设施灾后修复</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所有受灾民政设施得到修复</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56.14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93.57</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56.14</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93.57</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民政服务设施灾后修复</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茶地镇农贸市场提升改造</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将对农贸市场周边环境进行整治，统一店招、集镇市场周边三线下地，排水沟改造300米，铺设污水管280米，周边道路白改黑350米，沿街简易搭盖摊位整治。</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农贸市场得以提升改造</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改善茶地村农贸市场设施</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受益人口</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关于调整2024年度中央水污染防治资金的通知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河湖生态缓冲带：新建河湖生态缓冲带5578㎡（8.37亩），下河台阶2处，其中1#河湖生态缓冲带2650㎡，2#河湖生态缓冲带613㎡，3#河湖生态缓冲带1053㎡，4#河湖生态缓冲带1122㎡,5#河湖生态缓冲带140㎡。（2）生态沟渠：新建河生态沟渠42m，其中1#生态沟渠20m，2#生态沟渠22m。（3）砖砌三格化粪池：1座。（4）高光谱水质监测：1座。</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黄潭河水污染得到治理</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64.36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31.86</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64.36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31.86</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从根本上改善水质情况及流域生态环境，提升河流水质、生态多样性、河岸安全性，亲水性，实现“水清、岸绿、生态、安全、动植物共和谐”总体目标</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成本控制率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水质提升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≥9000人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各村救灾资金合计36万元，灾后房屋隐患消除64万元。</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受灾群众恢复正常生产生活</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用于灾后重建工作，尽快恢复辖区正常生产生活秩序。</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龙财发指[2024]19号2024年省级自然灾害救灾资金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自然灾害救灾资金</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自然灾害救灾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经济损失挽回率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龙财发指[2024]20号2024年中央自然灾害救灾资金（第二批地质灾害救灾补助）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自然灾害造成道路毁损救灾等</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中央自然灾害救灾资金及时发放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龙财发指[2024]21号2024年中央自然灾害救灾资金（第二批洪涝灾害救灾补助）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让灾后重建户重建家园</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233.00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233.00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233.00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233.00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中央自然灾害救灾资金及时发放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市公安局下达2023年度乡村振兴工作帮扶经费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用于龙岩市公安局挂钩驻点帮扶的上杭县茶地镇樟树村发展生产、改善文化设施。</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发展樟树村生产、改善文化设施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用于樟树村发展生产改善设施，建设美丽乡村。</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成本控制率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绿色产业要求</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提前下达2024年度中央财政衔接推进乡村振兴补助资金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发展生产稳定增收。</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用于推进乡村振兴，发展生产稳定赠收</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22.00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发展生产稳定增收</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农户收入增长率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≥431人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431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下达茶地镇2023年度农村公益事业财政奖补资金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都已竣工验收。</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用于农村公益事业奖补，增强农村公益事业</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增强农村公益事业</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下达茶地镇2023年农村道路等农村小型公益设施补助资金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调和村农耕道路拓宽</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调和村农耕道路得到拓宽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改善调和村道路</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乡镇救灾资金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用于恢复受灾群众生产生活</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乡镇救灾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灾后恢复重建2024年省级预算内投资资金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修复农村饮水工程供水管网2.1千米，过滤池3座，清水池2座。修复堤防130米、挡土墙0.9千米、排洪沟290米，边坡治理1200平方米，清理淤泥1.6万立方米。</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修复灾后基础设施，恢复受灾群众生产生活</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148.62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74.31</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148.62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74.31</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用于基础设施和公共服务设施等的灾后恢复重建，恢复辖区内正常生产生活秩序。</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补助资金到位率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≥9000人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90000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项目完成率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2023年冬春临时生活困难救助资金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主要用于冬春期间受灾困难群众生活补助，帮助其渡过难关。</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主要用于冬春期间受灾群众生活补助，帮助其渡过难关</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3.56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主要用于冬春期间受灾困难群众生活救助，帮助其渡过难关。</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≥47人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47</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社会公众满意度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≥47人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47</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2023年中央农业生态资源保护资金（秸秆综合利用）</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2023年中央农业生态资源保护资金（秸秆综合利用）</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灾后农业设施得到修复</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保护农业生态资源</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2024年第一二批农村公益事业财政奖补资金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2024年第一二批农村公益事业财政奖补资金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用于提升农村公益事业建设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农村公益事业财政奖补，发展农村公益事业</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2024年河道保洁员工资补助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2024年河道保洁员工资补助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2024年河道保洁员工资补助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河道保洁员工资补助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2024年河道专管员工资补助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2024年河道专管员工资补助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用于2024年河道专管员工资补助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河道专管员工资</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已发放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2024年龙岩市农村道路客运和城市公共交通省级</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2024年龙岩市农村道路客运和城市公共交通省级</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农村客运方便农民</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对农村道路客运的补助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2024年农村公路灾毁重建项目省级补助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2024年农村公路灾毁重建项目省级补助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用于公路灾毁重建项目补助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17.42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17.42</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农村公路灾毁重建项目补助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2024年稳定粮食生产等特色现代农业发展专项资金（山垅田复垦复耕种粮）</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2024年稳定粮食生产等特色现代农业发展专项资金（山垅田复垦复耕种粮）</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提升山垅田复垦耕种</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12.39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12.39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12.39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12.39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发展现代农业</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2024年自然灾害救灾市级补助资金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开展应急救援、受灾群众救助及灾后重建等工作。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受灾群众得到了救助，灾后重建</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用于开展应急救援、受灾群众救助及灾后重建等工作，恢复正常生产生活秩序。</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资金下达及时率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绿色发展要求</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≥90%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暴雨洪涝和台风灾害灾后应急恢复2024年中央基建投资预算</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暴雨洪涝灾害后基础设施得到修复</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72.05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60.04</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72.05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60.05</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恢复对暴雨洪涝和台风灾害的建设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已结算</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干部周转房建设补助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卫生间改造、墙壁刷新、线路维修、门窗及窗帘换新，一楼地板铺设地砖、床铺配置等。</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改善基层干部住宿条件</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16.79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16.79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积极完善乡镇机关“五小”设施建设，改善干部职工的工作生活环境，切实保证干部职工能够在茶地安心、安身、安业。</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绿色发展要求</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职工满意率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≥25人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工程验收合格率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项目完工及时率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关于下达2023年度汀江流域广东省生态补偿资金和2024年度汀江流域省级生态补偿资金（第二批）的通知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用于汀江流域水环境综合整治方面等工作，进一步提升汀江—韩江流域水环境质量。</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提升整体环境</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2.46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2.46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2.46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2.46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进一步提升汀江—韩江流域水环境质量</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生态效益指标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绿色产业要求</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≥85%</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受惠人数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≥2456人</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2456</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工程验收合格率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关于下达2024年第二批中央水污染防治资金预算的通知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水环境污染得到治理</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607.00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607.00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水污染治理，水环境得到治理</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关于下达持续强降雨受灾地区恢复重建补助资金的通知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持续强降雨受灾地区恢复重建</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恢复受灾地区重建</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恢复灾后重建</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龙财发指〔2024〕21号2024年中央自然灾害救灾资金（第二批洪涝灾害救灾补助）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用于补助受灾户资金，帮助受灾户恢复生产生活</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50.90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自然灾害救灾资金</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龙财发指〔2024〕39号2024年农村住房灾后重建市级补助资金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龙财发指〔2024〕39号2024年农村住房灾后重建市级补助资金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让受灾群众重建家园</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农村住房灾后重建市级补助，减少受灾户经济损失</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提前下达2024年中央农业经营主体能力提升资金（基层农技推广体系改革与建设补助）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提前下达2024年中央农业经营主体能力提升资金（基层农技推广体系改革与建设补助）</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提升基层农技推广体系改革与建设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0.65</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提升基层农技推广</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下达2024年稳定粮食生产等特色现代农业发展专项资金（农作物品种试验鉴定示范）</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下达2024年稳定粮食生产等特色现代农业发展专项资金（农作物品种试验鉴定示范）</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用于2024年农作物品种试验鉴定示范经费</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提升农作物品种稳定粮食生产</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转下达2024年省级水利专项资金（河道专管员）</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用于2024年河道管员补助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3.36</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河道专管员资金</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已发放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“四好”农村公路补助资金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提升四好农村公路基础设施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“四好农村公路补助”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2023年度新型职业农民贷款贴息补助资金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2023年度新型职业农民贷款贴息补助资金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新型农民贷款贴息补助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职业新型农民贷款贴息</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2024年车辆购置税用于农村公路建设项目以奖代补资金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补助下科村水口桥建设资金</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20.10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车辆购置税奖补农村公路建设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2024年度“四好农村路”（第二批）补助资金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2024年度“四好农村路”（第二批）补助资金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修复受灾四好农村公路</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提升四好农村路</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2024年基层综治维稳工作经费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2024年基层综治维稳工作经费</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补助基层综治维稳经费</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提升基层综治维稳</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2024年市级河道专管员奖补资金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用于2024年市级河道专管员补助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河道专管员奖补</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河长制工作知晓率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河长制工作知晓率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2024年特色现代农业发展专项（品牌农业建设）资金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2024年特色现代农业发展专项（品牌农业建设）资金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用于品牌农业建设资金</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3.00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提升现代特色农业，发展品牌农业</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br/>
            </w:r>
            <w:r>
              <w:rPr>
                <w:rFonts w:ascii="宋体" w:eastAsia="宋体" w:hAnsi="宋体" w:cs="宋体"/>
                <w:b w:val="0"/>
                <w:sz w:val="21"/>
              </w:rPr>
              <w:br/>
            </w:r>
            <w:r>
              <w:rPr>
                <w:rFonts w:ascii="宋体" w:eastAsia="宋体" w:hAnsi="宋体" w:cs="宋体"/>
                <w:b w:val="0"/>
                <w:sz w:val="21"/>
              </w:rPr>
              <w:t>％</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2024年灾毁耕地复垦复耕补助资金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用于灾毁耕地复垦补助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95.29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95.29</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对灾毁耕地复耕复垦补助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补助资金发放的合规率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茶地镇2023年农业生产发展及基础设施项目建设资金5万</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提升久泰村2023年农业生产及基础设施建设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发展农业生产及基础设施</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存量资金安排的救灾资金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存量资金安排的救灾资金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灾后重建县级补助资金</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4.50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重建户缺口资金</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关于调整2021年度汀江流域广东省生态补偿资金的通知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关于调整2021年度汀江流域广东省生态补偿资金的通知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持续推进实施汀-韩江跨省流域上下游横向生态补偿机制‘促进流域水质逐步提高’</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关于下达2024年基础设施建设补助资金的通知</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提升基层基础设施建设</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0.40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0.08</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0.40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完善基础设施建设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正在实施</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闽财建指〔2024〕132号2024年自然灾害救灾资金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闽财建指〔2024〕132号2024年自然灾害救灾资金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用于2024年自然灾害导致房屋受灾救助</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8.60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自然灾害救灾</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提前下达2024年动植物疫病防控与农产品质量安全专项资金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提前下达2024年动植物疫病防控与农产品质量安全专项资金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用于2024年动植物疫病防控与农产品质量安全</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1.20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提升动植物检疫防控与农产品质量安全</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资金到位及时率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转下达2024年小型水库移民扶助基金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用于竹马村基础设施提升工程</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15.00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60.00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竹马村屋场里水库安全鉴定及资金扶助</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专项资金绩效自评表</w:t>
            </w:r>
          </w:p>
        </w:tc>
      </w:tr>
      <w:tr>
        <w:tblPrEx>
          <w:tblW w:w="10000" w:type="dxa"/>
          <w:tblLayout w:type="fixed"/>
          <w:tblCellMar>
            <w:top w:w="0" w:type="dxa"/>
            <w:left w:w="108" w:type="dxa"/>
            <w:bottom w:w="0" w:type="dxa"/>
            <w:right w:w="108" w:type="dxa"/>
          </w:tblCellMar>
        </w:tblPrEx>
        <w:trPr>
          <w:cantSplit/>
          <w:tblHeader/>
        </w:trPr>
        <w:tc>
          <w:tcPr>
            <w:tcW w:w="833" w:type="dxa"/>
            <w:gridSpan w:val="1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（2024年度）</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专项名称</w:t>
            </w:r>
          </w:p>
        </w:tc>
        <w:tc>
          <w:tcPr>
            <w:tcW w:w="833" w:type="dxa"/>
            <w:gridSpan w:val="9"/>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主管部门</w:t>
            </w:r>
          </w:p>
        </w:tc>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实施单位</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上杭县茶地镇人民政府</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项目概况</w:t>
            </w:r>
          </w:p>
        </w:tc>
        <w:tc>
          <w:tcPr>
            <w:tcW w:w="833" w:type="dxa"/>
            <w:gridSpan w:val="9"/>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自然灾害救灾资金</w:t>
            </w:r>
          </w:p>
        </w:tc>
      </w:tr>
      <w:tr>
        <w:tblPrEx>
          <w:tblW w:w="10000" w:type="dxa"/>
          <w:tblLayout w:type="fixed"/>
          <w:tblCellMar>
            <w:top w:w="0" w:type="dxa"/>
            <w:left w:w="108" w:type="dxa"/>
            <w:bottom w:w="0" w:type="dxa"/>
            <w:right w:w="108" w:type="dxa"/>
          </w:tblCellMar>
        </w:tblPrEx>
        <w:trPr>
          <w:cantSplit/>
          <w:tblHeader/>
        </w:trPr>
        <w:tc>
          <w:tcPr>
            <w:tcW w:w="833" w:type="dxa"/>
            <w:gridSpan w:val="3"/>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主要成效</w:t>
            </w:r>
          </w:p>
        </w:tc>
        <w:tc>
          <w:tcPr>
            <w:tcW w:w="833" w:type="dxa"/>
            <w:gridSpan w:val="9"/>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项目资金(万元)</w:t>
            </w:r>
          </w:p>
        </w:tc>
        <w:tc>
          <w:tcPr>
            <w:tcW w:w="833" w:type="dxa"/>
            <w:gridSpan w:val="2"/>
            <w:tcMar>
              <w:left w:w="108" w:type="dxa"/>
              <w:right w:w="108" w:type="dxa"/>
            </w:tcMar>
            <w:vAlign w:val="center"/>
          </w:tcPr>
          <w:p>
            <w:pPr>
              <w:spacing w:before="0" w:after="0" w:line="240" w:lineRule="auto"/>
              <w:jc w:val="center"/>
              <w:textAlignment w:val="center"/>
            </w:pP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年初预算数</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全年预算数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全年执行数</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分值</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执行率（%）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得分</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年度资金总额</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其中：当年财政拨款</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70.00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其他资金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上年结转资金</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0.00</w:t>
            </w:r>
          </w:p>
        </w:tc>
        <w:tc>
          <w:tcPr>
            <w:tcW w:w="833" w:type="dxa"/>
            <w:gridSpan w:val="2"/>
            <w:tcMar>
              <w:left w:w="108" w:type="dxa"/>
              <w:right w:w="108" w:type="dxa"/>
            </w:tcMar>
            <w:vAlign w:val="center"/>
          </w:tcPr>
          <w:p>
            <w:pPr>
              <w:spacing w:before="0" w:after="0" w:line="240" w:lineRule="auto"/>
              <w:jc w:val="center"/>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年度总体目标</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预期目标</w:t>
            </w:r>
          </w:p>
        </w:tc>
        <w:tc>
          <w:tcPr>
            <w:tcW w:w="833" w:type="dxa"/>
            <w:gridSpan w:val="6"/>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实际完成情况</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gridSpan w:val="5"/>
            <w:tcMar>
              <w:left w:w="108" w:type="dxa"/>
              <w:right w:w="108" w:type="dxa"/>
            </w:tcMar>
            <w:vAlign w:val="bottom"/>
          </w:tcPr>
          <w:p>
            <w:pPr>
              <w:spacing w:before="0" w:after="0" w:line="240" w:lineRule="auto"/>
              <w:jc w:val="left"/>
              <w:textAlignment w:val="center"/>
            </w:pPr>
            <w:r>
              <w:rPr>
                <w:rFonts w:ascii="宋体" w:eastAsia="宋体" w:hAnsi="宋体" w:cs="宋体"/>
                <w:b w:val="0"/>
                <w:sz w:val="21"/>
              </w:rPr>
              <w:t>自然灾害救灾，减少人民群众财产损失’’</w:t>
            </w:r>
          </w:p>
        </w:tc>
        <w:tc>
          <w:tcPr>
            <w:tcW w:w="833" w:type="dxa"/>
            <w:gridSpan w:val="6"/>
            <w:tcMar>
              <w:left w:w="108" w:type="dxa"/>
              <w:right w:w="108" w:type="dxa"/>
            </w:tcMar>
            <w:vAlign w:val="bottom"/>
          </w:tcPr>
          <w:p>
            <w:pPr>
              <w:spacing w:before="0" w:after="0" w:line="240" w:lineRule="auto"/>
              <w:jc w:val="left"/>
              <w:textAlignment w:val="center"/>
            </w:pPr>
            <w:r>
              <w:rPr>
                <w:rFonts w:ascii="宋体" w:eastAsia="宋体" w:hAnsi="宋体" w:cs="宋体"/>
                <w:b w:val="0"/>
                <w:sz w:val="21"/>
              </w:rPr>
              <w:t>已完成</w:t>
            </w:r>
          </w:p>
        </w:tc>
      </w:tr>
      <w:tr>
        <w:tblPrEx>
          <w:tblW w:w="10000" w:type="dxa"/>
          <w:tblLayout w:type="fixed"/>
          <w:tblCellMar>
            <w:top w:w="0" w:type="dxa"/>
            <w:left w:w="108" w:type="dxa"/>
            <w:bottom w:w="0" w:type="dxa"/>
            <w:right w:w="108" w:type="dxa"/>
          </w:tblCellMar>
        </w:tblPrEx>
        <w:trPr>
          <w:cantSplit/>
          <w:tblHeader/>
        </w:trPr>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绩效</w:t>
              <w:br/>
            </w:r>
            <w:r>
              <w:rPr>
                <w:rFonts w:ascii="宋体" w:eastAsia="宋体" w:hAnsi="宋体" w:cs="宋体"/>
                <w:b w:val="0"/>
                <w:sz w:val="21"/>
              </w:rPr>
              <w:t>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一级指标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二级指标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三级指标</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年度指标值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实际完成值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指标分值</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自评得分</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偏差原因分析及改进措施</w:t>
            </w: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vMerge w:val="restart"/>
            <w:tcMar>
              <w:left w:w="108" w:type="dxa"/>
              <w:right w:w="108" w:type="dxa"/>
            </w:tcMar>
            <w:vAlign w:val="center"/>
          </w:tcPr>
          <w:p>
            <w:pPr>
              <w:spacing w:before="0" w:after="0" w:line="240" w:lineRule="auto"/>
              <w:jc w:val="left"/>
              <w:textAlignment w:val="center"/>
            </w:pPr>
            <w:r>
              <w:rPr>
                <w:rFonts w:ascii="宋体" w:eastAsia="宋体" w:hAnsi="宋体" w:cs="宋体"/>
                <w:b w:val="0"/>
                <w:sz w:val="21"/>
              </w:rPr>
              <w:t>产出指标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数量指标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受惠村数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≥13村</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13</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质量指标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资金使用合规性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时效指标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资金发放的及时性</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20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成本指标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经济成本指标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资金实际支出率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效益指标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社会效益指标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资金使用重大违规违纪问题个数</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=0个</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30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0" w:type="dxa"/>
            <w:vMerge/>
            <w:tcMar>
              <w:left w:w="108" w:type="dxa"/>
              <w:right w:w="108" w:type="dxa"/>
            </w:tcMar>
          </w:tcP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满意度指标</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服务对象满意度指标</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群众满意度</w:t>
            </w:r>
          </w:p>
        </w:tc>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tcMar>
              <w:left w:w="108" w:type="dxa"/>
              <w:right w:w="108" w:type="dxa"/>
            </w:tcMar>
            <w:vAlign w:val="center"/>
          </w:tcPr>
          <w:p>
            <w:pPr>
              <w:spacing w:before="0" w:after="0" w:line="240" w:lineRule="auto"/>
              <w:jc w:val="left"/>
              <w:textAlignment w:val="center"/>
            </w:pPr>
            <w:r>
              <w:rPr>
                <w:rFonts w:ascii="宋体" w:eastAsia="宋体" w:hAnsi="宋体" w:cs="宋体"/>
                <w:b w:val="0"/>
                <w:sz w:val="21"/>
              </w:rPr>
              <w:t>10</w:t>
            </w:r>
          </w:p>
        </w:tc>
        <w:tc>
          <w:tcPr>
            <w:tcW w:w="833" w:type="dxa"/>
            <w:gridSpan w:val="2"/>
            <w:tcMar>
              <w:left w:w="108" w:type="dxa"/>
              <w:right w:w="108" w:type="dxa"/>
            </w:tcMar>
            <w:vAlign w:val="center"/>
          </w:tcPr>
          <w:p>
            <w:pPr>
              <w:spacing w:before="0" w:after="0" w:line="240" w:lineRule="auto"/>
              <w:jc w:val="left"/>
              <w:textAlignment w:val="center"/>
            </w:pPr>
          </w:p>
        </w:tc>
      </w:tr>
      <w:tr>
        <w:tblPrEx>
          <w:tblW w:w="10000" w:type="dxa"/>
          <w:tblLayout w:type="fixed"/>
          <w:tblCellMar>
            <w:top w:w="0" w:type="dxa"/>
            <w:left w:w="108" w:type="dxa"/>
            <w:bottom w:w="0" w:type="dxa"/>
            <w:right w:w="108" w:type="dxa"/>
          </w:tblCellMar>
        </w:tblPrEx>
        <w:trPr>
          <w:cantSplit/>
          <w:tblHeader/>
        </w:trPr>
        <w:tc>
          <w:tcPr>
            <w:tcW w:w="833" w:type="dxa"/>
            <w:gridSpan w:val="7"/>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总分值、评价总分 (S)</w:t>
            </w:r>
          </w:p>
        </w:tc>
        <w:tc>
          <w:tcPr>
            <w:tcW w:w="833" w:type="dxa"/>
            <w:gridSpan w:val="5"/>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 xml:space="preserve">评价等级 </w:t>
            </w:r>
          </w:p>
        </w:tc>
        <w:tc>
          <w:tcPr>
            <w:tcW w:w="833" w:type="dxa"/>
            <w:gridSpan w:val="10"/>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优（S≧90）</w:t>
            </w:r>
          </w:p>
        </w:tc>
      </w:tr>
      <w:tr>
        <w:tblPrEx>
          <w:tblW w:w="10000" w:type="dxa"/>
          <w:tblLayout w:type="fixed"/>
          <w:tblCellMar>
            <w:top w:w="0" w:type="dxa"/>
            <w:left w:w="108" w:type="dxa"/>
            <w:bottom w:w="0" w:type="dxa"/>
            <w:right w:w="108" w:type="dxa"/>
          </w:tblCellMar>
        </w:tblPrEx>
        <w:trPr>
          <w:cantSplit/>
          <w:tblHeader/>
        </w:trPr>
        <w:tc>
          <w:tcPr>
            <w:tcW w:w="833" w:type="dxa"/>
            <w:gridSpan w:val="2"/>
            <w:tcMar>
              <w:left w:w="108" w:type="dxa"/>
              <w:right w:w="108" w:type="dxa"/>
            </w:tcMar>
            <w:vAlign w:val="center"/>
          </w:tcPr>
          <w:p>
            <w:pPr>
              <w:spacing w:before="0" w:after="0" w:line="240" w:lineRule="auto"/>
              <w:jc w:val="left"/>
              <w:textAlignment w:val="center"/>
            </w:pPr>
            <w:r>
              <w:rPr>
                <w:rFonts w:ascii="宋体" w:eastAsia="宋体" w:hAnsi="宋体" w:cs="宋体"/>
                <w:b w:val="0"/>
                <w:color w:val="000000"/>
                <w:sz w:val="21"/>
              </w:rPr>
              <w:t>问题与建议（每条问题和建议不少于30个字）</w:t>
            </w:r>
          </w:p>
        </w:tc>
        <w:tc>
          <w:tcPr>
            <w:tcW w:w="833" w:type="dxa"/>
            <w:gridSpan w:val="2"/>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问题类型</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存在问题</w:t>
            </w:r>
          </w:p>
        </w:tc>
        <w:tc>
          <w:tcPr>
            <w:tcW w:w="833" w:type="dxa"/>
            <w:gridSpan w:val="4"/>
            <w:tcMar>
              <w:left w:w="108" w:type="dxa"/>
              <w:right w:w="108" w:type="dxa"/>
            </w:tcMar>
            <w:vAlign w:val="center"/>
          </w:tcPr>
          <w:p>
            <w:pPr>
              <w:spacing w:before="0" w:after="0" w:line="240" w:lineRule="auto"/>
              <w:jc w:val="center"/>
              <w:textAlignment w:val="center"/>
            </w:pPr>
            <w:r>
              <w:rPr>
                <w:rFonts w:ascii="宋体" w:eastAsia="宋体" w:hAnsi="宋体" w:cs="宋体"/>
                <w:b w:val="0"/>
                <w:sz w:val="21"/>
              </w:rPr>
              <w:t>改进建议</w:t>
            </w:r>
          </w:p>
        </w:tc>
      </w:tr>
      <w:tr>
        <w:tblPrEx>
          <w:tblW w:w="10000" w:type="dxa"/>
          <w:tblLayout w:type="fixed"/>
          <w:tblCellMar>
            <w:top w:w="0" w:type="dxa"/>
            <w:left w:w="108" w:type="dxa"/>
            <w:bottom w:w="0" w:type="dxa"/>
            <w:right w:w="108" w:type="dxa"/>
          </w:tblCellMar>
        </w:tblPrEx>
        <w:trPr>
          <w:cantSplit/>
          <w:tblHeader/>
        </w:trPr>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c>
          <w:tcPr>
            <w:tcW w:w="833" w:type="dxa"/>
            <w:tcMar>
              <w:left w:w="108" w:type="dxa"/>
              <w:right w:w="108" w:type="dxa"/>
            </w:tcMar>
            <w:vAlign w:val="center"/>
          </w:tcPr>
          <w:p>
            <w:pPr>
              <w:spacing w:before="0" w:after="0" w:line="240" w:lineRule="auto"/>
              <w:jc w:val="left"/>
              <w:textAlignment w:val="center"/>
            </w:pPr>
          </w:p>
        </w:tc>
      </w:tr>
    </w:tbl>
    <w:p/>
    <w:p>
      <w:pPr>
        <w:pStyle w:val="MsoNormal"/>
        <w:widowControl/>
        <w:spacing w:before="240" w:after="240" w:line="560" w:lineRule="atLeast"/>
        <w:ind w:firstLine="640"/>
        <w:jc w:val="left"/>
        <w:rPr>
          <w:rFonts w:ascii="Times New Roman" w:eastAsia="Times New Roman" w:hAnsi="Times New Roman" w:cs="Times New Roman"/>
          <w:kern w:val="0"/>
          <w:sz w:val="24"/>
        </w:rPr>
      </w:pPr>
    </w:p>
    <w:p>
      <w:pPr>
        <w:keepNext w:val="0"/>
        <w:keepLines w:val="0"/>
        <w:pageBreakBefore w:val="0"/>
        <w:widowControl w:val="0"/>
        <w:tabs>
          <w:tab w:val="left" w:pos="8415"/>
        </w:tabs>
        <w:kinsoku/>
        <w:wordWrap/>
        <w:overflowPunct/>
        <w:topLinePunct w:val="0"/>
        <w:autoSpaceDE/>
        <w:autoSpaceDN/>
        <w:bidi w:val="0"/>
        <w:adjustRightInd/>
        <w:snapToGrid/>
        <w:textAlignment w:val="auto"/>
      </w:pPr>
      <w:bookmarkEnd w:id="0"/>
    </w:p>
    <w:sectPr>
      <w:footerReference w:type="default" r:id="rId24"/>
      <w:pgSz w:w="11906" w:h="16838"/>
      <w:pgMar w:top="1984" w:right="1083" w:bottom="1984" w:left="1083" w:header="0" w:footer="720" w:gutter="0"/>
      <w:cols w:num="1" w:space="0"/>
      <w:titlePg w:val="0"/>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26</w:t>
    </w:r>
    <w:r>
      <w:rPr>
        <w:rFonts w:ascii="宋体" w:eastAsia="宋体" w:hAnsi="宋体" w:cs="宋体"/>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29</w:t>
    </w:r>
    <w:r>
      <w:rPr>
        <w:rFonts w:ascii="宋体" w:eastAsia="宋体" w:hAnsi="宋体" w:cs="宋体"/>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30</w:t>
    </w:r>
    <w:r>
      <w:rPr>
        <w:rFonts w:ascii="宋体" w:eastAsia="宋体" w:hAnsi="宋体" w:cs="宋体"/>
        <w:sz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31</w:t>
    </w:r>
    <w:r>
      <w:rPr>
        <w:rFonts w:ascii="宋体" w:eastAsia="宋体" w:hAnsi="宋体" w:cs="宋体"/>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32</w:t>
    </w:r>
    <w:r>
      <w:rPr>
        <w:rFonts w:ascii="宋体" w:eastAsia="宋体" w:hAnsi="宋体" w:cs="宋体"/>
        <w:sz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33</w:t>
    </w:r>
    <w:r>
      <w:rPr>
        <w:rFonts w:ascii="宋体" w:eastAsia="宋体" w:hAnsi="宋体" w:cs="宋体"/>
        <w:sz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40</w:t>
    </w:r>
    <w:r>
      <w:rPr>
        <w:rFonts w:ascii="宋体" w:eastAsia="宋体" w:hAnsi="宋体" w:cs="宋体"/>
        <w:sz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41</w:t>
    </w:r>
    <w:r>
      <w:rPr>
        <w:rFonts w:ascii="宋体" w:eastAsia="宋体" w:hAnsi="宋体" w:cs="宋体"/>
        <w:sz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43</w:t>
    </w:r>
    <w:r>
      <w:rPr>
        <w:rFonts w:ascii="宋体" w:eastAsia="宋体" w:hAnsi="宋体" w:cs="宋体"/>
        <w:sz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44</w:t>
    </w:r>
    <w:r>
      <w:rPr>
        <w:rFonts w:ascii="宋体" w:eastAsia="宋体" w:hAnsi="宋体" w:cs="宋体"/>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w:t>
    </w:r>
    <w:r>
      <w:rPr>
        <w:rFonts w:ascii="宋体" w:eastAsia="宋体" w:hAnsi="宋体" w:cs="宋体"/>
        <w:sz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108</w:t>
    </w:r>
    <w:r>
      <w:rPr>
        <w:rFonts w:ascii="宋体" w:eastAsia="宋体" w:hAnsi="宋体" w:cs="宋体"/>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w:t>
    </w:r>
    <w:r>
      <w:rPr>
        <w:rFonts w:ascii="宋体" w:eastAsia="宋体" w:hAnsi="宋体" w:cs="宋体"/>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8</w:t>
    </w:r>
    <w:r>
      <w:rPr>
        <w:rFonts w:ascii="宋体" w:eastAsia="宋体" w:hAnsi="宋体" w:cs="宋体"/>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9</w:t>
    </w:r>
    <w:r>
      <w:rPr>
        <w:rFonts w:ascii="宋体" w:eastAsia="宋体" w:hAnsi="宋体" w:cs="宋体"/>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11</w:t>
    </w:r>
    <w:r>
      <w:rPr>
        <w:rFonts w:ascii="宋体" w:eastAsia="宋体" w:hAnsi="宋体" w:cs="宋体"/>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16</w:t>
    </w:r>
    <w:r>
      <w:rPr>
        <w:rFonts w:ascii="宋体" w:eastAsia="宋体" w:hAnsi="宋体" w:cs="宋体"/>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20</w:t>
    </w:r>
    <w:r>
      <w:rPr>
        <w:rFonts w:ascii="宋体" w:eastAsia="宋体" w:hAnsi="宋体" w:cs="宋体"/>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宋体" w:eastAsia="宋体" w:hAnsi="宋体" w:cs="宋体"/>
        <w:sz w:val="18"/>
      </w:rPr>
      <w:fldChar w:fldCharType="begin"/>
    </w:r>
    <w:r>
      <w:rPr>
        <w:rFonts w:ascii="宋体" w:eastAsia="宋体" w:hAnsi="宋体" w:cs="宋体"/>
        <w:sz w:val="18"/>
      </w:rPr>
      <w:instrText xml:space="preserve"> PAGE </w:instrText>
    </w:r>
    <w:r>
      <w:rPr>
        <w:rFonts w:ascii="宋体" w:eastAsia="宋体" w:hAnsi="宋体" w:cs="宋体"/>
        <w:sz w:val="18"/>
      </w:rPr>
      <w:fldChar w:fldCharType="separate"/>
    </w:r>
    <w:r>
      <w:rPr>
        <w:rFonts w:ascii="宋体" w:eastAsia="宋体" w:hAnsi="宋体" w:cs="宋体"/>
        <w:sz w:val="18"/>
      </w:rPr>
      <w:t>23</w:t>
    </w:r>
    <w:r>
      <w:rPr>
        <w:rFonts w:ascii="宋体" w:eastAsia="宋体" w:hAnsi="宋体" w:cs="宋体"/>
        <w:sz w:val="18"/>
      </w:rPr>
      <w:fldChar w:fldCharType="end"/>
    </w:r>
  </w:p>
</w:ftr>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qFormat="1"/>
    <w:lsdException w:name="toc 9" w:semiHidden="0" w:uiPriority="0" w:unhideWhenUsed="0" w:qFormat="1"/>
    <w:lsdException w:name="Normal Indent" w:uiPriority="0"/>
    <w:lsdException w:name="footnote text" w:uiPriority="0"/>
    <w:lsdException w:name="annotation text" w:uiPriority="0"/>
    <w:lsdException w:name="header" w:semiHidden="0" w:uiPriority="0" w:unhideWhenUsed="0" w:qFormat="1"/>
    <w:lsdException w:name="footer" w:semiHidden="0" w:uiPriority="0" w:unhideWhenUsed="0" w:qFormat="1"/>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semiHidden="0" w:uiPriority="0" w:unhideWhenUsed="0" w:qFormat="1"/>
    <w:lsdException w:name="endnote reference" w:uiPriority="0"/>
    <w:lsdException w:name="endnote text" w:uiPriority="0"/>
    <w:lsdException w:name="table of authorities" w:semiHidden="0" w:uiPriority="0" w:unhideWhenUsed="0"/>
    <w:lsdException w:name="macro" w:uiPriority="0"/>
    <w:lsdException w:name="toa heading" w:uiPriority="0"/>
    <w:lsdException w:name="List" w:semiHidden="0" w:uiPriority="0" w:unhideWhenUsed="0"/>
    <w:lsdException w:name="List Bullet" w:semiHidden="0" w:uiPriority="0" w:unhideWhenUsed="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qFormat="1"/>
    <w:lsdException w:name="Body Text" w:uiPriority="0"/>
    <w:lsdException w:name="Body Text Indent" w:uiPriority="0"/>
    <w:lsdException w:name="List Continue" w:uiPriority="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semiHidden="0" w:uiPriority="0" w:unhideWhenUsed="0" w:qFormat="1"/>
    <w:lsdException w:name="FollowedHyperlink" w:uiPriority="0"/>
    <w:lsdException w:name="Strong" w:semiHidden="0" w:uiPriority="0" w:unhideWhenUsed="0" w:qFormat="1"/>
    <w:lsdException w:name="Emphasis" w:semiHidden="0" w:uiPriority="0" w:unhideWhenUsed="0" w:qFormat="1"/>
    <w:lsdException w:name="Document Map" w:semiHidden="0" w:uiPriority="0" w:unhideWhenUsed="0" w:qFormat="1"/>
    <w:lsdException w:name="Plain Text" w:uiPriority="0"/>
    <w:lsdException w:name="E-mail Signature"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qFormat/>
    <w:pPr>
      <w:keepNext/>
      <w:keepLines/>
      <w:spacing w:before="340" w:after="330" w:line="578" w:lineRule="auto"/>
      <w:outlineLvl w:val="0"/>
    </w:pPr>
    <w:rPr>
      <w:rFonts w:eastAsia="仿宋"/>
      <w:bCs/>
      <w:kern w:val="44"/>
      <w:sz w:val="32"/>
      <w:szCs w:val="44"/>
    </w:rPr>
  </w:style>
  <w:style w:type="paragraph" w:styleId="Heading2">
    <w:name w:val="heading 2"/>
    <w:basedOn w:val="NoSpacing"/>
    <w:next w:val="NoSpacing"/>
    <w:qFormat/>
    <w:pPr>
      <w:keepNext/>
      <w:keepLines/>
      <w:spacing w:before="260" w:after="260" w:line="416" w:lineRule="auto"/>
      <w:outlineLvl w:val="1"/>
    </w:pPr>
    <w:rPr>
      <w:rFonts w:ascii="Arial" w:eastAsia="仿宋" w:hAnsi="Arial"/>
      <w:bCs/>
      <w:sz w:val="32"/>
      <w:szCs w:val="32"/>
    </w:rPr>
  </w:style>
  <w:style w:type="paragraph" w:styleId="Heading3">
    <w:name w:val="heading 3"/>
    <w:basedOn w:val="NoSpacing"/>
    <w:next w:val="NoSpacing"/>
    <w:link w:val="3"/>
    <w:qFormat/>
    <w:pPr>
      <w:keepNext/>
      <w:keepLines/>
      <w:spacing w:before="260" w:after="260" w:line="416" w:lineRule="auto"/>
      <w:outlineLvl w:val="2"/>
    </w:pPr>
    <w:rPr>
      <w:rFonts w:eastAsia="仿宋"/>
      <w:bCs/>
      <w:sz w:val="32"/>
      <w:szCs w:val="32"/>
    </w:rPr>
  </w:style>
  <w:style w:type="paragraph" w:styleId="Heading4">
    <w:name w:val="heading 4"/>
    <w:basedOn w:val="NoSpacing"/>
    <w:next w:val="NoSpacing"/>
    <w:link w:val="4"/>
    <w:qFormat/>
    <w:pPr>
      <w:keepNext/>
      <w:keepLines/>
      <w:spacing w:before="280" w:after="290" w:line="376" w:lineRule="auto"/>
      <w:outlineLvl w:val="3"/>
    </w:pPr>
    <w:rPr>
      <w:rFonts w:ascii="Cambria" w:eastAsia="仿宋" w:hAnsi="Cambria"/>
      <w:bCs/>
      <w:sz w:val="32"/>
      <w:szCs w:val="28"/>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NoSpacing">
    <w:name w:val="No Spacing"/>
    <w:link w:val="a"/>
    <w:qFormat/>
    <w:pPr>
      <w:ind w:firstLine="200" w:firstLineChars="200"/>
    </w:pPr>
    <w:rPr>
      <w:rFonts w:ascii="Times New Roman" w:eastAsia="仿宋_GB2312" w:hAnsi="Times New Roman" w:cs="Times New Roman"/>
      <w:sz w:val="30"/>
      <w:szCs w:val="22"/>
      <w:lang w:val="en-US" w:eastAsia="zh-CN" w:bidi="ar-SA"/>
    </w:rPr>
  </w:style>
  <w:style w:type="paragraph" w:styleId="TOC7">
    <w:name w:val="toc 7"/>
    <w:basedOn w:val="Normal"/>
    <w:next w:val="Normal"/>
    <w:autoRedefine/>
    <w:qFormat/>
    <w:pPr>
      <w:ind w:left="1260"/>
      <w:jc w:val="left"/>
    </w:pPr>
    <w:rPr>
      <w:sz w:val="20"/>
      <w:szCs w:val="20"/>
    </w:rPr>
  </w:style>
  <w:style w:type="paragraph" w:styleId="DocumentMap">
    <w:name w:val="Document Map"/>
    <w:basedOn w:val="Normal"/>
    <w:qFormat/>
    <w:pPr>
      <w:shd w:val="clear" w:color="auto" w:fill="000080"/>
    </w:pPr>
  </w:style>
  <w:style w:type="paragraph" w:styleId="TOC5">
    <w:name w:val="toc 5"/>
    <w:basedOn w:val="Normal"/>
    <w:next w:val="Normal"/>
    <w:autoRedefine/>
    <w:qFormat/>
    <w:pPr>
      <w:ind w:left="840"/>
      <w:jc w:val="left"/>
    </w:pPr>
    <w:rPr>
      <w:sz w:val="20"/>
      <w:szCs w:val="20"/>
    </w:rPr>
  </w:style>
  <w:style w:type="paragraph" w:styleId="TOC3">
    <w:name w:val="toc 3"/>
    <w:next w:val="Heading3"/>
    <w:qFormat/>
    <w:pPr>
      <w:adjustRightInd w:val="0"/>
      <w:snapToGrid w:val="0"/>
      <w:spacing w:line="360" w:lineRule="auto"/>
      <w:ind w:firstLine="400" w:firstLineChars="400"/>
      <w:jc w:val="left"/>
    </w:pPr>
    <w:rPr>
      <w:rFonts w:ascii="Times New Roman" w:eastAsia="仿宋" w:hAnsi="Times New Roman" w:cs="Times New Roman"/>
      <w:sz w:val="32"/>
      <w:szCs w:val="20"/>
    </w:rPr>
  </w:style>
  <w:style w:type="paragraph" w:styleId="TOC8">
    <w:name w:val="toc 8"/>
    <w:basedOn w:val="Normal"/>
    <w:next w:val="Normal"/>
    <w:autoRedefine/>
    <w:qFormat/>
    <w:pPr>
      <w:ind w:left="1470"/>
      <w:jc w:val="left"/>
    </w:pPr>
    <w:rPr>
      <w:sz w:val="20"/>
      <w:szCs w:val="20"/>
    </w:rPr>
  </w:style>
  <w:style w:type="paragraph" w:styleId="Footer">
    <w:name w:val="footer"/>
    <w:basedOn w:val="Normal"/>
    <w:link w:val="a0"/>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paragraph" w:styleId="TOC1">
    <w:name w:val="toc 1"/>
    <w:next w:val="NoSpacing"/>
    <w:qFormat/>
    <w:pPr>
      <w:adjustRightInd w:val="0"/>
      <w:snapToGrid w:val="0"/>
      <w:spacing w:line="360" w:lineRule="auto"/>
      <w:jc w:val="left"/>
    </w:pPr>
    <w:rPr>
      <w:rFonts w:ascii="Times New Roman" w:eastAsia="仿宋" w:hAnsi="Times New Roman" w:cs="Times New Roman"/>
      <w:bCs/>
      <w:sz w:val="32"/>
      <w:szCs w:val="20"/>
    </w:rPr>
  </w:style>
  <w:style w:type="paragraph" w:styleId="TOC4">
    <w:name w:val="toc 4"/>
    <w:basedOn w:val="Normal"/>
    <w:next w:val="Normal"/>
    <w:autoRedefine/>
    <w:qFormat/>
    <w:pPr>
      <w:ind w:left="630"/>
      <w:jc w:val="left"/>
    </w:pPr>
    <w:rPr>
      <w:sz w:val="20"/>
      <w:szCs w:val="20"/>
    </w:rPr>
  </w:style>
  <w:style w:type="paragraph" w:styleId="TOC6">
    <w:name w:val="toc 6"/>
    <w:basedOn w:val="Normal"/>
    <w:next w:val="Normal"/>
    <w:autoRedefine/>
    <w:qFormat/>
    <w:pPr>
      <w:ind w:left="1050"/>
      <w:jc w:val="left"/>
    </w:pPr>
    <w:rPr>
      <w:sz w:val="20"/>
      <w:szCs w:val="20"/>
    </w:rPr>
  </w:style>
  <w:style w:type="paragraph" w:styleId="TOC2">
    <w:name w:val="toc 2"/>
    <w:next w:val="NoSpacing"/>
    <w:qFormat/>
    <w:pPr>
      <w:adjustRightInd w:val="0"/>
      <w:snapToGrid w:val="0"/>
      <w:spacing w:line="360" w:lineRule="auto"/>
      <w:ind w:firstLine="200" w:firstLineChars="200"/>
      <w:jc w:val="left"/>
    </w:pPr>
    <w:rPr>
      <w:rFonts w:ascii="Times New Roman" w:eastAsia="仿宋" w:hAnsi="Times New Roman" w:cs="Times New Roman"/>
      <w:b/>
      <w:iCs/>
      <w:sz w:val="32"/>
      <w:szCs w:val="20"/>
    </w:rPr>
  </w:style>
  <w:style w:type="paragraph" w:styleId="TOC9">
    <w:name w:val="toc 9"/>
    <w:basedOn w:val="Normal"/>
    <w:next w:val="Normal"/>
    <w:autoRedefine/>
    <w:qFormat/>
    <w:pPr>
      <w:ind w:left="1680"/>
      <w:jc w:val="left"/>
    </w:pPr>
    <w:rPr>
      <w:sz w:val="20"/>
      <w:szCs w:val="20"/>
    </w:rPr>
  </w:style>
  <w:style w:type="character" w:styleId="PageNumber">
    <w:name w:val="page number"/>
    <w:basedOn w:val="DefaultParagraphFont"/>
    <w:qFormat/>
  </w:style>
  <w:style w:type="character" w:styleId="Hyperlink">
    <w:name w:val="Hyperlink"/>
    <w:qFormat/>
    <w:rPr>
      <w:rFonts w:ascii="宋体" w:eastAsia="仿宋" w:hAnsi="宋体" w:cs="Times New Roman"/>
      <w:kern w:val="2"/>
      <w:sz w:val="32"/>
      <w:szCs w:val="32"/>
      <w:lang w:val="en-US" w:eastAsia="zh-CN" w:bidi="ar-SA"/>
    </w:rPr>
  </w:style>
  <w:style w:type="character" w:customStyle="1" w:styleId="4">
    <w:name w:val="标题 4 字符"/>
    <w:basedOn w:val="DefaultParagraphFont"/>
    <w:link w:val="Heading4"/>
    <w:qFormat/>
    <w:rPr>
      <w:rFonts w:ascii="Cambria" w:eastAsia="仿宋" w:hAnsi="Cambria"/>
      <w:bCs/>
      <w:kern w:val="2"/>
      <w:sz w:val="32"/>
      <w:szCs w:val="28"/>
    </w:rPr>
  </w:style>
  <w:style w:type="character" w:customStyle="1" w:styleId="a">
    <w:name w:val="无间隔 字符"/>
    <w:link w:val="NoSpacing"/>
    <w:qFormat/>
    <w:locked/>
    <w:rPr>
      <w:rFonts w:eastAsia="仿宋_GB2312"/>
      <w:sz w:val="30"/>
      <w:szCs w:val="22"/>
      <w:lang w:bidi="ar-SA"/>
    </w:rPr>
  </w:style>
  <w:style w:type="character" w:customStyle="1" w:styleId="a0">
    <w:name w:val="页脚 字符"/>
    <w:basedOn w:val="DefaultParagraphFont"/>
    <w:link w:val="Footer"/>
    <w:qFormat/>
    <w:rPr>
      <w:kern w:val="2"/>
      <w:sz w:val="18"/>
      <w:szCs w:val="18"/>
    </w:rPr>
  </w:style>
  <w:style w:type="paragraph" w:styleId="ListParagraph">
    <w:name w:val="List Paragraph"/>
    <w:basedOn w:val="Normal"/>
    <w:qFormat/>
    <w:pPr>
      <w:ind w:firstLine="420" w:firstLineChars="200"/>
    </w:pPr>
  </w:style>
  <w:style w:type="character" w:customStyle="1" w:styleId="3">
    <w:name w:val="标题 3 字符"/>
    <w:basedOn w:val="DefaultParagraphFont"/>
    <w:link w:val="Heading3"/>
    <w:qFormat/>
    <w:rPr>
      <w:rFonts w:eastAsia="仿宋"/>
      <w:bCs/>
      <w:kern w:val="2"/>
      <w:sz w:val="32"/>
      <w:szCs w:val="32"/>
    </w:rPr>
  </w:style>
  <w:style w:type="paragraph" w:customStyle="1" w:styleId="MsoNormal">
    <w:name w:val="MsoNormal"/>
    <w:basedOn w:val="Normal"/>
  </w:style>
  <w:style w:type="paragraph" w:customStyle="1" w:styleId="p">
    <w:name w:val="p"/>
    <w:basedOn w:val="Normal"/>
  </w:style>
  <w:style w:type="character" w:customStyle="1" w:styleId="15">
    <w:name w:val="15"/>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
    <Relationship Target="settings.xml" Type="http://schemas.openxmlformats.org/officeDocument/2006/relationships/settings" Id="rId1"/>
    <Relationship Target="footer6.xml" Type="http://schemas.openxmlformats.org/officeDocument/2006/relationships/footer" Id="rId10"/>
    <Relationship Target="footer7.xml" Type="http://schemas.openxmlformats.org/officeDocument/2006/relationships/footer" Id="rId11"/>
    <Relationship Target="footer8.xml" Type="http://schemas.openxmlformats.org/officeDocument/2006/relationships/footer" Id="rId12"/>
    <Relationship Target="footer9.xml" Type="http://schemas.openxmlformats.org/officeDocument/2006/relationships/footer" Id="rId13"/>
    <Relationship Target="footer10.xml" Type="http://schemas.openxmlformats.org/officeDocument/2006/relationships/footer" Id="rId14"/>
    <Relationship Target="footer11.xml" Type="http://schemas.openxmlformats.org/officeDocument/2006/relationships/footer" Id="rId15"/>
    <Relationship Target="footer12.xml" Type="http://schemas.openxmlformats.org/officeDocument/2006/relationships/footer" Id="rId16"/>
    <Relationship Target="footer13.xml" Type="http://schemas.openxmlformats.org/officeDocument/2006/relationships/footer" Id="rId17"/>
    <Relationship Target="footer14.xml" Type="http://schemas.openxmlformats.org/officeDocument/2006/relationships/footer" Id="rId18"/>
    <Relationship Target="footer15.xml" Type="http://schemas.openxmlformats.org/officeDocument/2006/relationships/footer" Id="rId19"/>
    <Relationship Target="webSettings.xml" Type="http://schemas.openxmlformats.org/officeDocument/2006/relationships/webSettings" Id="rId2"/>
    <Relationship Target="footer16.xml" Type="http://schemas.openxmlformats.org/officeDocument/2006/relationships/footer" Id="rId20"/>
    <Relationship Target="footer17.xml" Type="http://schemas.openxmlformats.org/officeDocument/2006/relationships/footer" Id="rId21"/>
    <Relationship Target="footer18.xml" Type="http://schemas.openxmlformats.org/officeDocument/2006/relationships/footer" Id="rId22"/>
    <Relationship Target="footer19.xml" Type="http://schemas.openxmlformats.org/officeDocument/2006/relationships/footer" Id="rId23"/>
    <Relationship Target="footer20.xml" Type="http://schemas.openxmlformats.org/officeDocument/2006/relationships/footer" Id="rId24"/>
    <Relationship Target="theme/theme1.xml" Type="http://schemas.openxmlformats.org/officeDocument/2006/relationships/theme" Id="rId25"/>
    <Relationship Target="styles.xml" Type="http://schemas.openxmlformats.org/officeDocument/2006/relationships/styles" Id="rId26"/>
    <Relationship Target="fontTable.xml" Type="http://schemas.openxmlformats.org/officeDocument/2006/relationships/fontTable" Id="rId3"/>
    <Relationship Target="../customXml/item1.xml" Type="http://schemas.openxmlformats.org/officeDocument/2006/relationships/customXml" Id="rId4"/>
    <Relationship Target="footer1.xml" Type="http://schemas.openxmlformats.org/officeDocument/2006/relationships/footer" Id="rId5"/>
    <Relationship Target="footer2.xml" Type="http://schemas.openxmlformats.org/officeDocument/2006/relationships/footer" Id="rId6"/>
    <Relationship Target="footer3.xml" Type="http://schemas.openxmlformats.org/officeDocument/2006/relationships/footer" Id="rId7"/>
    <Relationship Target="footer4.xml" Type="http://schemas.openxmlformats.org/officeDocument/2006/relationships/footer" Id="rId8"/>
    <Relationship Target="footer5.xml" Type="http://schemas.openxmlformats.org/officeDocument/2006/relationships/footer" Id="rI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111</Pages>
  <Words>20</Words>
  <Characters>35</Characters>
  <Application>Microsoft Office Word</Application>
  <DocSecurity>0</DocSecurity>
  <Lines>1</Lines>
  <Paragraphs>1</Paragraphs>
  <ScaleCrop>false</ScaleCrop>
  <Company>微软中国</Company>
  <LinksUpToDate>false</LinksUpToDate>
  <CharactersWithSpaces>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××年度××部门/单位</dc:title>
  <dc:creator>Administrator</dc:creator>
  <cp:lastModifiedBy>感味</cp:lastModifiedBy>
  <cp:revision>18</cp:revision>
  <cp:lastPrinted>2021-04-16T00:45:00Z</cp:lastPrinted>
  <dcterms:created xsi:type="dcterms:W3CDTF">2022-03-23T12:40:00Z</dcterms:created>
  <dcterms:modified xsi:type="dcterms:W3CDTF">2025-08-01T10:37:29Z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66C67484C41D4C05B3487E28FB439B3F_13</vt:lpwstr>
  </property>
  <property fmtid="{D5CDD505-2E9C-101B-9397-08002B2CF9AE}" pid="3" name="KSOProductBuildVer">
    <vt:lpwstr>2052-12.1.0.21915</vt:lpwstr>
  </property>
  <property fmtid="{D5CDD505-2E9C-101B-9397-08002B2CF9AE}" pid="4" name="KSOTemplateDocerSaveRecord">
    <vt:lpwstr>eyJoZGlkIjoiMGU0NWVkNDhlOTkyOTEzYmI4NjBkNjJlZWJjYTAyZDQiLCJ1c2VySWQiOiI0MjEyNzUxNjYifQ==</vt:lpwstr>
  </property>
</Properties>
</file>