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3"/>
        <w:widowControl/>
        <w:spacing w:before="100" w:after="100"/>
        <w:ind w:left="0" w:right="0" w:firstLine="0"/>
        <w:jc w:val="left"/>
        <w:rPr>
          <w:rFonts w:ascii="Times New Roman" w:hAnsi="Times New Roman" w:eastAsia="Times New Roman" w:cs="Times New Roman"/>
          <w:kern w:val="0"/>
          <w:sz w:val="24"/>
        </w:rPr>
      </w:pPr>
      <w:bookmarkStart w:id="0" w:name="a000"/>
    </w:p>
    <w:p>
      <w:pPr>
        <w:pStyle w:val="34"/>
        <w:widowControl/>
        <w:spacing w:before="100" w:after="100"/>
        <w:ind w:left="0" w:right="0" w:firstLine="0"/>
        <w:jc w:val="center"/>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Calibri" w:hAnsi="Calibri" w:eastAsia="Calibri" w:cs="Calibri"/>
          <w:spacing w:val="0"/>
          <w:kern w:val="0"/>
          <w:sz w:val="84"/>
          <w:szCs w:val="84"/>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Calibri" w:hAnsi="Calibri" w:eastAsia="Calibri" w:cs="Calibri"/>
          <w:spacing w:val="0"/>
          <w:kern w:val="0"/>
          <w:sz w:val="84"/>
          <w:szCs w:val="84"/>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方正小标宋简体" w:hAnsi="方正小标宋简体" w:eastAsia="方正小标宋简体" w:cs="方正小标宋简体"/>
          <w:spacing w:val="0"/>
          <w:kern w:val="0"/>
          <w:sz w:val="84"/>
          <w:szCs w:val="84"/>
        </w:rPr>
        <w:t>2023年度</w:t>
      </w:r>
    </w:p>
    <w:p>
      <w:pPr>
        <w:pStyle w:val="34"/>
        <w:widowControl/>
        <w:spacing w:before="100" w:after="100"/>
        <w:ind w:left="0" w:right="0" w:firstLine="0"/>
        <w:jc w:val="center"/>
        <w:rPr>
          <w:rFonts w:ascii="Times New Roman" w:hAnsi="Times New Roman" w:eastAsia="Times New Roman" w:cs="Times New Roman"/>
          <w:kern w:val="0"/>
          <w:sz w:val="24"/>
        </w:rPr>
      </w:pPr>
      <w:r>
        <w:rPr>
          <w:rFonts w:hint="eastAsia" w:ascii="方正小标宋简体" w:hAnsi="方正小标宋简体" w:eastAsia="方正小标宋简体" w:cs="方正小标宋简体"/>
          <w:spacing w:val="0"/>
          <w:kern w:val="0"/>
          <w:sz w:val="84"/>
          <w:szCs w:val="84"/>
          <w:lang w:eastAsia="zh-CN"/>
        </w:rPr>
        <w:t>上杭县茶地镇人民政府</w:t>
      </w:r>
      <w:r>
        <w:rPr>
          <w:rFonts w:ascii="方正小标宋简体" w:hAnsi="方正小标宋简体" w:eastAsia="方正小标宋简体" w:cs="方正小标宋简体"/>
          <w:spacing w:val="0"/>
          <w:kern w:val="0"/>
          <w:sz w:val="84"/>
          <w:szCs w:val="84"/>
        </w:rPr>
        <w:t>（部门名称）</w:t>
      </w:r>
    </w:p>
    <w:p>
      <w:pPr>
        <w:pStyle w:val="34"/>
        <w:widowControl/>
        <w:spacing w:before="100" w:after="100"/>
        <w:ind w:left="0" w:right="0" w:firstLine="0"/>
        <w:jc w:val="center"/>
        <w:rPr>
          <w:rFonts w:ascii="Times New Roman" w:hAnsi="Times New Roman" w:eastAsia="Times New Roman" w:cs="Times New Roman"/>
          <w:kern w:val="0"/>
          <w:sz w:val="24"/>
        </w:rPr>
      </w:pPr>
      <w:r>
        <w:rPr>
          <w:rFonts w:ascii="方正小标宋简体" w:hAnsi="方正小标宋简体" w:eastAsia="方正小标宋简体" w:cs="方正小标宋简体"/>
          <w:spacing w:val="0"/>
          <w:kern w:val="0"/>
          <w:sz w:val="84"/>
          <w:szCs w:val="84"/>
        </w:rPr>
        <w:t>部门决算</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4"/>
        <w:widowControl/>
        <w:spacing w:before="100" w:after="100"/>
        <w:ind w:left="0" w:right="0" w:firstLine="0"/>
        <w:jc w:val="left"/>
        <w:rPr>
          <w:rFonts w:ascii="Times New Roman" w:hAnsi="Times New Roman" w:eastAsia="Times New Roman" w:cs="Times New Roman"/>
          <w:kern w:val="0"/>
          <w:sz w:val="24"/>
        </w:rPr>
      </w:pPr>
    </w:p>
    <w:p>
      <w:pPr>
        <w:pStyle w:val="34"/>
        <w:widowControl/>
        <w:spacing w:before="100" w:after="100"/>
        <w:ind w:left="0" w:right="0" w:firstLine="0"/>
        <w:jc w:val="left"/>
        <w:rPr>
          <w:rFonts w:ascii="Times New Roman" w:hAnsi="Times New Roman" w:eastAsia="Times New Roman" w:cs="Times New Roman"/>
          <w:kern w:val="0"/>
          <w:sz w:val="24"/>
        </w:rPr>
      </w:pPr>
    </w:p>
    <w:p>
      <w:pPr>
        <w:pStyle w:val="34"/>
        <w:widowControl/>
        <w:spacing w:before="100" w:after="100"/>
        <w:ind w:left="0" w:right="0" w:firstLine="0"/>
        <w:jc w:val="left"/>
        <w:rPr>
          <w:rFonts w:ascii="Times New Roman" w:hAnsi="Times New Roman" w:eastAsia="Times New Roman" w:cs="Times New Roman"/>
          <w:kern w:val="0"/>
          <w:sz w:val="24"/>
        </w:rPr>
      </w:pPr>
    </w:p>
    <w:p>
      <w:pPr>
        <w:pStyle w:val="34"/>
        <w:widowControl/>
        <w:spacing w:before="100" w:after="100"/>
        <w:ind w:left="0" w:right="0" w:firstLine="0"/>
        <w:jc w:val="left"/>
        <w:rPr>
          <w:rFonts w:ascii="Times New Roman" w:hAnsi="Times New Roman" w:eastAsia="Times New Roman" w:cs="Times New Roman"/>
          <w:kern w:val="0"/>
          <w:sz w:val="24"/>
        </w:rPr>
      </w:pPr>
    </w:p>
    <w:p>
      <w:pPr>
        <w:pStyle w:val="33"/>
        <w:widowControl/>
        <w:spacing w:before="100" w:after="100"/>
        <w:ind w:left="0" w:right="0" w:firstLine="0"/>
        <w:jc w:val="center"/>
        <w:rPr>
          <w:rFonts w:ascii="Times New Roman" w:hAnsi="Times New Roman" w:eastAsia="Times New Roman" w:cs="Times New Roman"/>
          <w:kern w:val="0"/>
          <w:sz w:val="24"/>
        </w:rPr>
      </w:pPr>
      <w:r>
        <w:rPr>
          <w:rFonts w:ascii="方正小标宋简体" w:hAnsi="方正小标宋简体" w:eastAsia="方正小标宋简体" w:cs="方正小标宋简体"/>
          <w:spacing w:val="0"/>
          <w:kern w:val="0"/>
          <w:sz w:val="44"/>
          <w:szCs w:val="44"/>
        </w:rPr>
        <w:t>目  录</w:t>
      </w:r>
    </w:p>
    <w:p>
      <w:pPr>
        <w:pStyle w:val="33"/>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6"/>
          <w:szCs w:val="36"/>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第一部分 部门概况…………………………………………</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一、部门主要职责…………………………………………</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二、部门决算单位基本情况………………………………</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三、部门主要工作总结……………………………………</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第二部分 2023年度部门决算表……………………………</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一、收入支出决算总表……………………………………</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二、收入决算表……………………………………………</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三、支出决算表……………………………………………</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四、财政拨款收入支出决算总表…………………………</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五、一般公共预算财政拨款支出决算表…………………</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六、</w:t>
      </w:r>
      <w:r>
        <w:rPr>
          <w:rFonts w:ascii="仿宋" w:hAnsi="仿宋" w:eastAsia="仿宋" w:cs="仿宋"/>
          <w:kern w:val="0"/>
          <w:sz w:val="32"/>
          <w:szCs w:val="32"/>
        </w:rPr>
        <w:t>一般公共预算财政拨款基本支出决算表</w:t>
      </w:r>
      <w:r>
        <w:rPr>
          <w:rFonts w:ascii="仿宋" w:hAnsi="仿宋" w:eastAsia="仿宋" w:cs="仿宋"/>
          <w:spacing w:val="0"/>
          <w:kern w:val="0"/>
          <w:sz w:val="32"/>
          <w:szCs w:val="32"/>
        </w:rPr>
        <w:t>………………</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七、一般公共预算财政拨款“三公”经费支出决算表…</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八、政府性基金预算财政拨款收入支出决算表…………</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九、</w:t>
      </w:r>
      <w:r>
        <w:rPr>
          <w:rFonts w:ascii="仿宋" w:hAnsi="仿宋" w:eastAsia="仿宋" w:cs="仿宋"/>
          <w:kern w:val="0"/>
          <w:sz w:val="32"/>
          <w:szCs w:val="32"/>
        </w:rPr>
        <w:t>国有资本经营预算财政拨款支出决算表</w:t>
      </w:r>
      <w:r>
        <w:rPr>
          <w:rFonts w:ascii="仿宋" w:hAnsi="仿宋" w:eastAsia="仿宋" w:cs="仿宋"/>
          <w:spacing w:val="0"/>
          <w:kern w:val="0"/>
          <w:sz w:val="32"/>
          <w:szCs w:val="32"/>
        </w:rPr>
        <w:t>…………………</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第三部分 2023年度部门决算情况说明……………………</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一、收入支出决算总体情况说明…………………………</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二、财政拨款收入支出决算总体情况说明………………</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三、一般公共预算财政拨款支出决算情况说明…………</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四、政府性基金预算财政拨款支出决算情况说明………</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五、国有资本经营预算财政拨款支出决算情况说明……</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六、一般公共预算财政拨款基本支出决算情况说明……</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七、一般公共预算财政拨款“三公”经费支出决算情况说明……………………………………………………………</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八、预算绩效情况说明……………………………………</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九、其他重要事项情况说明………………………………</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第四部分 名词解释…………………………………………</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第五部分 附件………………………………………………</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56"/>
          <w:szCs w:val="56"/>
        </w:rPr>
        <w:t>第一部分</w:t>
      </w:r>
      <w:r>
        <w:rPr>
          <w:rFonts w:ascii="宋体" w:hAnsi="宋体" w:cs="宋体"/>
          <w:spacing w:val="0"/>
          <w:kern w:val="0"/>
          <w:sz w:val="56"/>
          <w:szCs w:val="5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部门概况</w:t>
      </w:r>
    </w:p>
    <w:p>
      <w:pPr>
        <w:pStyle w:val="34"/>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一、部门主要职责</w:t>
      </w:r>
    </w:p>
    <w:p>
      <w:pPr>
        <w:spacing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spacing w:val="0"/>
          <w:kern w:val="0"/>
          <w:sz w:val="32"/>
          <w:szCs w:val="32"/>
          <w:lang w:eastAsia="zh-CN"/>
        </w:rPr>
        <w:t>茶地镇人民政府</w:t>
      </w:r>
      <w:r>
        <w:rPr>
          <w:rFonts w:hint="eastAsia" w:ascii="仿宋" w:hAnsi="仿宋" w:eastAsia="仿宋" w:cs="仿宋"/>
          <w:spacing w:val="0"/>
          <w:kern w:val="0"/>
          <w:sz w:val="32"/>
          <w:szCs w:val="32"/>
        </w:rPr>
        <w:t>部门的主要职责是：</w:t>
      </w:r>
      <w:r>
        <w:rPr>
          <w:rFonts w:hint="eastAsia" w:ascii="仿宋" w:hAnsi="仿宋" w:eastAsia="仿宋" w:cs="仿宋"/>
          <w:kern w:val="0"/>
          <w:sz w:val="32"/>
          <w:szCs w:val="32"/>
        </w:rPr>
        <w:t>（一）执行国家行政机关的决定、命令和国家制定的法令、法规，执行本级人民代表大会的各项决议，并报告执行决议、决定和命令的情况。</w:t>
      </w:r>
    </w:p>
    <w:p>
      <w:pPr>
        <w:spacing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（二）制定并落实本行政区域的经济计划和措施，全面提高人民群众的生活水平和生活质量。</w:t>
      </w:r>
    </w:p>
    <w:p>
      <w:pPr>
        <w:spacing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（三）承担国有资产、集体资产管理、监督及增值保值责任。保护国有财产和集体财产，保户公民私人所有的合法财产，维护社会秩序，保障公民的人身权利、民主权利和其他权利。</w:t>
      </w:r>
    </w:p>
    <w:p>
      <w:pPr>
        <w:spacing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（四）开展社会主义民主和法制的宣传教育，保障公民的权利，打击违法犯罪，维护社会稳定。</w:t>
      </w:r>
    </w:p>
    <w:p>
      <w:pPr>
        <w:keepNext w:val="0"/>
        <w:keepLines w:val="0"/>
        <w:widowControl w:val="0"/>
        <w:suppressLineNumbers w:val="0"/>
        <w:spacing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（五）制定社会各项事业发展计划，发展教育、卫生、科技、民政、广播电视、文化、体育事业；加强计划生育工作；推进社会保障、社会福利事业和养老保险、农村基础设施建设等工作。</w:t>
      </w:r>
    </w:p>
    <w:p>
      <w:pPr>
        <w:keepNext w:val="0"/>
        <w:keepLines w:val="0"/>
        <w:widowControl w:val="0"/>
        <w:suppressLineNumbers w:val="0"/>
        <w:spacing w:line="580" w:lineRule="exact"/>
        <w:ind w:left="0"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（六）加强乡级财政的监督和管理，按计划组织、管理乡财政收入和支出，执行国家有关财经纪律和政策，保证国家财政收入的完成。</w:t>
      </w:r>
    </w:p>
    <w:p>
      <w:pPr>
        <w:spacing w:line="580" w:lineRule="exact"/>
        <w:ind w:left="0" w:firstLine="640" w:firstLineChars="200"/>
        <w:jc w:val="both"/>
        <w:rPr>
          <w:rFonts w:hint="eastAsia" w:ascii="仿宋" w:hAnsi="仿宋" w:eastAsia="仿宋" w:cs="仿宋"/>
          <w:kern w:val="0"/>
          <w:sz w:val="24"/>
        </w:rPr>
      </w:pPr>
      <w:r>
        <w:rPr>
          <w:rFonts w:hint="eastAsia" w:ascii="仿宋" w:hAnsi="仿宋" w:eastAsia="仿宋" w:cs="仿宋"/>
          <w:kern w:val="0"/>
          <w:sz w:val="32"/>
          <w:szCs w:val="32"/>
        </w:rPr>
        <w:t>（七）指导各村委员会的组织制度建设和业务建设，促进村委员会民主自治。</w:t>
      </w:r>
    </w:p>
    <w:p>
      <w:pPr>
        <w:pStyle w:val="34"/>
        <w:widowControl/>
        <w:spacing w:before="100" w:after="100" w:line="600" w:lineRule="atLeast"/>
        <w:ind w:left="0" w:right="0" w:firstLine="640"/>
        <w:jc w:val="left"/>
        <w:rPr>
          <w:rFonts w:hint="eastAsia" w:ascii="仿宋" w:hAnsi="仿宋" w:eastAsia="仿宋" w:cs="仿宋"/>
          <w:kern w:val="0"/>
          <w:sz w:val="24"/>
        </w:rPr>
      </w:pPr>
      <w:r>
        <w:rPr>
          <w:rFonts w:hint="eastAsia" w:ascii="仿宋" w:hAnsi="仿宋" w:eastAsia="仿宋" w:cs="仿宋"/>
          <w:spacing w:val="0"/>
          <w:kern w:val="0"/>
          <w:sz w:val="32"/>
          <w:szCs w:val="32"/>
        </w:rPr>
        <w:t>二、部门决算单位基本情况</w:t>
      </w:r>
    </w:p>
    <w:p>
      <w:pPr>
        <w:pStyle w:val="34"/>
        <w:widowControl/>
        <w:spacing w:before="100" w:after="100" w:line="600" w:lineRule="atLeast"/>
        <w:ind w:left="0" w:right="0" w:firstLine="640"/>
        <w:jc w:val="left"/>
        <w:rPr>
          <w:rFonts w:hint="eastAsia" w:ascii="仿宋" w:hAnsi="仿宋" w:eastAsia="仿宋" w:cs="仿宋"/>
          <w:kern w:val="0"/>
          <w:sz w:val="24"/>
        </w:rPr>
      </w:pPr>
      <w:r>
        <w:rPr>
          <w:rFonts w:hint="eastAsia" w:ascii="仿宋" w:hAnsi="仿宋" w:eastAsia="仿宋" w:cs="仿宋"/>
          <w:spacing w:val="0"/>
          <w:kern w:val="0"/>
          <w:sz w:val="32"/>
          <w:szCs w:val="32"/>
        </w:rPr>
        <w:t>从决算单位构成看，</w:t>
      </w:r>
      <w:r>
        <w:rPr>
          <w:rFonts w:hint="eastAsia" w:ascii="仿宋" w:hAnsi="仿宋" w:eastAsia="仿宋" w:cs="仿宋"/>
          <w:kern w:val="0"/>
          <w:sz w:val="32"/>
          <w:szCs w:val="32"/>
        </w:rPr>
        <w:t>上杭县茶地镇人民政府包括4个党政内设机构及3个事业机构，</w:t>
      </w:r>
      <w:r>
        <w:rPr>
          <w:rFonts w:hint="eastAsia" w:ascii="仿宋" w:hAnsi="仿宋" w:eastAsia="仿宋" w:cs="仿宋"/>
          <w:spacing w:val="0"/>
          <w:kern w:val="0"/>
          <w:sz w:val="32"/>
          <w:szCs w:val="32"/>
        </w:rPr>
        <w:t>其中：列入2023年部门决算编制范围的单位详细情况见下表:</w:t>
      </w:r>
    </w:p>
    <w:tbl>
      <w:tblPr>
        <w:tblStyle w:val="35"/>
        <w:tblW w:w="0" w:type="auto"/>
        <w:jc w:val="center"/>
        <w:tblCellSpacing w:w="0" w:type="dxa"/>
        <w:tblLayout w:type="fixed"/>
        <w:tblCellMar>
          <w:top w:w="15" w:type="dxa"/>
          <w:left w:w="15" w:type="dxa"/>
          <w:bottom w:w="15" w:type="dxa"/>
          <w:right w:w="15" w:type="dxa"/>
        </w:tblCellMar>
      </w:tblPr>
      <w:tblGrid>
        <w:gridCol w:w="1970"/>
        <w:gridCol w:w="6588"/>
      </w:tblGrid>
      <w:tr>
        <w:tblPrEx>
          <w:tblCellMar>
            <w:top w:w="15" w:type="dxa"/>
            <w:left w:w="15" w:type="dxa"/>
            <w:bottom w:w="15" w:type="dxa"/>
            <w:right w:w="15" w:type="dxa"/>
          </w:tblCellMar>
        </w:tblPrEx>
        <w:trPr>
          <w:trHeight w:val="664" w:hRule="atLeast"/>
          <w:tblHeader/>
          <w:tblCellSpacing w:w="0" w:type="dxa"/>
          <w:jc w:val="center"/>
        </w:trPr>
        <w:tc>
          <w:tcPr>
            <w:tcW w:w="1970" w:type="dxa"/>
            <w:tcBorders>
              <w:top w:val="single" w:color="000000" w:sz="8" w:space="0"/>
              <w:left w:val="single" w:color="000000" w:sz="8" w:space="0"/>
              <w:bottom w:val="single" w:color="000000" w:sz="8" w:space="0"/>
              <w:right w:val="single" w:color="000000" w:sz="8" w:space="0"/>
            </w:tcBorders>
            <w:noWrap w:val="0"/>
            <w:tcMar>
              <w:top w:w="10" w:type="dxa"/>
              <w:left w:w="118" w:type="dxa"/>
              <w:bottom w:w="10" w:type="dxa"/>
              <w:right w:w="118" w:type="dxa"/>
            </w:tcMar>
            <w:vAlign w:val="center"/>
          </w:tcPr>
          <w:p>
            <w:pPr>
              <w:pStyle w:val="34"/>
              <w:widowControl/>
              <w:spacing w:before="100" w:after="100" w:line="600" w:lineRule="atLeast"/>
              <w:ind w:left="0" w:right="0"/>
              <w:jc w:val="center"/>
              <w:rPr>
                <w:rFonts w:hint="eastAsia" w:ascii="仿宋" w:hAnsi="仿宋" w:eastAsia="仿宋" w:cs="仿宋"/>
                <w:b w:val="0"/>
                <w:bCs w:val="0"/>
                <w:i w:val="0"/>
                <w:iCs w:val="0"/>
                <w:smallCaps w:val="0"/>
                <w:color w:val="000000"/>
                <w:kern w:val="0"/>
                <w:sz w:val="24"/>
              </w:rPr>
            </w:pPr>
            <w:r>
              <w:rPr>
                <w:rFonts w:hint="eastAsia" w:ascii="仿宋" w:hAnsi="仿宋" w:eastAsia="仿宋" w:cs="仿宋"/>
                <w:b w:val="0"/>
                <w:bCs w:val="0"/>
                <w:i w:val="0"/>
                <w:iCs w:val="0"/>
                <w:smallCaps w:val="0"/>
                <w:color w:val="000000"/>
                <w:kern w:val="0"/>
                <w:sz w:val="32"/>
                <w:szCs w:val="32"/>
              </w:rPr>
              <w:t>序号</w:t>
            </w:r>
          </w:p>
        </w:tc>
        <w:tc>
          <w:tcPr>
            <w:tcW w:w="6588"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line="600" w:lineRule="atLeast"/>
              <w:ind w:left="0" w:right="0"/>
              <w:jc w:val="center"/>
              <w:rPr>
                <w:rFonts w:hint="eastAsia" w:ascii="仿宋" w:hAnsi="仿宋" w:eastAsia="仿宋" w:cs="仿宋"/>
                <w:b w:val="0"/>
                <w:bCs w:val="0"/>
                <w:i w:val="0"/>
                <w:iCs w:val="0"/>
                <w:smallCaps w:val="0"/>
                <w:color w:val="000000"/>
                <w:kern w:val="0"/>
                <w:sz w:val="24"/>
              </w:rPr>
            </w:pPr>
            <w:r>
              <w:rPr>
                <w:rFonts w:hint="eastAsia" w:ascii="仿宋" w:hAnsi="仿宋" w:eastAsia="仿宋" w:cs="仿宋"/>
                <w:b w:val="0"/>
                <w:bCs w:val="0"/>
                <w:i w:val="0"/>
                <w:iCs w:val="0"/>
                <w:smallCaps w:val="0"/>
                <w:color w:val="000000"/>
                <w:kern w:val="0"/>
                <w:sz w:val="32"/>
                <w:szCs w:val="32"/>
              </w:rPr>
              <w:t>单位名称</w:t>
            </w:r>
          </w:p>
        </w:tc>
      </w:tr>
      <w:tr>
        <w:tblPrEx>
          <w:tblCellMar>
            <w:top w:w="15" w:type="dxa"/>
            <w:left w:w="15" w:type="dxa"/>
            <w:bottom w:w="15" w:type="dxa"/>
            <w:right w:w="15" w:type="dxa"/>
          </w:tblCellMar>
        </w:tblPrEx>
        <w:trPr>
          <w:tblCellSpacing w:w="0" w:type="dxa"/>
          <w:jc w:val="center"/>
        </w:trPr>
        <w:tc>
          <w:tcPr>
            <w:tcW w:w="1970" w:type="dxa"/>
            <w:tcBorders>
              <w:left w:val="single" w:color="000000" w:sz="8" w:space="0"/>
              <w:bottom w:val="single" w:color="000000" w:sz="8" w:space="0"/>
              <w:right w:val="single" w:color="000000" w:sz="8" w:space="0"/>
            </w:tcBorders>
            <w:shd w:val="clear" w:color="auto" w:fill="auto"/>
            <w:noWrap w:val="0"/>
            <w:tcMar>
              <w:top w:w="0" w:type="dxa"/>
              <w:left w:w="118" w:type="dxa"/>
              <w:bottom w:w="10" w:type="dxa"/>
              <w:right w:w="118" w:type="dxa"/>
            </w:tcMar>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1</w:t>
            </w:r>
          </w:p>
        </w:tc>
        <w:tc>
          <w:tcPr>
            <w:tcW w:w="6588" w:type="dxa"/>
            <w:tcBorders>
              <w:bottom w:val="single" w:color="000000" w:sz="8" w:space="0"/>
              <w:right w:val="single" w:color="000000" w:sz="8" w:space="0"/>
            </w:tcBorders>
            <w:shd w:val="clear" w:color="auto" w:fill="auto"/>
            <w:noWrap w:val="0"/>
            <w:tcMar>
              <w:top w:w="0" w:type="dxa"/>
              <w:left w:w="108" w:type="dxa"/>
              <w:bottom w:w="10" w:type="dxa"/>
              <w:right w:w="118" w:type="dxa"/>
            </w:tcMar>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党政综合办公室</w:t>
            </w:r>
          </w:p>
        </w:tc>
      </w:tr>
      <w:tr>
        <w:tblPrEx>
          <w:tblCellMar>
            <w:top w:w="15" w:type="dxa"/>
            <w:left w:w="15" w:type="dxa"/>
            <w:bottom w:w="15" w:type="dxa"/>
            <w:right w:w="15" w:type="dxa"/>
          </w:tblCellMar>
        </w:tblPrEx>
        <w:trPr>
          <w:tblCellSpacing w:w="0" w:type="dxa"/>
          <w:jc w:val="center"/>
        </w:trPr>
        <w:tc>
          <w:tcPr>
            <w:tcW w:w="1970" w:type="dxa"/>
            <w:tcBorders>
              <w:left w:val="single" w:color="000000" w:sz="8" w:space="0"/>
              <w:bottom w:val="single" w:color="000000" w:sz="8" w:space="0"/>
              <w:right w:val="single" w:color="000000" w:sz="8" w:space="0"/>
            </w:tcBorders>
            <w:shd w:val="clear" w:color="auto" w:fill="auto"/>
            <w:noWrap w:val="0"/>
            <w:tcMar>
              <w:top w:w="0" w:type="dxa"/>
              <w:left w:w="118" w:type="dxa"/>
              <w:bottom w:w="10" w:type="dxa"/>
              <w:right w:w="118" w:type="dxa"/>
            </w:tcMar>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2</w:t>
            </w:r>
          </w:p>
        </w:tc>
        <w:tc>
          <w:tcPr>
            <w:tcW w:w="6588" w:type="dxa"/>
            <w:tcBorders>
              <w:bottom w:val="single" w:color="000000" w:sz="8" w:space="0"/>
              <w:right w:val="single" w:color="000000" w:sz="8" w:space="0"/>
            </w:tcBorders>
            <w:shd w:val="clear" w:color="auto" w:fill="auto"/>
            <w:noWrap w:val="0"/>
            <w:tcMar>
              <w:top w:w="0" w:type="dxa"/>
              <w:left w:w="108" w:type="dxa"/>
              <w:bottom w:w="10" w:type="dxa"/>
              <w:right w:w="118" w:type="dxa"/>
            </w:tcMar>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社会事务综合办公室</w:t>
            </w:r>
          </w:p>
        </w:tc>
      </w:tr>
      <w:tr>
        <w:tblPrEx>
          <w:tblCellMar>
            <w:top w:w="15" w:type="dxa"/>
            <w:left w:w="15" w:type="dxa"/>
            <w:bottom w:w="15" w:type="dxa"/>
            <w:right w:w="15" w:type="dxa"/>
          </w:tblCellMar>
        </w:tblPrEx>
        <w:trPr>
          <w:tblCellSpacing w:w="0" w:type="dxa"/>
          <w:jc w:val="center"/>
        </w:trPr>
        <w:tc>
          <w:tcPr>
            <w:tcW w:w="1970" w:type="dxa"/>
            <w:tcBorders>
              <w:left w:val="single" w:color="000000" w:sz="8" w:space="0"/>
              <w:bottom w:val="single" w:color="000000" w:sz="8" w:space="0"/>
              <w:right w:val="single" w:color="000000" w:sz="8" w:space="0"/>
            </w:tcBorders>
            <w:shd w:val="clear" w:color="auto" w:fill="auto"/>
            <w:noWrap w:val="0"/>
            <w:tcMar>
              <w:top w:w="0" w:type="dxa"/>
              <w:left w:w="118" w:type="dxa"/>
              <w:bottom w:w="10" w:type="dxa"/>
              <w:right w:w="118" w:type="dxa"/>
            </w:tcMar>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3</w:t>
            </w:r>
          </w:p>
        </w:tc>
        <w:tc>
          <w:tcPr>
            <w:tcW w:w="6588" w:type="dxa"/>
            <w:tcBorders>
              <w:bottom w:val="single" w:color="000000" w:sz="8" w:space="0"/>
              <w:right w:val="single" w:color="000000" w:sz="8" w:space="0"/>
            </w:tcBorders>
            <w:shd w:val="clear" w:color="auto" w:fill="auto"/>
            <w:noWrap w:val="0"/>
            <w:tcMar>
              <w:top w:w="0" w:type="dxa"/>
              <w:left w:w="108" w:type="dxa"/>
              <w:bottom w:w="10" w:type="dxa"/>
              <w:right w:w="118" w:type="dxa"/>
            </w:tcMar>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社会治理综合办公室</w:t>
            </w:r>
          </w:p>
        </w:tc>
      </w:tr>
      <w:tr>
        <w:tblPrEx>
          <w:tblCellMar>
            <w:top w:w="15" w:type="dxa"/>
            <w:left w:w="15" w:type="dxa"/>
            <w:bottom w:w="15" w:type="dxa"/>
            <w:right w:w="15" w:type="dxa"/>
          </w:tblCellMar>
        </w:tblPrEx>
        <w:trPr>
          <w:tblCellSpacing w:w="0" w:type="dxa"/>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4</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经济发展办公室</w:t>
            </w:r>
          </w:p>
        </w:tc>
      </w:tr>
      <w:tr>
        <w:tblPrEx>
          <w:tblCellMar>
            <w:top w:w="15" w:type="dxa"/>
            <w:left w:w="15" w:type="dxa"/>
            <w:bottom w:w="15" w:type="dxa"/>
            <w:right w:w="15" w:type="dxa"/>
          </w:tblCellMar>
        </w:tblPrEx>
        <w:trPr>
          <w:tblCellSpacing w:w="0" w:type="dxa"/>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乡村振兴服务中心</w:t>
            </w:r>
          </w:p>
        </w:tc>
      </w:tr>
      <w:tr>
        <w:tblPrEx>
          <w:tblCellMar>
            <w:top w:w="15" w:type="dxa"/>
            <w:left w:w="15" w:type="dxa"/>
            <w:bottom w:w="15" w:type="dxa"/>
            <w:right w:w="15" w:type="dxa"/>
          </w:tblCellMar>
        </w:tblPrEx>
        <w:trPr>
          <w:tblCellSpacing w:w="0" w:type="dxa"/>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6</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综合便民服务中心</w:t>
            </w:r>
          </w:p>
        </w:tc>
      </w:tr>
      <w:tr>
        <w:tblPrEx>
          <w:tblCellMar>
            <w:top w:w="15" w:type="dxa"/>
            <w:left w:w="15" w:type="dxa"/>
            <w:bottom w:w="15" w:type="dxa"/>
            <w:right w:w="15" w:type="dxa"/>
          </w:tblCellMar>
        </w:tblPrEx>
        <w:trPr>
          <w:tblCellSpacing w:w="0" w:type="dxa"/>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7</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pPr>
              <w:adjustRightInd w:val="0"/>
              <w:spacing w:before="0" w:beforeAutospacing="1" w:after="0" w:afterAutospacing="1" w:line="600" w:lineRule="exact"/>
              <w:jc w:val="center"/>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rPr>
              <w:t>综合执法队</w:t>
            </w:r>
          </w:p>
        </w:tc>
      </w:tr>
    </w:tbl>
    <w:p>
      <w:pPr>
        <w:pStyle w:val="34"/>
        <w:widowControl/>
        <w:spacing w:before="100" w:after="100" w:line="600" w:lineRule="atLeast"/>
        <w:ind w:left="0" w:right="0" w:firstLine="640"/>
        <w:jc w:val="left"/>
        <w:rPr>
          <w:rFonts w:hint="eastAsia" w:ascii="仿宋" w:hAnsi="仿宋" w:eastAsia="仿宋" w:cs="仿宋"/>
          <w:kern w:val="0"/>
          <w:sz w:val="24"/>
        </w:rPr>
      </w:pPr>
      <w:r>
        <w:rPr>
          <w:rFonts w:hint="eastAsia" w:ascii="仿宋" w:hAnsi="仿宋" w:eastAsia="仿宋" w:cs="仿宋"/>
          <w:spacing w:val="0"/>
          <w:kern w:val="0"/>
          <w:sz w:val="32"/>
          <w:szCs w:val="32"/>
        </w:rPr>
        <w:t>（注：没有下属单位的部门或单位，可说明“本部门无下属单位”。）</w:t>
      </w:r>
    </w:p>
    <w:p>
      <w:pPr>
        <w:pStyle w:val="34"/>
        <w:widowControl/>
        <w:spacing w:before="100" w:after="100" w:line="600" w:lineRule="atLeast"/>
        <w:ind w:left="0" w:right="0" w:firstLine="640"/>
        <w:jc w:val="left"/>
        <w:rPr>
          <w:rFonts w:hint="eastAsia" w:ascii="仿宋" w:hAnsi="仿宋" w:eastAsia="仿宋" w:cs="仿宋"/>
          <w:kern w:val="0"/>
          <w:sz w:val="24"/>
        </w:rPr>
      </w:pPr>
      <w:r>
        <w:rPr>
          <w:rFonts w:hint="eastAsia" w:ascii="仿宋" w:hAnsi="仿宋" w:eastAsia="仿宋" w:cs="仿宋"/>
          <w:spacing w:val="0"/>
          <w:kern w:val="0"/>
          <w:sz w:val="32"/>
          <w:szCs w:val="32"/>
        </w:rPr>
        <w:t>三、部门主要工作总结</w:t>
      </w:r>
    </w:p>
    <w:p>
      <w:pPr>
        <w:pStyle w:val="34"/>
        <w:widowControl/>
        <w:spacing w:before="100" w:after="100"/>
        <w:ind w:right="0" w:firstLine="640" w:firstLineChars="200"/>
        <w:jc w:val="left"/>
        <w:rPr>
          <w:rFonts w:hint="eastAsia" w:ascii="仿宋" w:hAnsi="仿宋" w:eastAsia="仿宋" w:cs="仿宋"/>
          <w:spacing w:val="0"/>
          <w:kern w:val="0"/>
          <w:sz w:val="32"/>
          <w:szCs w:val="32"/>
        </w:rPr>
      </w:pPr>
      <w:r>
        <w:rPr>
          <w:rFonts w:hint="eastAsia" w:ascii="仿宋" w:hAnsi="仿宋" w:eastAsia="仿宋" w:cs="仿宋"/>
          <w:spacing w:val="0"/>
          <w:kern w:val="0"/>
          <w:sz w:val="32"/>
          <w:szCs w:val="32"/>
        </w:rPr>
        <w:t>2023年，</w:t>
      </w:r>
      <w:r>
        <w:rPr>
          <w:rFonts w:hint="eastAsia" w:ascii="仿宋" w:hAnsi="仿宋" w:eastAsia="仿宋" w:cs="仿宋"/>
          <w:spacing w:val="0"/>
          <w:kern w:val="0"/>
          <w:sz w:val="32"/>
          <w:szCs w:val="32"/>
          <w:lang w:eastAsia="zh-CN"/>
        </w:rPr>
        <w:t>人民政府</w:t>
      </w:r>
      <w:r>
        <w:rPr>
          <w:rFonts w:hint="eastAsia" w:ascii="仿宋" w:hAnsi="仿宋" w:eastAsia="仿宋" w:cs="仿宋"/>
          <w:spacing w:val="0"/>
          <w:kern w:val="0"/>
          <w:sz w:val="32"/>
          <w:szCs w:val="32"/>
        </w:rPr>
        <w:t>主要任务是：</w:t>
      </w:r>
    </w:p>
    <w:p>
      <w:pPr>
        <w:keepNext w:val="0"/>
        <w:keepLines w:val="0"/>
        <w:pageBreakBefore w:val="0"/>
        <w:widowControl w:val="0"/>
        <w:numPr>
          <w:ilvl w:val="0"/>
          <w:numId w:val="0"/>
        </w:numPr>
        <w:kinsoku/>
        <w:wordWrap/>
        <w:overflowPunct w:val="0"/>
        <w:topLinePunct w:val="0"/>
        <w:autoSpaceDE/>
        <w:autoSpaceDN/>
        <w:bidi w:val="0"/>
        <w:adjustRightInd/>
        <w:snapToGrid/>
        <w:spacing w:line="590" w:lineRule="exact"/>
        <w:ind w:firstLine="720" w:firstLineChars="200"/>
        <w:textAlignment w:val="auto"/>
        <w:rPr>
          <w:rFonts w:hint="eastAsia" w:ascii="仿宋" w:hAnsi="仿宋" w:eastAsia="仿宋" w:cs="仿宋"/>
          <w:b w:val="0"/>
          <w:bCs w:val="0"/>
          <w:color w:val="auto"/>
          <w:sz w:val="36"/>
          <w:szCs w:val="36"/>
          <w:lang w:val="en-US" w:eastAsia="zh-CN"/>
        </w:rPr>
      </w:pPr>
      <w:r>
        <w:rPr>
          <w:rFonts w:hint="eastAsia" w:ascii="仿宋" w:hAnsi="仿宋" w:eastAsia="仿宋" w:cs="仿宋"/>
          <w:b w:val="0"/>
          <w:bCs w:val="0"/>
          <w:color w:val="auto"/>
          <w:sz w:val="36"/>
          <w:szCs w:val="36"/>
          <w:lang w:val="en-US" w:eastAsia="zh-CN"/>
        </w:rPr>
        <w:t>一年来，我们坚持蓄动能、谋发展，经济实力稳步增强</w:t>
      </w:r>
    </w:p>
    <w:p>
      <w:pPr>
        <w:keepNext w:val="0"/>
        <w:keepLines w:val="0"/>
        <w:pageBreakBefore w:val="0"/>
        <w:widowControl w:val="0"/>
        <w:tabs>
          <w:tab w:val="left" w:pos="1260"/>
        </w:tabs>
        <w:kinsoku/>
        <w:wordWrap/>
        <w:topLinePunct w:val="0"/>
        <w:autoSpaceDE/>
        <w:autoSpaceDN/>
        <w:bidi w:val="0"/>
        <w:spacing w:line="590" w:lineRule="exact"/>
        <w:ind w:firstLine="723" w:firstLineChars="200"/>
        <w:jc w:val="left"/>
        <w:textAlignment w:val="auto"/>
        <w:rPr>
          <w:rFonts w:hint="eastAsia" w:ascii="仿宋" w:hAnsi="仿宋" w:eastAsia="仿宋" w:cs="仿宋"/>
          <w:b/>
          <w:bCs/>
          <w:color w:val="auto"/>
          <w:sz w:val="36"/>
          <w:szCs w:val="36"/>
        </w:rPr>
      </w:pPr>
      <w:r>
        <w:rPr>
          <w:rFonts w:hint="eastAsia" w:ascii="仿宋" w:hAnsi="仿宋" w:eastAsia="仿宋" w:cs="仿宋"/>
          <w:b/>
          <w:bCs/>
          <w:color w:val="auto"/>
          <w:sz w:val="36"/>
          <w:szCs w:val="36"/>
        </w:rPr>
        <w:t>农业发展能级有效提升。</w:t>
      </w:r>
      <w:r>
        <w:rPr>
          <w:rFonts w:hint="eastAsia" w:ascii="仿宋" w:hAnsi="仿宋" w:eastAsia="仿宋" w:cs="仿宋"/>
          <w:color w:val="auto"/>
          <w:sz w:val="36"/>
          <w:szCs w:val="36"/>
        </w:rPr>
        <w:t>聚力</w:t>
      </w:r>
      <w:r>
        <w:rPr>
          <w:rFonts w:hint="eastAsia" w:ascii="仿宋" w:hAnsi="仿宋" w:eastAsia="仿宋" w:cs="仿宋"/>
          <w:color w:val="auto"/>
          <w:sz w:val="36"/>
          <w:szCs w:val="36"/>
          <w:lang w:val="en-US" w:eastAsia="zh-CN"/>
        </w:rPr>
        <w:t>打造特色农业</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lang w:val="en-US" w:eastAsia="zh-CN"/>
        </w:rPr>
        <w:t>2023年，大燮村红米荣获省级“一村一品”称号，茶米香农业专业合作社参展的红米获中国绿色优质农产品产销对接博览会金奖，上杭县艾在西田生物科技有限公司获上杭县第一届创新创业大赛一等奖，总经理高浪钦被评为全国乡村振兴青年先锋。持续推进茶地镇水稻抗性鉴定圃建设，</w:t>
      </w:r>
      <w:r>
        <w:rPr>
          <w:rFonts w:hint="eastAsia" w:ascii="仿宋" w:hAnsi="仿宋" w:eastAsia="仿宋" w:cs="仿宋"/>
          <w:color w:val="auto"/>
          <w:sz w:val="36"/>
          <w:szCs w:val="36"/>
        </w:rPr>
        <w:t>联合全国劳模创新工作室</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lang w:val="en-US" w:eastAsia="zh-CN"/>
        </w:rPr>
        <w:t>完成3862个水稻品种抗性测试。</w:t>
      </w:r>
      <w:r>
        <w:rPr>
          <w:rStyle w:val="24"/>
          <w:rFonts w:hint="eastAsia" w:ascii="仿宋" w:hAnsi="仿宋" w:eastAsia="仿宋" w:cs="仿宋"/>
          <w:b w:val="0"/>
          <w:color w:val="auto"/>
          <w:sz w:val="36"/>
          <w:szCs w:val="36"/>
        </w:rPr>
        <w:t>出台</w:t>
      </w:r>
      <w:r>
        <w:rPr>
          <w:rStyle w:val="24"/>
          <w:rFonts w:hint="eastAsia" w:ascii="仿宋" w:hAnsi="仿宋" w:eastAsia="仿宋" w:cs="仿宋"/>
          <w:b w:val="0"/>
          <w:color w:val="auto"/>
          <w:sz w:val="36"/>
          <w:szCs w:val="36"/>
          <w:lang w:val="en-US" w:eastAsia="zh-CN"/>
        </w:rPr>
        <w:t>系列</w:t>
      </w:r>
      <w:r>
        <w:rPr>
          <w:rStyle w:val="24"/>
          <w:rFonts w:hint="eastAsia" w:ascii="仿宋" w:hAnsi="仿宋" w:eastAsia="仿宋" w:cs="仿宋"/>
          <w:b w:val="0"/>
          <w:color w:val="auto"/>
          <w:sz w:val="36"/>
          <w:szCs w:val="36"/>
        </w:rPr>
        <w:t>发展粮食生产叠加补助政策</w:t>
      </w:r>
      <w:r>
        <w:rPr>
          <w:rFonts w:hint="eastAsia" w:ascii="仿宋" w:hAnsi="仿宋" w:eastAsia="仿宋" w:cs="仿宋"/>
          <w:color w:val="auto"/>
          <w:sz w:val="36"/>
          <w:szCs w:val="36"/>
        </w:rPr>
        <w:t>。坚持推动藏粮于地、藏粮于技，以农田水利为重点，全力打造茶地村、调和村高标准农田建设</w:t>
      </w:r>
      <w:r>
        <w:rPr>
          <w:rFonts w:hint="eastAsia" w:ascii="仿宋" w:hAnsi="仿宋" w:eastAsia="仿宋" w:cs="仿宋"/>
          <w:color w:val="auto"/>
          <w:sz w:val="36"/>
          <w:szCs w:val="36"/>
          <w:lang w:eastAsia="zh-CN"/>
        </w:rPr>
        <w:t>，受益面积1180亩，土地平整187.49亩。</w:t>
      </w:r>
      <w:r>
        <w:rPr>
          <w:rFonts w:hint="eastAsia" w:ascii="仿宋" w:hAnsi="仿宋" w:eastAsia="仿宋" w:cs="仿宋"/>
          <w:color w:val="auto"/>
          <w:sz w:val="36"/>
          <w:szCs w:val="36"/>
          <w:lang w:val="en-US" w:eastAsia="zh-CN"/>
        </w:rPr>
        <w:t>全面筑牢粮食安全底线，2023年种植早稻3220亩、中稻809亩、晚稻8818亩、大豆430亩、其他杂粮1090亩，完成粮食播种面积14367亩，全年完成抛荒复垦种粮390亩，完成2023年储备订单粮食收购任务700吨，全年粮食总产合计5032吨。</w:t>
      </w:r>
    </w:p>
    <w:p>
      <w:pPr>
        <w:keepNext w:val="0"/>
        <w:keepLines w:val="0"/>
        <w:pageBreakBefore w:val="0"/>
        <w:widowControl w:val="0"/>
        <w:kinsoku/>
        <w:wordWrap/>
        <w:overflowPunct/>
        <w:topLinePunct w:val="0"/>
        <w:autoSpaceDE/>
        <w:autoSpaceDN/>
        <w:bidi w:val="0"/>
        <w:adjustRightInd/>
        <w:snapToGrid/>
        <w:spacing w:line="590" w:lineRule="exact"/>
        <w:ind w:firstLine="723" w:firstLineChars="200"/>
        <w:textAlignment w:val="auto"/>
        <w:rPr>
          <w:rFonts w:hint="eastAsia" w:ascii="仿宋" w:hAnsi="仿宋" w:eastAsia="仿宋" w:cs="仿宋"/>
          <w:b w:val="0"/>
          <w:bCs w:val="0"/>
          <w:color w:val="auto"/>
          <w:kern w:val="2"/>
          <w:sz w:val="36"/>
          <w:szCs w:val="36"/>
          <w:lang w:val="en-US" w:eastAsia="zh-CN" w:bidi="ar-SA"/>
        </w:rPr>
      </w:pPr>
      <w:r>
        <w:rPr>
          <w:rFonts w:hint="eastAsia" w:ascii="仿宋" w:hAnsi="仿宋" w:eastAsia="仿宋" w:cs="仿宋"/>
          <w:b/>
          <w:bCs/>
          <w:color w:val="auto"/>
          <w:sz w:val="36"/>
          <w:szCs w:val="36"/>
          <w:lang w:val="en-US" w:eastAsia="zh-CN"/>
        </w:rPr>
        <w:t>项目建设能力提质增效。</w:t>
      </w:r>
      <w:r>
        <w:rPr>
          <w:rFonts w:hint="eastAsia" w:ascii="仿宋" w:hAnsi="仿宋" w:eastAsia="仿宋" w:cs="仿宋"/>
          <w:color w:val="auto"/>
          <w:sz w:val="36"/>
          <w:szCs w:val="36"/>
          <w:lang w:val="en-US" w:eastAsia="zh-CN"/>
        </w:rPr>
        <w:t>践行“项目工作法”“脚底板工作法”，坚持领导带头策划项目，全力攻坚项目建设：</w:t>
      </w:r>
      <w:r>
        <w:rPr>
          <w:rFonts w:hint="eastAsia" w:ascii="仿宋" w:hAnsi="仿宋" w:eastAsia="仿宋" w:cs="仿宋"/>
          <w:b/>
          <w:bCs/>
          <w:color w:val="auto"/>
          <w:kern w:val="2"/>
          <w:sz w:val="36"/>
          <w:szCs w:val="36"/>
          <w:lang w:val="en-US" w:eastAsia="zh-CN" w:bidi="ar-SA"/>
        </w:rPr>
        <w:t>（1）上杭县黄潭河茶地镇茶地段治理工程</w:t>
      </w:r>
      <w:r>
        <w:rPr>
          <w:rFonts w:hint="eastAsia" w:ascii="仿宋" w:hAnsi="仿宋" w:eastAsia="仿宋" w:cs="仿宋"/>
          <w:b w:val="0"/>
          <w:bCs w:val="0"/>
          <w:color w:val="auto"/>
          <w:kern w:val="2"/>
          <w:sz w:val="36"/>
          <w:szCs w:val="36"/>
          <w:lang w:val="en-US" w:eastAsia="zh-CN" w:bidi="ar-SA"/>
        </w:rPr>
        <w:t>总投资约1610万元，于2023年5月完成建设并投入使用；（2）</w:t>
      </w:r>
      <w:r>
        <w:rPr>
          <w:rFonts w:hint="eastAsia" w:ascii="仿宋" w:hAnsi="仿宋" w:eastAsia="仿宋" w:cs="仿宋"/>
          <w:b/>
          <w:bCs/>
          <w:color w:val="auto"/>
          <w:kern w:val="2"/>
          <w:sz w:val="36"/>
          <w:szCs w:val="36"/>
          <w:lang w:val="en-US" w:eastAsia="zh-CN" w:bidi="ar-SA"/>
        </w:rPr>
        <w:t>茶地镇退役军人和全民健身服务中心项目</w:t>
      </w:r>
      <w:r>
        <w:rPr>
          <w:rFonts w:hint="eastAsia" w:ascii="仿宋" w:hAnsi="仿宋" w:eastAsia="仿宋" w:cs="仿宋"/>
          <w:b w:val="0"/>
          <w:bCs w:val="0"/>
          <w:color w:val="auto"/>
          <w:kern w:val="2"/>
          <w:sz w:val="36"/>
          <w:szCs w:val="36"/>
          <w:lang w:val="en-US" w:eastAsia="zh-CN" w:bidi="ar-SA"/>
        </w:rPr>
        <w:t>总投资约650万元，于2023年5月完成建设并投入使用；</w:t>
      </w:r>
      <w:r>
        <w:rPr>
          <w:rFonts w:hint="eastAsia" w:ascii="仿宋" w:hAnsi="仿宋" w:eastAsia="仿宋" w:cs="仿宋"/>
          <w:b/>
          <w:bCs/>
          <w:color w:val="auto"/>
          <w:kern w:val="2"/>
          <w:sz w:val="36"/>
          <w:szCs w:val="36"/>
          <w:lang w:val="en-US" w:eastAsia="zh-CN" w:bidi="ar-SA"/>
        </w:rPr>
        <w:t>（3）上杭县茶地镇综合运输服务站</w:t>
      </w:r>
      <w:r>
        <w:rPr>
          <w:rFonts w:hint="eastAsia" w:ascii="仿宋" w:hAnsi="仿宋" w:eastAsia="仿宋" w:cs="仿宋"/>
          <w:b w:val="0"/>
          <w:bCs w:val="0"/>
          <w:color w:val="auto"/>
          <w:kern w:val="2"/>
          <w:sz w:val="36"/>
          <w:szCs w:val="36"/>
          <w:lang w:val="en-US" w:eastAsia="zh-CN" w:bidi="ar-SA"/>
        </w:rPr>
        <w:t>总投资约550万元，于2023年12月完成项目建设并通过验收；</w:t>
      </w:r>
      <w:r>
        <w:rPr>
          <w:rFonts w:hint="eastAsia" w:ascii="仿宋" w:hAnsi="仿宋" w:eastAsia="仿宋" w:cs="仿宋"/>
          <w:b/>
          <w:bCs/>
          <w:color w:val="auto"/>
          <w:kern w:val="2"/>
          <w:sz w:val="36"/>
          <w:szCs w:val="36"/>
          <w:lang w:val="en-US" w:eastAsia="zh-CN" w:bidi="ar-SA"/>
        </w:rPr>
        <w:t>（4）茶地镇水环境整治污水管网工程项目</w:t>
      </w:r>
      <w:r>
        <w:rPr>
          <w:rFonts w:hint="eastAsia" w:ascii="仿宋" w:hAnsi="仿宋" w:eastAsia="仿宋" w:cs="仿宋"/>
          <w:b w:val="0"/>
          <w:bCs w:val="0"/>
          <w:color w:val="auto"/>
          <w:kern w:val="2"/>
          <w:sz w:val="36"/>
          <w:szCs w:val="36"/>
          <w:lang w:val="en-US" w:eastAsia="zh-CN" w:bidi="ar-SA"/>
        </w:rPr>
        <w:t>总投资约145万元，于2023年9月完成建设并投入使用；</w:t>
      </w:r>
      <w:r>
        <w:rPr>
          <w:rFonts w:hint="eastAsia" w:ascii="仿宋" w:hAnsi="仿宋" w:eastAsia="仿宋" w:cs="仿宋"/>
          <w:b/>
          <w:bCs/>
          <w:color w:val="auto"/>
          <w:kern w:val="2"/>
          <w:sz w:val="36"/>
          <w:szCs w:val="36"/>
          <w:lang w:val="en-US" w:eastAsia="zh-CN" w:bidi="ar-SA"/>
        </w:rPr>
        <w:t>（5）集镇改造提升工程</w:t>
      </w:r>
      <w:r>
        <w:rPr>
          <w:rFonts w:hint="eastAsia" w:ascii="仿宋" w:hAnsi="仿宋" w:eastAsia="仿宋" w:cs="仿宋"/>
          <w:b w:val="0"/>
          <w:bCs w:val="0"/>
          <w:color w:val="auto"/>
          <w:kern w:val="2"/>
          <w:sz w:val="36"/>
          <w:szCs w:val="36"/>
          <w:lang w:val="en-US" w:eastAsia="zh-CN" w:bidi="ar-SA"/>
        </w:rPr>
        <w:t>总投资约120万元，于2023年12月完成项目建设；</w:t>
      </w:r>
      <w:r>
        <w:rPr>
          <w:rFonts w:hint="eastAsia" w:ascii="仿宋" w:hAnsi="仿宋" w:eastAsia="仿宋" w:cs="仿宋"/>
          <w:b/>
          <w:bCs/>
          <w:color w:val="auto"/>
          <w:kern w:val="2"/>
          <w:sz w:val="36"/>
          <w:szCs w:val="36"/>
          <w:lang w:val="en-US" w:eastAsia="zh-CN" w:bidi="ar-SA"/>
        </w:rPr>
        <w:t>（6）茶地镇数字党建平台建设项目</w:t>
      </w:r>
      <w:r>
        <w:rPr>
          <w:rFonts w:hint="eastAsia" w:ascii="仿宋" w:hAnsi="仿宋" w:eastAsia="仿宋" w:cs="仿宋"/>
          <w:b w:val="0"/>
          <w:bCs w:val="0"/>
          <w:color w:val="auto"/>
          <w:kern w:val="2"/>
          <w:sz w:val="36"/>
          <w:szCs w:val="36"/>
          <w:lang w:val="en-US" w:eastAsia="zh-CN" w:bidi="ar-SA"/>
        </w:rPr>
        <w:t>总投资约45万元，于2023年7月完成项目建设并投入使用；</w:t>
      </w:r>
      <w:r>
        <w:rPr>
          <w:rFonts w:hint="eastAsia" w:ascii="仿宋" w:hAnsi="仿宋" w:eastAsia="仿宋" w:cs="仿宋"/>
          <w:b/>
          <w:bCs/>
          <w:color w:val="auto"/>
          <w:kern w:val="2"/>
          <w:sz w:val="36"/>
          <w:szCs w:val="36"/>
          <w:lang w:val="en-US" w:eastAsia="zh-CN" w:bidi="ar-SA"/>
        </w:rPr>
        <w:t>（7）茶地镇屋顶分布式光伏开发建设项目</w:t>
      </w:r>
      <w:r>
        <w:rPr>
          <w:rFonts w:hint="eastAsia" w:ascii="仿宋" w:hAnsi="仿宋" w:eastAsia="仿宋" w:cs="仿宋"/>
          <w:b w:val="0"/>
          <w:bCs w:val="0"/>
          <w:color w:val="auto"/>
          <w:kern w:val="2"/>
          <w:sz w:val="36"/>
          <w:szCs w:val="36"/>
          <w:lang w:val="en-US" w:eastAsia="zh-CN" w:bidi="ar-SA"/>
        </w:rPr>
        <w:t>计划投资800万元，完成投资约550万元，下科、调和、上连科、久泰村部和镇政府办公楼屋顶光伏设施已完成建设并投入使用；</w:t>
      </w:r>
      <w:r>
        <w:rPr>
          <w:rFonts w:hint="eastAsia" w:ascii="仿宋" w:hAnsi="仿宋" w:eastAsia="仿宋" w:cs="仿宋"/>
          <w:b/>
          <w:bCs/>
          <w:color w:val="auto"/>
          <w:kern w:val="2"/>
          <w:sz w:val="36"/>
          <w:szCs w:val="36"/>
          <w:lang w:val="en-US" w:eastAsia="zh-CN" w:bidi="ar-SA"/>
        </w:rPr>
        <w:t>（8）牛角屋红色交通线旧址修缮项目</w:t>
      </w:r>
      <w:r>
        <w:rPr>
          <w:rFonts w:hint="eastAsia" w:ascii="仿宋" w:hAnsi="仿宋" w:eastAsia="仿宋" w:cs="仿宋"/>
          <w:b w:val="0"/>
          <w:bCs w:val="0"/>
          <w:color w:val="auto"/>
          <w:kern w:val="2"/>
          <w:sz w:val="36"/>
          <w:szCs w:val="36"/>
          <w:lang w:val="en-US" w:eastAsia="zh-CN" w:bidi="ar-SA"/>
        </w:rPr>
        <w:t>总投资约120万元，于2023年8月完成项目建设；</w:t>
      </w:r>
      <w:r>
        <w:rPr>
          <w:rFonts w:hint="eastAsia" w:ascii="仿宋" w:hAnsi="仿宋" w:eastAsia="仿宋" w:cs="仿宋"/>
          <w:b/>
          <w:bCs/>
          <w:color w:val="auto"/>
          <w:kern w:val="2"/>
          <w:sz w:val="36"/>
          <w:szCs w:val="36"/>
          <w:lang w:val="en-US" w:eastAsia="zh-CN" w:bidi="ar-SA"/>
        </w:rPr>
        <w:t>（9）龙岩上杭110kV太古变10kW茶翁线线路改造和白塘线联络新建工程</w:t>
      </w:r>
      <w:r>
        <w:rPr>
          <w:rFonts w:hint="eastAsia" w:ascii="仿宋" w:hAnsi="仿宋" w:eastAsia="仿宋" w:cs="仿宋"/>
          <w:b w:val="0"/>
          <w:bCs w:val="0"/>
          <w:color w:val="auto"/>
          <w:kern w:val="2"/>
          <w:sz w:val="36"/>
          <w:szCs w:val="36"/>
          <w:lang w:val="en-US" w:eastAsia="zh-CN" w:bidi="ar-SA"/>
        </w:rPr>
        <w:t>总投资约245万元，于2023年月完成项目建设；</w:t>
      </w:r>
      <w:r>
        <w:rPr>
          <w:rFonts w:hint="eastAsia" w:ascii="仿宋" w:hAnsi="仿宋" w:eastAsia="仿宋" w:cs="仿宋"/>
          <w:b/>
          <w:bCs/>
          <w:color w:val="auto"/>
          <w:kern w:val="2"/>
          <w:sz w:val="36"/>
          <w:szCs w:val="36"/>
          <w:lang w:val="en-US" w:eastAsia="zh-CN" w:bidi="ar-SA"/>
        </w:rPr>
        <w:t>（10）合旧线X632茶地至太拔段公路改建工程</w:t>
      </w:r>
      <w:r>
        <w:rPr>
          <w:rFonts w:hint="eastAsia" w:ascii="仿宋" w:hAnsi="仿宋" w:eastAsia="仿宋" w:cs="仿宋"/>
          <w:b w:val="0"/>
          <w:bCs w:val="0"/>
          <w:color w:val="auto"/>
          <w:kern w:val="2"/>
          <w:sz w:val="36"/>
          <w:szCs w:val="36"/>
          <w:lang w:val="en-US" w:eastAsia="zh-CN" w:bidi="ar-SA"/>
        </w:rPr>
        <w:t>计划投资1.53亿元，现已完成项目可研编制、工程概算、用地预审和林地审批，正在开展土地报批工作，预计于2024年初实施土地征收；</w:t>
      </w:r>
      <w:r>
        <w:rPr>
          <w:rFonts w:hint="eastAsia" w:ascii="仿宋" w:hAnsi="仿宋" w:eastAsia="仿宋" w:cs="仿宋"/>
          <w:b/>
          <w:bCs/>
          <w:color w:val="auto"/>
          <w:kern w:val="2"/>
          <w:sz w:val="36"/>
          <w:szCs w:val="36"/>
          <w:lang w:val="en-US" w:eastAsia="zh-CN" w:bidi="ar-SA"/>
        </w:rPr>
        <w:t>（11）下科村水口桥和大燮村宫玉桥改造工程</w:t>
      </w:r>
      <w:r>
        <w:rPr>
          <w:rFonts w:hint="eastAsia" w:ascii="仿宋" w:hAnsi="仿宋" w:eastAsia="仿宋" w:cs="仿宋"/>
          <w:b w:val="0"/>
          <w:bCs w:val="0"/>
          <w:color w:val="auto"/>
          <w:kern w:val="2"/>
          <w:sz w:val="36"/>
          <w:szCs w:val="36"/>
          <w:lang w:val="en-US" w:eastAsia="zh-CN" w:bidi="ar-SA"/>
        </w:rPr>
        <w:t>计划投资220万元，现已完成设计、预算及预算审核，正在组织招投工作；</w:t>
      </w:r>
      <w:r>
        <w:rPr>
          <w:rFonts w:hint="eastAsia" w:ascii="仿宋" w:hAnsi="仿宋" w:eastAsia="仿宋" w:cs="仿宋"/>
          <w:b/>
          <w:bCs/>
          <w:color w:val="auto"/>
          <w:kern w:val="2"/>
          <w:sz w:val="36"/>
          <w:szCs w:val="36"/>
          <w:lang w:val="en-US" w:eastAsia="zh-CN" w:bidi="ar-SA"/>
        </w:rPr>
        <w:t>（12）上杭县稻种生产基地项目</w:t>
      </w:r>
      <w:r>
        <w:rPr>
          <w:rFonts w:hint="eastAsia" w:ascii="仿宋" w:hAnsi="仿宋" w:eastAsia="仿宋" w:cs="仿宋"/>
          <w:b w:val="0"/>
          <w:bCs w:val="0"/>
          <w:color w:val="auto"/>
          <w:kern w:val="2"/>
          <w:sz w:val="36"/>
          <w:szCs w:val="36"/>
          <w:lang w:val="en-US" w:eastAsia="zh-CN" w:bidi="ar-SA"/>
        </w:rPr>
        <w:t>计划投资5300万元，现已完成项目立项并列入国家重点项目库，正在申报中央预算内投资和地方政府专项债项目。茶地镇养老服务中心、茶地镇集镇农贸市场改造提升工程、千上线上甘塘至上连科段道路改造工程等项目正在策划并有序推进</w:t>
      </w:r>
      <w:r>
        <w:rPr>
          <w:rFonts w:hint="eastAsia" w:ascii="仿宋" w:hAnsi="仿宋" w:eastAsia="仿宋" w:cs="仿宋"/>
          <w:color w:val="auto"/>
          <w:sz w:val="36"/>
          <w:szCs w:val="36"/>
          <w:lang w:val="en-US" w:eastAsia="zh-CN"/>
        </w:rPr>
        <w:t>。</w:t>
      </w:r>
    </w:p>
    <w:p>
      <w:pPr>
        <w:keepNext w:val="0"/>
        <w:keepLines w:val="0"/>
        <w:pageBreakBefore w:val="0"/>
        <w:widowControl w:val="0"/>
        <w:kinsoku/>
        <w:wordWrap/>
        <w:overflowPunct w:val="0"/>
        <w:topLinePunct w:val="0"/>
        <w:autoSpaceDE/>
        <w:autoSpaceDN/>
        <w:bidi w:val="0"/>
        <w:adjustRightInd/>
        <w:snapToGrid/>
        <w:spacing w:line="590" w:lineRule="exact"/>
        <w:ind w:firstLine="723" w:firstLineChars="200"/>
        <w:textAlignment w:val="auto"/>
        <w:rPr>
          <w:rFonts w:hint="eastAsia" w:ascii="仿宋" w:hAnsi="仿宋" w:eastAsia="仿宋" w:cs="仿宋"/>
          <w:b w:val="0"/>
          <w:bCs w:val="0"/>
          <w:color w:val="auto"/>
          <w:sz w:val="36"/>
          <w:szCs w:val="36"/>
          <w:lang w:val="en-US" w:eastAsia="zh-CN"/>
        </w:rPr>
      </w:pPr>
      <w:r>
        <w:rPr>
          <w:rFonts w:hint="eastAsia" w:ascii="仿宋" w:hAnsi="仿宋" w:eastAsia="仿宋" w:cs="仿宋"/>
          <w:b/>
          <w:bCs/>
          <w:color w:val="auto"/>
          <w:sz w:val="36"/>
          <w:szCs w:val="36"/>
        </w:rPr>
        <w:t>招商引资</w:t>
      </w:r>
      <w:r>
        <w:rPr>
          <w:rFonts w:hint="eastAsia" w:ascii="仿宋" w:hAnsi="仿宋" w:eastAsia="仿宋" w:cs="仿宋"/>
          <w:b/>
          <w:bCs/>
          <w:color w:val="auto"/>
          <w:sz w:val="36"/>
          <w:szCs w:val="36"/>
          <w:lang w:val="en-US" w:eastAsia="zh-CN"/>
        </w:rPr>
        <w:t>活力持续迸发</w:t>
      </w:r>
      <w:r>
        <w:rPr>
          <w:rFonts w:hint="eastAsia" w:ascii="仿宋" w:hAnsi="仿宋" w:eastAsia="仿宋" w:cs="仿宋"/>
          <w:b/>
          <w:bCs/>
          <w:color w:val="auto"/>
          <w:sz w:val="36"/>
          <w:szCs w:val="36"/>
        </w:rPr>
        <w:t>。</w:t>
      </w:r>
      <w:r>
        <w:rPr>
          <w:rFonts w:hint="eastAsia" w:ascii="仿宋" w:hAnsi="仿宋" w:eastAsia="仿宋" w:cs="仿宋"/>
          <w:color w:val="auto"/>
          <w:sz w:val="36"/>
          <w:szCs w:val="36"/>
          <w:lang w:val="en-US" w:eastAsia="zh-CN"/>
        </w:rPr>
        <w:t>开展大招商招好商行动，</w:t>
      </w:r>
      <w:r>
        <w:rPr>
          <w:rFonts w:hint="eastAsia" w:ascii="仿宋" w:hAnsi="仿宋" w:eastAsia="仿宋" w:cs="仿宋"/>
          <w:color w:val="auto"/>
          <w:sz w:val="36"/>
          <w:szCs w:val="36"/>
        </w:rPr>
        <w:t>优化招商引资政策，</w:t>
      </w:r>
      <w:r>
        <w:rPr>
          <w:rFonts w:hint="eastAsia" w:ascii="仿宋" w:hAnsi="仿宋" w:eastAsia="仿宋" w:cs="仿宋"/>
          <w:color w:val="auto"/>
          <w:sz w:val="36"/>
          <w:szCs w:val="36"/>
          <w:lang w:val="en-US" w:eastAsia="zh-CN"/>
        </w:rPr>
        <w:t>2023年完成招商引资签约3家，开工2家，竣工2家</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lang w:val="en-US" w:eastAsia="zh-CN"/>
        </w:rPr>
        <w:t>新增</w:t>
      </w:r>
      <w:r>
        <w:rPr>
          <w:rFonts w:hint="eastAsia" w:ascii="仿宋" w:hAnsi="仿宋" w:eastAsia="仿宋" w:cs="仿宋"/>
          <w:color w:val="auto"/>
          <w:sz w:val="36"/>
          <w:szCs w:val="36"/>
        </w:rPr>
        <w:t>规上工业</w:t>
      </w:r>
      <w:r>
        <w:rPr>
          <w:rFonts w:hint="eastAsia" w:ascii="仿宋" w:hAnsi="仿宋" w:eastAsia="仿宋" w:cs="仿宋"/>
          <w:color w:val="auto"/>
          <w:sz w:val="36"/>
          <w:szCs w:val="36"/>
          <w:lang w:eastAsia="zh-CN"/>
        </w:rPr>
        <w:t>企业</w:t>
      </w:r>
      <w:r>
        <w:rPr>
          <w:rFonts w:hint="eastAsia" w:ascii="仿宋" w:hAnsi="仿宋" w:eastAsia="仿宋" w:cs="仿宋"/>
          <w:color w:val="auto"/>
          <w:sz w:val="36"/>
          <w:szCs w:val="36"/>
          <w:lang w:val="en-US" w:eastAsia="zh-CN"/>
        </w:rPr>
        <w:t>1</w:t>
      </w:r>
      <w:r>
        <w:rPr>
          <w:rFonts w:hint="eastAsia" w:ascii="仿宋" w:hAnsi="仿宋" w:eastAsia="仿宋" w:cs="仿宋"/>
          <w:color w:val="auto"/>
          <w:sz w:val="36"/>
          <w:szCs w:val="36"/>
        </w:rPr>
        <w:t>家，规上服务业</w:t>
      </w:r>
      <w:r>
        <w:rPr>
          <w:rFonts w:hint="eastAsia" w:ascii="仿宋" w:hAnsi="仿宋" w:eastAsia="仿宋" w:cs="仿宋"/>
          <w:color w:val="auto"/>
          <w:sz w:val="36"/>
          <w:szCs w:val="36"/>
          <w:lang w:eastAsia="zh-CN"/>
        </w:rPr>
        <w:t>企业</w:t>
      </w:r>
      <w:r>
        <w:rPr>
          <w:rFonts w:hint="eastAsia" w:ascii="仿宋" w:hAnsi="仿宋" w:eastAsia="仿宋" w:cs="仿宋"/>
          <w:color w:val="auto"/>
          <w:sz w:val="36"/>
          <w:szCs w:val="36"/>
          <w:lang w:val="en-US" w:eastAsia="zh-CN"/>
        </w:rPr>
        <w:t>1</w:t>
      </w:r>
      <w:r>
        <w:rPr>
          <w:rFonts w:hint="eastAsia" w:ascii="仿宋" w:hAnsi="仿宋" w:eastAsia="仿宋" w:cs="仿宋"/>
          <w:color w:val="auto"/>
          <w:sz w:val="36"/>
          <w:szCs w:val="36"/>
        </w:rPr>
        <w:t>家，限上批零住餐企业</w:t>
      </w:r>
      <w:r>
        <w:rPr>
          <w:rFonts w:hint="eastAsia" w:ascii="仿宋" w:hAnsi="仿宋" w:eastAsia="仿宋" w:cs="仿宋"/>
          <w:color w:val="auto"/>
          <w:sz w:val="36"/>
          <w:szCs w:val="36"/>
          <w:lang w:val="en-US" w:eastAsia="zh-CN"/>
        </w:rPr>
        <w:t>2</w:t>
      </w:r>
      <w:r>
        <w:rPr>
          <w:rFonts w:hint="eastAsia" w:ascii="仿宋" w:hAnsi="仿宋" w:eastAsia="仿宋" w:cs="仿宋"/>
          <w:color w:val="auto"/>
          <w:sz w:val="36"/>
          <w:szCs w:val="36"/>
        </w:rPr>
        <w:t>家，</w:t>
      </w:r>
      <w:r>
        <w:rPr>
          <w:rFonts w:hint="eastAsia" w:ascii="仿宋" w:hAnsi="仿宋" w:eastAsia="仿宋" w:cs="仿宋"/>
          <w:color w:val="auto"/>
          <w:sz w:val="36"/>
          <w:szCs w:val="36"/>
          <w:lang w:val="en-US" w:eastAsia="zh-CN"/>
        </w:rPr>
        <w:t>引进</w:t>
      </w:r>
      <w:r>
        <w:rPr>
          <w:rFonts w:hint="eastAsia" w:ascii="仿宋" w:hAnsi="仿宋" w:eastAsia="仿宋" w:cs="仿宋"/>
          <w:color w:val="auto"/>
          <w:sz w:val="36"/>
          <w:szCs w:val="36"/>
          <w:lang w:eastAsia="zh-CN"/>
        </w:rPr>
        <w:t>建筑业企业</w:t>
      </w:r>
      <w:r>
        <w:rPr>
          <w:rFonts w:hint="eastAsia" w:ascii="仿宋" w:hAnsi="仿宋" w:eastAsia="仿宋" w:cs="仿宋"/>
          <w:color w:val="auto"/>
          <w:sz w:val="36"/>
          <w:szCs w:val="36"/>
          <w:lang w:val="en-US" w:eastAsia="zh-CN"/>
        </w:rPr>
        <w:t>2家，</w:t>
      </w:r>
      <w:r>
        <w:rPr>
          <w:rFonts w:hint="eastAsia" w:ascii="仿宋" w:hAnsi="仿宋" w:eastAsia="仿宋" w:cs="仿宋"/>
          <w:color w:val="auto"/>
          <w:sz w:val="36"/>
          <w:szCs w:val="36"/>
        </w:rPr>
        <w:t>绿色经济模式已初</w:t>
      </w:r>
      <w:r>
        <w:rPr>
          <w:rFonts w:hint="eastAsia" w:ascii="仿宋" w:hAnsi="仿宋" w:eastAsia="仿宋" w:cs="仿宋"/>
          <w:color w:val="auto"/>
          <w:sz w:val="36"/>
          <w:szCs w:val="36"/>
          <w:lang w:eastAsia="zh-CN"/>
        </w:rPr>
        <w:t>具规模</w:t>
      </w:r>
      <w:r>
        <w:rPr>
          <w:rFonts w:hint="eastAsia" w:ascii="仿宋" w:hAnsi="仿宋" w:eastAsia="仿宋" w:cs="仿宋"/>
          <w:color w:val="auto"/>
          <w:sz w:val="36"/>
          <w:szCs w:val="36"/>
        </w:rPr>
        <w:t>。积极</w:t>
      </w:r>
      <w:r>
        <w:rPr>
          <w:rFonts w:hint="eastAsia" w:ascii="仿宋" w:hAnsi="仿宋" w:eastAsia="仿宋" w:cs="仿宋"/>
          <w:color w:val="auto"/>
          <w:sz w:val="36"/>
          <w:szCs w:val="36"/>
          <w:lang w:eastAsia="zh-CN"/>
        </w:rPr>
        <w:t>对接对口帮扶协作单位</w:t>
      </w:r>
      <w:r>
        <w:rPr>
          <w:rFonts w:hint="eastAsia" w:ascii="仿宋" w:hAnsi="仿宋" w:eastAsia="仿宋" w:cs="仿宋"/>
          <w:color w:val="auto"/>
          <w:sz w:val="36"/>
          <w:szCs w:val="36"/>
        </w:rPr>
        <w:t>，</w:t>
      </w:r>
      <w:r>
        <w:rPr>
          <w:rFonts w:hint="eastAsia" w:ascii="仿宋" w:hAnsi="仿宋" w:eastAsia="仿宋" w:cs="仿宋"/>
          <w:color w:val="auto"/>
          <w:sz w:val="36"/>
          <w:szCs w:val="36"/>
          <w:lang w:eastAsia="zh-CN"/>
        </w:rPr>
        <w:t>与</w:t>
      </w:r>
      <w:r>
        <w:rPr>
          <w:rFonts w:hint="eastAsia" w:ascii="仿宋" w:hAnsi="仿宋" w:eastAsia="仿宋" w:cs="仿宋"/>
          <w:color w:val="auto"/>
          <w:sz w:val="36"/>
          <w:szCs w:val="36"/>
        </w:rPr>
        <w:t>晋江市产业集团</w:t>
      </w:r>
      <w:r>
        <w:rPr>
          <w:rFonts w:hint="eastAsia" w:ascii="仿宋" w:hAnsi="仿宋" w:eastAsia="仿宋" w:cs="仿宋"/>
          <w:color w:val="auto"/>
          <w:sz w:val="36"/>
          <w:szCs w:val="36"/>
          <w:lang w:eastAsia="zh-CN"/>
        </w:rPr>
        <w:t>合资开办晋杭汇客家特产超市，打造“消费帮扶”</w:t>
      </w:r>
      <w:r>
        <w:rPr>
          <w:rFonts w:hint="eastAsia" w:ascii="仿宋" w:hAnsi="仿宋" w:eastAsia="仿宋" w:cs="仿宋"/>
          <w:color w:val="auto"/>
          <w:sz w:val="36"/>
          <w:szCs w:val="36"/>
          <w:lang w:val="en-US" w:eastAsia="zh-CN"/>
        </w:rPr>
        <w:t>平台</w:t>
      </w:r>
      <w:r>
        <w:rPr>
          <w:rFonts w:hint="eastAsia" w:ascii="仿宋" w:hAnsi="仿宋" w:eastAsia="仿宋" w:cs="仿宋"/>
          <w:color w:val="auto"/>
          <w:sz w:val="36"/>
          <w:szCs w:val="36"/>
          <w:lang w:eastAsia="zh-CN"/>
        </w:rPr>
        <w:t>，畅通两地农产品销售渠道</w:t>
      </w:r>
      <w:r>
        <w:rPr>
          <w:rFonts w:hint="eastAsia" w:ascii="仿宋" w:hAnsi="仿宋" w:eastAsia="仿宋" w:cs="仿宋"/>
          <w:color w:val="auto"/>
          <w:sz w:val="36"/>
          <w:szCs w:val="36"/>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90" w:lineRule="exact"/>
        <w:ind w:firstLine="641"/>
        <w:textAlignment w:val="auto"/>
        <w:rPr>
          <w:rFonts w:hint="eastAsia" w:ascii="仿宋" w:hAnsi="仿宋" w:eastAsia="仿宋" w:cs="仿宋"/>
          <w:b w:val="0"/>
          <w:bCs w:val="0"/>
          <w:color w:val="auto"/>
          <w:sz w:val="36"/>
          <w:szCs w:val="36"/>
          <w:lang w:val="en-US" w:eastAsia="zh-CN"/>
        </w:rPr>
      </w:pPr>
      <w:r>
        <w:rPr>
          <w:rFonts w:hint="eastAsia" w:ascii="仿宋" w:hAnsi="仿宋" w:eastAsia="仿宋" w:cs="仿宋"/>
          <w:b w:val="0"/>
          <w:bCs w:val="0"/>
          <w:color w:val="auto"/>
          <w:sz w:val="36"/>
          <w:szCs w:val="36"/>
          <w:lang w:val="en-US" w:eastAsia="zh-CN"/>
        </w:rPr>
        <w:t>一年来，我们坚持防风险、护稳定，社会治理有力有序</w:t>
      </w:r>
      <w:r>
        <w:rPr>
          <w:rFonts w:hint="eastAsia" w:ascii="仿宋" w:hAnsi="仿宋" w:eastAsia="仿宋" w:cs="仿宋"/>
          <w:color w:val="auto"/>
          <w:sz w:val="36"/>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90" w:lineRule="exact"/>
        <w:ind w:firstLine="723" w:firstLineChars="200"/>
        <w:textAlignment w:val="auto"/>
        <w:rPr>
          <w:rFonts w:hint="eastAsia" w:ascii="仿宋" w:hAnsi="仿宋" w:eastAsia="仿宋" w:cs="仿宋"/>
          <w:color w:val="auto"/>
          <w:sz w:val="36"/>
          <w:szCs w:val="36"/>
          <w:lang w:val="en-US"/>
        </w:rPr>
      </w:pPr>
      <w:r>
        <w:rPr>
          <w:rFonts w:hint="eastAsia" w:ascii="仿宋" w:hAnsi="仿宋" w:eastAsia="仿宋" w:cs="仿宋"/>
          <w:b/>
          <w:bCs/>
          <w:color w:val="auto"/>
          <w:sz w:val="36"/>
          <w:szCs w:val="36"/>
          <w:lang w:val="en-US" w:eastAsia="zh-CN"/>
        </w:rPr>
        <w:t>基层治理体系日趋完善</w:t>
      </w:r>
      <w:r>
        <w:rPr>
          <w:rFonts w:hint="eastAsia" w:ascii="仿宋" w:hAnsi="仿宋" w:eastAsia="仿宋" w:cs="仿宋"/>
          <w:b/>
          <w:bCs/>
          <w:color w:val="auto"/>
          <w:sz w:val="36"/>
          <w:szCs w:val="36"/>
        </w:rPr>
        <w:t>。</w:t>
      </w:r>
      <w:r>
        <w:rPr>
          <w:rFonts w:hint="eastAsia" w:ascii="仿宋" w:hAnsi="仿宋" w:eastAsia="仿宋" w:cs="仿宋"/>
          <w:color w:val="auto"/>
          <w:sz w:val="36"/>
          <w:szCs w:val="36"/>
          <w:lang w:val="en-US" w:eastAsia="zh-CN"/>
        </w:rPr>
        <w:t>坚持党建引领，全力推进全科网格服务体系建设。</w:t>
      </w:r>
      <w:r>
        <w:rPr>
          <w:rFonts w:hint="eastAsia" w:ascii="仿宋" w:hAnsi="仿宋" w:eastAsia="仿宋" w:cs="仿宋"/>
          <w:color w:val="auto"/>
          <w:sz w:val="36"/>
          <w:szCs w:val="36"/>
        </w:rPr>
        <w:t>依托数字党建智慧治理服务平台，将各类资源与网格体系有效整合，推动各职能向网格集聚，打造多元化网格队伍体系，凝聚工作合力。</w:t>
      </w:r>
      <w:r>
        <w:rPr>
          <w:rFonts w:hint="eastAsia" w:ascii="仿宋" w:hAnsi="仿宋" w:eastAsia="仿宋" w:cs="仿宋"/>
          <w:color w:val="auto"/>
          <w:sz w:val="36"/>
          <w:szCs w:val="36"/>
          <w:lang w:val="en-US" w:eastAsia="zh-CN"/>
        </w:rPr>
        <w:t>积极推动</w:t>
      </w:r>
      <w:r>
        <w:rPr>
          <w:rFonts w:hint="eastAsia" w:ascii="仿宋" w:hAnsi="仿宋" w:eastAsia="仿宋" w:cs="仿宋"/>
          <w:color w:val="auto"/>
          <w:sz w:val="36"/>
          <w:szCs w:val="36"/>
        </w:rPr>
        <w:t>扫黑除恶斗争</w:t>
      </w:r>
      <w:r>
        <w:rPr>
          <w:rFonts w:hint="eastAsia" w:ascii="仿宋" w:hAnsi="仿宋" w:eastAsia="仿宋" w:cs="仿宋"/>
          <w:color w:val="auto"/>
          <w:sz w:val="36"/>
          <w:szCs w:val="36"/>
          <w:lang w:val="en-US" w:eastAsia="zh-CN"/>
        </w:rPr>
        <w:t>常态化</w:t>
      </w:r>
      <w:r>
        <w:rPr>
          <w:rFonts w:hint="eastAsia" w:ascii="仿宋" w:hAnsi="仿宋" w:eastAsia="仿宋" w:cs="仿宋"/>
          <w:color w:val="auto"/>
          <w:sz w:val="36"/>
          <w:szCs w:val="36"/>
        </w:rPr>
        <w:t>，扎实开展“八五”普法，深化平安“三率”建设</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rPr>
        <w:t>加大打击防范电信网络诈骗新型违法犯罪、禁毒、反邪教、防范和处置非法集资等工作力度，强化矛盾纠纷排查化解，实现矛盾纠纷全化解、信访积案全清零，滞留缅北涉诈高危人员在全县率先“清零”。2023年，全镇受理各类刑事案件4起，行政案件14起，查处14起，未发生重大群体性事件和“民转刑”案件；调解化解矛盾纠纷28起，调解满意率100%。受理12345便民服务平台投诉89件</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rPr>
        <w:t>解决 89件，及时答复率100%，办结信访事项2件</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rPr>
        <w:t>办结率100%。</w:t>
      </w:r>
      <w:r>
        <w:rPr>
          <w:rFonts w:hint="eastAsia" w:ascii="仿宋" w:hAnsi="仿宋" w:eastAsia="仿宋" w:cs="仿宋"/>
          <w:color w:val="auto"/>
          <w:sz w:val="36"/>
          <w:szCs w:val="36"/>
          <w:lang w:val="en-US" w:eastAsia="zh-CN"/>
        </w:rPr>
        <w:t>第五次全国经济普查工作有序开展。</w:t>
      </w:r>
    </w:p>
    <w:p>
      <w:pPr>
        <w:keepNext w:val="0"/>
        <w:keepLines w:val="0"/>
        <w:pageBreakBefore w:val="0"/>
        <w:widowControl w:val="0"/>
        <w:numPr>
          <w:ilvl w:val="0"/>
          <w:numId w:val="0"/>
        </w:numPr>
        <w:kinsoku/>
        <w:wordWrap/>
        <w:overflowPunct w:val="0"/>
        <w:topLinePunct w:val="0"/>
        <w:autoSpaceDE/>
        <w:autoSpaceDN/>
        <w:bidi w:val="0"/>
        <w:adjustRightInd/>
        <w:snapToGrid/>
        <w:spacing w:line="590" w:lineRule="exact"/>
        <w:ind w:firstLine="641"/>
        <w:textAlignment w:val="auto"/>
        <w:rPr>
          <w:rFonts w:hint="eastAsia" w:ascii="仿宋" w:hAnsi="仿宋" w:eastAsia="仿宋" w:cs="仿宋"/>
          <w:color w:val="auto"/>
          <w:sz w:val="36"/>
          <w:szCs w:val="36"/>
          <w:shd w:val="clear" w:color="auto" w:fill="FFFFFF"/>
        </w:rPr>
      </w:pPr>
      <w:r>
        <w:rPr>
          <w:rFonts w:hint="eastAsia" w:ascii="仿宋" w:hAnsi="仿宋" w:eastAsia="仿宋" w:cs="仿宋"/>
          <w:b/>
          <w:bCs/>
          <w:color w:val="auto"/>
          <w:sz w:val="36"/>
          <w:szCs w:val="36"/>
        </w:rPr>
        <w:t>风险</w:t>
      </w:r>
      <w:r>
        <w:rPr>
          <w:rFonts w:hint="eastAsia" w:ascii="仿宋" w:hAnsi="仿宋" w:eastAsia="仿宋" w:cs="仿宋"/>
          <w:b/>
          <w:bCs/>
          <w:color w:val="auto"/>
          <w:sz w:val="36"/>
          <w:szCs w:val="36"/>
          <w:lang w:val="en-US" w:eastAsia="zh-CN"/>
        </w:rPr>
        <w:t>管控能力</w:t>
      </w:r>
      <w:r>
        <w:rPr>
          <w:rFonts w:hint="eastAsia" w:ascii="仿宋" w:hAnsi="仿宋" w:eastAsia="仿宋" w:cs="仿宋"/>
          <w:b/>
          <w:bCs/>
          <w:color w:val="auto"/>
          <w:sz w:val="36"/>
          <w:szCs w:val="36"/>
        </w:rPr>
        <w:t>不断强化。</w:t>
      </w:r>
      <w:r>
        <w:rPr>
          <w:rFonts w:hint="eastAsia" w:ascii="仿宋" w:hAnsi="仿宋" w:eastAsia="仿宋" w:cs="仿宋"/>
          <w:color w:val="auto"/>
          <w:sz w:val="36"/>
          <w:szCs w:val="36"/>
        </w:rPr>
        <w:t>严格落实安全生产“党政同责、一岗双责”，坚持“安全第一、预防为主、综合治理”工作方针，持续开展安全生产大排查大整治，对辖区内各领域开展“拉网式”排查</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shd w:val="clear" w:color="auto" w:fill="FFFFFF"/>
        </w:rPr>
        <w:t>今年以来，共组织各类安全隐患检查</w:t>
      </w:r>
      <w:r>
        <w:rPr>
          <w:rFonts w:hint="eastAsia" w:ascii="仿宋" w:hAnsi="仿宋" w:eastAsia="仿宋" w:cs="仿宋"/>
          <w:color w:val="auto"/>
          <w:sz w:val="36"/>
          <w:szCs w:val="36"/>
          <w:shd w:val="clear" w:color="auto" w:fill="FFFFFF"/>
          <w:lang w:val="en-US" w:eastAsia="zh-CN"/>
        </w:rPr>
        <w:t>29</w:t>
      </w:r>
      <w:r>
        <w:rPr>
          <w:rFonts w:hint="eastAsia" w:ascii="仿宋" w:hAnsi="仿宋" w:eastAsia="仿宋" w:cs="仿宋"/>
          <w:color w:val="auto"/>
          <w:sz w:val="36"/>
          <w:szCs w:val="36"/>
          <w:shd w:val="clear" w:color="auto" w:fill="FFFFFF"/>
        </w:rPr>
        <w:t>次，发现一般隐患</w:t>
      </w:r>
      <w:r>
        <w:rPr>
          <w:rFonts w:hint="eastAsia" w:ascii="仿宋" w:hAnsi="仿宋" w:eastAsia="仿宋" w:cs="仿宋"/>
          <w:color w:val="auto"/>
          <w:sz w:val="36"/>
          <w:szCs w:val="36"/>
          <w:shd w:val="clear" w:color="auto" w:fill="FFFFFF"/>
          <w:lang w:val="en-US" w:eastAsia="zh-CN"/>
        </w:rPr>
        <w:t>43</w:t>
      </w:r>
      <w:r>
        <w:rPr>
          <w:rFonts w:hint="eastAsia" w:ascii="仿宋" w:hAnsi="仿宋" w:eastAsia="仿宋" w:cs="仿宋"/>
          <w:color w:val="auto"/>
          <w:sz w:val="36"/>
          <w:szCs w:val="36"/>
          <w:shd w:val="clear" w:color="auto" w:fill="FFFFFF"/>
        </w:rPr>
        <w:t>条，均已全部整改到位。</w:t>
      </w:r>
      <w:r>
        <w:rPr>
          <w:rFonts w:hint="eastAsia" w:ascii="仿宋" w:hAnsi="仿宋" w:eastAsia="仿宋" w:cs="仿宋"/>
          <w:color w:val="auto"/>
          <w:sz w:val="36"/>
          <w:szCs w:val="36"/>
        </w:rPr>
        <w:t>积极开展防灾减灾救灾工作，完成灾后重建危旧房8户。</w:t>
      </w:r>
      <w:r>
        <w:rPr>
          <w:rFonts w:hint="eastAsia" w:ascii="仿宋" w:hAnsi="仿宋" w:eastAsia="仿宋" w:cs="仿宋"/>
          <w:color w:val="auto"/>
          <w:sz w:val="36"/>
          <w:szCs w:val="36"/>
          <w:shd w:val="clear" w:color="auto" w:fill="FFFFFF"/>
        </w:rPr>
        <w:t>开展防洪抢险、防汛、坍塌事故应急救援、消防应急演练</w:t>
      </w:r>
      <w:r>
        <w:rPr>
          <w:rFonts w:hint="eastAsia" w:ascii="仿宋" w:hAnsi="仿宋" w:eastAsia="仿宋" w:cs="仿宋"/>
          <w:color w:val="auto"/>
          <w:sz w:val="36"/>
          <w:szCs w:val="36"/>
          <w:shd w:val="clear" w:color="auto" w:fill="FFFFFF"/>
          <w:lang w:val="en-US" w:eastAsia="zh-CN"/>
        </w:rPr>
        <w:t>14</w:t>
      </w:r>
      <w:r>
        <w:rPr>
          <w:rFonts w:hint="eastAsia" w:ascii="仿宋" w:hAnsi="仿宋" w:eastAsia="仿宋" w:cs="仿宋"/>
          <w:color w:val="auto"/>
          <w:sz w:val="36"/>
          <w:szCs w:val="36"/>
          <w:shd w:val="clear" w:color="auto" w:fill="FFFFFF"/>
        </w:rPr>
        <w:t>场次，组织学习培训及观看警示教育片</w:t>
      </w:r>
      <w:r>
        <w:rPr>
          <w:rFonts w:hint="eastAsia" w:ascii="仿宋" w:hAnsi="仿宋" w:eastAsia="仿宋" w:cs="仿宋"/>
          <w:color w:val="auto"/>
          <w:sz w:val="36"/>
          <w:szCs w:val="36"/>
          <w:shd w:val="clear" w:color="auto" w:fill="FFFFFF"/>
          <w:lang w:val="en-US" w:eastAsia="zh-CN"/>
        </w:rPr>
        <w:t>17</w:t>
      </w:r>
      <w:r>
        <w:rPr>
          <w:rFonts w:hint="eastAsia" w:ascii="仿宋" w:hAnsi="仿宋" w:eastAsia="仿宋" w:cs="仿宋"/>
          <w:color w:val="auto"/>
          <w:sz w:val="36"/>
          <w:szCs w:val="36"/>
          <w:shd w:val="clear" w:color="auto" w:fill="FFFFFF"/>
        </w:rPr>
        <w:t>场次，安全生产形势安定稳定。</w:t>
      </w:r>
    </w:p>
    <w:p>
      <w:pPr>
        <w:keepNext w:val="0"/>
        <w:keepLines w:val="0"/>
        <w:pageBreakBefore w:val="0"/>
        <w:widowControl w:val="0"/>
        <w:kinsoku/>
        <w:wordWrap/>
        <w:overflowPunct/>
        <w:topLinePunct w:val="0"/>
        <w:autoSpaceDE/>
        <w:autoSpaceDN/>
        <w:bidi w:val="0"/>
        <w:adjustRightInd/>
        <w:snapToGrid/>
        <w:spacing w:line="590" w:lineRule="exact"/>
        <w:ind w:firstLine="720" w:firstLineChars="200"/>
        <w:textAlignment w:val="auto"/>
        <w:rPr>
          <w:rFonts w:hint="eastAsia" w:ascii="仿宋" w:hAnsi="仿宋" w:eastAsia="仿宋" w:cs="仿宋"/>
          <w:color w:val="auto"/>
          <w:sz w:val="36"/>
          <w:szCs w:val="36"/>
          <w:lang w:val="en-US"/>
        </w:rPr>
      </w:pPr>
      <w:r>
        <w:rPr>
          <w:rFonts w:hint="eastAsia" w:ascii="仿宋" w:hAnsi="仿宋" w:eastAsia="仿宋" w:cs="仿宋"/>
          <w:b w:val="0"/>
          <w:bCs w:val="0"/>
          <w:color w:val="auto"/>
          <w:sz w:val="36"/>
          <w:szCs w:val="36"/>
          <w:lang w:val="en-US" w:eastAsia="zh-CN"/>
        </w:rPr>
        <w:t>一年来，我们坚持优生态、美环境，宜居乡村提档升级</w:t>
      </w:r>
    </w:p>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topLinePunct w:val="0"/>
        <w:bidi w:val="0"/>
        <w:spacing w:before="0" w:beforeAutospacing="0" w:after="150" w:afterAutospacing="0" w:line="590" w:lineRule="exact"/>
        <w:ind w:left="0" w:right="0" w:firstLine="723" w:firstLineChars="200"/>
        <w:jc w:val="both"/>
        <w:textAlignment w:val="auto"/>
        <w:rPr>
          <w:rFonts w:hint="eastAsia" w:ascii="仿宋" w:hAnsi="仿宋" w:eastAsia="仿宋" w:cs="仿宋"/>
          <w:color w:val="auto"/>
          <w:sz w:val="36"/>
          <w:szCs w:val="36"/>
        </w:rPr>
      </w:pPr>
      <w:r>
        <w:rPr>
          <w:rFonts w:hint="eastAsia" w:ascii="仿宋" w:hAnsi="仿宋" w:eastAsia="仿宋" w:cs="仿宋"/>
          <w:b/>
          <w:bCs/>
          <w:color w:val="auto"/>
          <w:sz w:val="36"/>
          <w:szCs w:val="36"/>
        </w:rPr>
        <w:t>生态环境质量持续向好</w:t>
      </w:r>
      <w:r>
        <w:rPr>
          <w:rFonts w:hint="eastAsia" w:ascii="仿宋" w:hAnsi="仿宋" w:eastAsia="仿宋" w:cs="仿宋"/>
          <w:color w:val="auto"/>
          <w:kern w:val="2"/>
          <w:sz w:val="36"/>
          <w:szCs w:val="36"/>
          <w:lang w:val="en-US" w:eastAsia="zh-CN" w:bidi="ar-SA"/>
        </w:rPr>
        <w:t>。深入开展</w:t>
      </w:r>
      <w:r>
        <w:rPr>
          <w:rFonts w:hint="eastAsia" w:ascii="仿宋" w:hAnsi="仿宋" w:eastAsia="仿宋" w:cs="仿宋"/>
          <w:color w:val="auto"/>
          <w:w w:val="100"/>
          <w:sz w:val="36"/>
          <w:szCs w:val="36"/>
          <w:highlight w:val="none"/>
        </w:rPr>
        <w:t>生态环境综合整治</w:t>
      </w:r>
      <w:r>
        <w:rPr>
          <w:rFonts w:hint="eastAsia" w:ascii="仿宋" w:hAnsi="仿宋" w:eastAsia="仿宋" w:cs="仿宋"/>
          <w:color w:val="auto"/>
          <w:w w:val="100"/>
          <w:sz w:val="36"/>
          <w:szCs w:val="36"/>
          <w:highlight w:val="none"/>
          <w:lang w:eastAsia="zh-CN"/>
        </w:rPr>
        <w:t>专项</w:t>
      </w:r>
      <w:r>
        <w:rPr>
          <w:rFonts w:hint="eastAsia" w:ascii="仿宋" w:hAnsi="仿宋" w:eastAsia="仿宋" w:cs="仿宋"/>
          <w:color w:val="auto"/>
          <w:w w:val="100"/>
          <w:sz w:val="36"/>
          <w:szCs w:val="36"/>
          <w:highlight w:val="none"/>
        </w:rPr>
        <w:t>行动</w:t>
      </w:r>
      <w:r>
        <w:rPr>
          <w:rFonts w:hint="eastAsia" w:ascii="仿宋" w:hAnsi="仿宋" w:eastAsia="仿宋" w:cs="仿宋"/>
          <w:color w:val="auto"/>
          <w:w w:val="100"/>
          <w:sz w:val="36"/>
          <w:szCs w:val="36"/>
          <w:highlight w:val="none"/>
          <w:lang w:eastAsia="zh-CN"/>
        </w:rPr>
        <w:t>。</w:t>
      </w:r>
      <w:r>
        <w:rPr>
          <w:rFonts w:hint="eastAsia" w:ascii="仿宋" w:hAnsi="仿宋" w:eastAsia="仿宋" w:cs="仿宋"/>
          <w:color w:val="auto"/>
          <w:sz w:val="36"/>
          <w:szCs w:val="36"/>
        </w:rPr>
        <w:t>镇域内河湖环境质量显著改善，黄潭河支流茶地调和溪黄竹墩断面Ⅲ类水质达标率100%。持续深入打好生猪养殖污染整治攻坚战，累计拆除违规生猪养殖场4户802㎡、关闭生猪养殖场22户1232㎡，累计消减生猪935头；退养生猪养殖场25户865㎡，消减生猪400头。</w:t>
      </w:r>
      <w:r>
        <w:rPr>
          <w:rFonts w:hint="eastAsia" w:ascii="仿宋" w:hAnsi="仿宋" w:eastAsia="仿宋" w:cs="仿宋"/>
          <w:color w:val="auto"/>
          <w:sz w:val="36"/>
          <w:szCs w:val="36"/>
          <w:lang w:val="en-US" w:eastAsia="zh-CN"/>
        </w:rPr>
        <w:t>全面完成集镇新建、修缮2500米污水管网，确保集镇污水处理厂正常运行。</w:t>
      </w:r>
      <w:r>
        <w:rPr>
          <w:rFonts w:hint="eastAsia" w:ascii="仿宋" w:hAnsi="仿宋" w:eastAsia="仿宋" w:cs="仿宋"/>
          <w:color w:val="auto"/>
          <w:kern w:val="2"/>
          <w:sz w:val="36"/>
          <w:szCs w:val="36"/>
          <w:lang w:val="en-US" w:eastAsia="zh-CN" w:bidi="ar-SA"/>
        </w:rPr>
        <w:t>坚决扛起土地管理和耕地保护责任，以“零容忍”的态度遏制新增乱占耕地建房行为。2023年整治卫片图斑24个，依法组织开展违法建设专项整治行动4次，拆除违法建筑5宗1600余平方米。全面落实“河长制”，运用好福建数字河湖APP提升治水成效，常态化开展河湖“五清四乱”行动，摸排河湖“清四乱”、非法电鱼等相关涉河问题77件，已全部完成销号，开展各类护河清洁行动10次，投放鱼苗1万余尾。严厉打击涉河违建，非法盗采河砂等违法行为，镇域内河湖环境质量显著改善。推深做实“林长制”，持续抓好松材线虫病防治。扎实开展隐患排查整治，清除森林火灾隐患点13处，制止野外违规用火15起，受理行政案件1起。全力抓好林业卫星图斑核查整改，依法查处违规占用林地行为2宗。</w:t>
      </w:r>
    </w:p>
    <w:p>
      <w:pPr>
        <w:keepNext w:val="0"/>
        <w:keepLines w:val="0"/>
        <w:pageBreakBefore w:val="0"/>
        <w:widowControl w:val="0"/>
        <w:kinsoku/>
        <w:wordWrap/>
        <w:overflowPunct/>
        <w:topLinePunct w:val="0"/>
        <w:autoSpaceDE/>
        <w:autoSpaceDN/>
        <w:bidi w:val="0"/>
        <w:adjustRightInd/>
        <w:snapToGrid/>
        <w:spacing w:line="590" w:lineRule="exact"/>
        <w:ind w:firstLine="723" w:firstLineChars="200"/>
        <w:textAlignment w:val="auto"/>
        <w:rPr>
          <w:rFonts w:hint="eastAsia" w:ascii="仿宋" w:hAnsi="仿宋" w:eastAsia="仿宋" w:cs="仿宋"/>
          <w:color w:val="auto"/>
          <w:sz w:val="36"/>
          <w:szCs w:val="36"/>
          <w:shd w:val="clear" w:color="auto" w:fill="FFFFFF"/>
        </w:rPr>
      </w:pPr>
      <w:r>
        <w:rPr>
          <w:rFonts w:hint="eastAsia" w:ascii="仿宋" w:hAnsi="仿宋" w:eastAsia="仿宋" w:cs="仿宋"/>
          <w:b/>
          <w:bCs/>
          <w:color w:val="auto"/>
          <w:sz w:val="36"/>
          <w:szCs w:val="36"/>
        </w:rPr>
        <w:t>人居环境品质有效</w:t>
      </w:r>
      <w:r>
        <w:rPr>
          <w:rFonts w:hint="eastAsia" w:ascii="仿宋" w:hAnsi="仿宋" w:eastAsia="仿宋" w:cs="仿宋"/>
          <w:b/>
          <w:bCs/>
          <w:color w:val="auto"/>
          <w:sz w:val="36"/>
          <w:szCs w:val="36"/>
          <w:lang w:val="en-US" w:eastAsia="zh-CN"/>
        </w:rPr>
        <w:t>提升</w:t>
      </w:r>
      <w:r>
        <w:rPr>
          <w:rFonts w:hint="eastAsia" w:ascii="仿宋" w:hAnsi="仿宋" w:eastAsia="仿宋" w:cs="仿宋"/>
          <w:b/>
          <w:bCs/>
          <w:color w:val="auto"/>
          <w:sz w:val="36"/>
          <w:szCs w:val="36"/>
        </w:rPr>
        <w:t>。</w:t>
      </w:r>
      <w:r>
        <w:rPr>
          <w:rFonts w:hint="eastAsia" w:ascii="仿宋" w:hAnsi="仿宋" w:eastAsia="仿宋" w:cs="仿宋"/>
          <w:color w:val="auto"/>
          <w:sz w:val="36"/>
          <w:szCs w:val="36"/>
        </w:rPr>
        <w:t>以二十字方针为指导有序实施乡村振兴战略，以樟树村、官山村为示范集中精力持续加强“最美村落”建设，辐射带动全镇各村建设美丽村庄。抓好农村人居环境整治，以“两治一拆”为重点，持续开展清运暴露垃圾、清理河道沟渠等环境整治活动，下科村高分通过市级“两治一拆”验收，以点带面推动全镇农村人居环境整治工作。</w:t>
      </w:r>
      <w:r>
        <w:rPr>
          <w:rFonts w:hint="eastAsia" w:ascii="仿宋" w:hAnsi="仿宋" w:eastAsia="仿宋" w:cs="仿宋"/>
          <w:color w:val="auto"/>
          <w:sz w:val="36"/>
          <w:szCs w:val="36"/>
          <w:lang w:val="en-US" w:eastAsia="zh-CN"/>
        </w:rPr>
        <w:t>加强对第三方垃圾转运企业监管，</w:t>
      </w:r>
      <w:r>
        <w:rPr>
          <w:rFonts w:hint="eastAsia" w:ascii="仿宋" w:hAnsi="仿宋" w:eastAsia="仿宋" w:cs="仿宋"/>
          <w:color w:val="auto"/>
          <w:sz w:val="36"/>
          <w:szCs w:val="36"/>
        </w:rPr>
        <w:t>切实保障垃圾日产日清。</w:t>
      </w:r>
    </w:p>
    <w:p>
      <w:pPr>
        <w:keepNext w:val="0"/>
        <w:keepLines w:val="0"/>
        <w:pageBreakBefore w:val="0"/>
        <w:widowControl w:val="0"/>
        <w:kinsoku/>
        <w:wordWrap/>
        <w:overflowPunct/>
        <w:topLinePunct w:val="0"/>
        <w:autoSpaceDE/>
        <w:autoSpaceDN/>
        <w:bidi w:val="0"/>
        <w:adjustRightInd/>
        <w:snapToGrid/>
        <w:spacing w:line="590" w:lineRule="exact"/>
        <w:ind w:firstLine="720" w:firstLineChars="200"/>
        <w:textAlignment w:val="auto"/>
        <w:rPr>
          <w:rFonts w:hint="eastAsia" w:ascii="仿宋" w:hAnsi="仿宋" w:eastAsia="仿宋" w:cs="仿宋"/>
          <w:color w:val="auto"/>
          <w:sz w:val="36"/>
          <w:szCs w:val="36"/>
          <w:lang w:val="en-US"/>
        </w:rPr>
      </w:pPr>
      <w:r>
        <w:rPr>
          <w:rFonts w:hint="eastAsia" w:ascii="仿宋" w:hAnsi="仿宋" w:eastAsia="仿宋" w:cs="仿宋"/>
          <w:b w:val="0"/>
          <w:bCs w:val="0"/>
          <w:color w:val="auto"/>
          <w:sz w:val="36"/>
          <w:szCs w:val="36"/>
          <w:lang w:val="en-US" w:eastAsia="zh-CN"/>
        </w:rPr>
        <w:t>一年来，我们坚持优服务、惠民生，社会事业全面进步</w:t>
      </w:r>
    </w:p>
    <w:p>
      <w:pPr>
        <w:keepNext w:val="0"/>
        <w:keepLines w:val="0"/>
        <w:pageBreakBefore w:val="0"/>
        <w:widowControl w:val="0"/>
        <w:kinsoku/>
        <w:wordWrap/>
        <w:overflowPunct/>
        <w:topLinePunct w:val="0"/>
        <w:autoSpaceDE/>
        <w:autoSpaceDN/>
        <w:bidi w:val="0"/>
        <w:adjustRightInd/>
        <w:snapToGrid/>
        <w:spacing w:line="590" w:lineRule="exact"/>
        <w:ind w:firstLine="723" w:firstLineChars="200"/>
        <w:textAlignment w:val="auto"/>
        <w:rPr>
          <w:rFonts w:hint="eastAsia" w:ascii="仿宋" w:hAnsi="仿宋" w:eastAsia="仿宋" w:cs="仿宋"/>
          <w:b/>
          <w:bCs/>
          <w:color w:val="auto"/>
          <w:sz w:val="36"/>
          <w:szCs w:val="36"/>
        </w:rPr>
      </w:pPr>
      <w:r>
        <w:rPr>
          <w:rFonts w:hint="eastAsia" w:ascii="仿宋" w:hAnsi="仿宋" w:eastAsia="仿宋" w:cs="仿宋"/>
          <w:b/>
          <w:bCs/>
          <w:color w:val="auto"/>
          <w:sz w:val="36"/>
          <w:szCs w:val="36"/>
          <w:lang w:val="en-US" w:eastAsia="zh-CN"/>
        </w:rPr>
        <w:t>民生保障坚实有力</w:t>
      </w:r>
      <w:r>
        <w:rPr>
          <w:rFonts w:hint="eastAsia" w:ascii="仿宋" w:hAnsi="仿宋" w:eastAsia="仿宋" w:cs="仿宋"/>
          <w:b/>
          <w:bCs/>
          <w:color w:val="auto"/>
          <w:sz w:val="36"/>
          <w:szCs w:val="36"/>
        </w:rPr>
        <w:t>。</w:t>
      </w:r>
      <w:r>
        <w:rPr>
          <w:rFonts w:hint="eastAsia" w:ascii="仿宋" w:hAnsi="仿宋" w:eastAsia="仿宋" w:cs="仿宋"/>
          <w:color w:val="auto"/>
          <w:sz w:val="36"/>
          <w:szCs w:val="36"/>
        </w:rPr>
        <w:t>坚持在发展中保障和改善民生，扎实做好五保、低保、特困居民救助、残疾人服务、孤儿、事实无人抚养儿童等各项社会保障工作</w:t>
      </w:r>
      <w:r>
        <w:rPr>
          <w:rFonts w:hint="eastAsia" w:ascii="仿宋" w:hAnsi="仿宋" w:eastAsia="仿宋" w:cs="仿宋"/>
          <w:color w:val="auto"/>
          <w:sz w:val="36"/>
          <w:szCs w:val="36"/>
          <w:lang w:eastAsia="zh-CN"/>
        </w:rPr>
        <w:t>，全镇现有低保户113户176人，低保边缘家庭16户60人，五保户72户72人。今年以来，共发放低保金等各类补助</w:t>
      </w:r>
      <w:r>
        <w:rPr>
          <w:rFonts w:hint="eastAsia" w:ascii="仿宋" w:hAnsi="仿宋" w:eastAsia="仿宋" w:cs="仿宋"/>
          <w:color w:val="auto"/>
          <w:sz w:val="36"/>
          <w:szCs w:val="36"/>
          <w:lang w:val="en-US" w:eastAsia="zh-CN"/>
        </w:rPr>
        <w:t>298.8</w:t>
      </w:r>
      <w:r>
        <w:rPr>
          <w:rFonts w:hint="eastAsia" w:ascii="仿宋" w:hAnsi="仿宋" w:eastAsia="仿宋" w:cs="仿宋"/>
          <w:color w:val="auto"/>
          <w:sz w:val="36"/>
          <w:szCs w:val="36"/>
          <w:lang w:eastAsia="zh-CN"/>
        </w:rPr>
        <w:t>万元。</w:t>
      </w:r>
      <w:r>
        <w:rPr>
          <w:rFonts w:hint="eastAsia" w:ascii="仿宋" w:hAnsi="仿宋" w:eastAsia="仿宋" w:cs="仿宋"/>
          <w:color w:val="auto"/>
          <w:sz w:val="36"/>
          <w:szCs w:val="36"/>
        </w:rPr>
        <w:t>2023年全镇参加城乡综合养老保险6766人，城乡养老待遇发放1601人，新增养老待遇发放119人。全力保障居民就业，加强就业服务培训，组织就业培训2场150余人次，发放宣传材料380余份，</w:t>
      </w:r>
      <w:r>
        <w:rPr>
          <w:rFonts w:hint="eastAsia" w:ascii="仿宋" w:hAnsi="仿宋" w:eastAsia="仿宋" w:cs="仿宋"/>
          <w:color w:val="auto"/>
          <w:sz w:val="36"/>
          <w:szCs w:val="36"/>
          <w:lang w:val="en-US" w:eastAsia="zh-CN"/>
        </w:rPr>
        <w:t>引导</w:t>
      </w:r>
      <w:r>
        <w:rPr>
          <w:rFonts w:hint="eastAsia" w:ascii="仿宋" w:hAnsi="仿宋" w:eastAsia="仿宋" w:cs="仿宋"/>
          <w:color w:val="auto"/>
          <w:sz w:val="36"/>
          <w:szCs w:val="36"/>
        </w:rPr>
        <w:t>未就业人员参与企业招聘82名。创新建立高屋村、官山村“长者食堂”，进一步提升老年人幸福感、获得感、安全感，打造“舌尖上”的幸福晚年。紧盯特殊人群医疗保障需求，通过落实医疗救助保障待遇，让“病残、身孤、特困”群众感受到了党和政府实实在在的温暖。</w:t>
      </w:r>
    </w:p>
    <w:p>
      <w:pPr>
        <w:keepNext w:val="0"/>
        <w:keepLines w:val="0"/>
        <w:pageBreakBefore w:val="0"/>
        <w:widowControl w:val="0"/>
        <w:kinsoku/>
        <w:wordWrap/>
        <w:overflowPunct/>
        <w:topLinePunct w:val="0"/>
        <w:autoSpaceDE/>
        <w:autoSpaceDN/>
        <w:bidi w:val="0"/>
        <w:adjustRightInd/>
        <w:snapToGrid/>
        <w:spacing w:line="590" w:lineRule="exact"/>
        <w:ind w:firstLine="723" w:firstLineChars="200"/>
        <w:textAlignment w:val="auto"/>
        <w:rPr>
          <w:rFonts w:hint="eastAsia" w:ascii="仿宋" w:hAnsi="仿宋" w:eastAsia="仿宋" w:cs="仿宋"/>
          <w:color w:val="auto"/>
          <w:sz w:val="36"/>
          <w:szCs w:val="36"/>
        </w:rPr>
      </w:pPr>
      <w:r>
        <w:rPr>
          <w:rFonts w:hint="eastAsia" w:ascii="仿宋" w:hAnsi="仿宋" w:eastAsia="仿宋" w:cs="仿宋"/>
          <w:b/>
          <w:bCs/>
          <w:color w:val="auto"/>
          <w:sz w:val="36"/>
          <w:szCs w:val="36"/>
          <w:lang w:val="en-US" w:eastAsia="zh-CN"/>
        </w:rPr>
        <w:t>文教体卫均衡发展。</w:t>
      </w:r>
      <w:r>
        <w:rPr>
          <w:rFonts w:hint="eastAsia" w:ascii="仿宋" w:hAnsi="仿宋" w:eastAsia="仿宋" w:cs="仿宋"/>
          <w:color w:val="auto"/>
          <w:sz w:val="36"/>
          <w:szCs w:val="36"/>
          <w:lang w:val="en-US" w:eastAsia="zh-CN"/>
        </w:rPr>
        <w:t>持续推进茶地中学委托上杭四中管理工作，推动义务教育优质均衡发展。今年中考茶地中学九年级32名学生有8名学生被上杭一中、二中录取，普高录取上线率达65.6%。筹措60多万元，提升改造茶地中心小学学生食堂，砌好学校倒塌围墙160米，进一步完善学校教学设施设备。2023年4月，茶地中心小学荣获“5A”平安校园称号。做好茶地中心幼儿园整体搬迁工作，进一步提升中心幼儿园办园条件。协调教育主管部门做好中心幼儿园闲置校产工作，盘活闲置校产资源，更好地为乡村公共服务提供保障。</w:t>
      </w:r>
      <w:r>
        <w:rPr>
          <w:rFonts w:hint="eastAsia" w:ascii="仿宋" w:hAnsi="仿宋" w:eastAsia="仿宋" w:cs="仿宋"/>
          <w:color w:val="auto"/>
          <w:sz w:val="36"/>
          <w:szCs w:val="36"/>
        </w:rPr>
        <w:t>充分发挥全国劳模、全国五好文明家庭户、省孝老爱亲好人等先进典型示范引领作用</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lang w:val="en-US" w:eastAsia="zh-CN"/>
        </w:rPr>
        <w:t>积极开展“文明新风进万家”宣传活动，</w:t>
      </w:r>
      <w:r>
        <w:rPr>
          <w:rFonts w:hint="eastAsia" w:ascii="仿宋" w:hAnsi="仿宋" w:eastAsia="仿宋" w:cs="仿宋"/>
          <w:color w:val="auto"/>
          <w:sz w:val="36"/>
          <w:szCs w:val="36"/>
        </w:rPr>
        <w:t>推动农村移风易俗</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rPr>
        <w:t>常态化开展政策理论宣讲、科技普及、医疗保健等志愿服务活动，引导社会风气向上向善</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rPr>
        <w:t>202</w:t>
      </w:r>
      <w:r>
        <w:rPr>
          <w:rFonts w:hint="eastAsia" w:ascii="仿宋" w:hAnsi="仿宋" w:eastAsia="仿宋" w:cs="仿宋"/>
          <w:color w:val="auto"/>
          <w:sz w:val="36"/>
          <w:szCs w:val="36"/>
          <w:lang w:val="en-US" w:eastAsia="zh-CN"/>
        </w:rPr>
        <w:t>3</w:t>
      </w:r>
      <w:r>
        <w:rPr>
          <w:rFonts w:hint="eastAsia" w:ascii="仿宋" w:hAnsi="仿宋" w:eastAsia="仿宋" w:cs="仿宋"/>
          <w:color w:val="auto"/>
          <w:sz w:val="36"/>
          <w:szCs w:val="36"/>
        </w:rPr>
        <w:t>年镇村开展各类志愿服务活动</w:t>
      </w:r>
      <w:r>
        <w:rPr>
          <w:rFonts w:hint="eastAsia" w:ascii="仿宋" w:hAnsi="仿宋" w:eastAsia="仿宋" w:cs="仿宋"/>
          <w:color w:val="auto"/>
          <w:sz w:val="36"/>
          <w:szCs w:val="36"/>
          <w:lang w:val="en-US" w:eastAsia="zh-CN"/>
        </w:rPr>
        <w:t>90</w:t>
      </w:r>
      <w:r>
        <w:rPr>
          <w:rFonts w:hint="eastAsia" w:ascii="仿宋" w:hAnsi="仿宋" w:eastAsia="仿宋" w:cs="仿宋"/>
          <w:color w:val="auto"/>
          <w:sz w:val="36"/>
          <w:szCs w:val="36"/>
        </w:rPr>
        <w:t>余场次，发放宣传材料</w:t>
      </w:r>
      <w:r>
        <w:rPr>
          <w:rFonts w:hint="eastAsia" w:ascii="仿宋" w:hAnsi="仿宋" w:eastAsia="仿宋" w:cs="仿宋"/>
          <w:color w:val="auto"/>
          <w:sz w:val="36"/>
          <w:szCs w:val="36"/>
          <w:lang w:val="en-US" w:eastAsia="zh-CN"/>
        </w:rPr>
        <w:t>5000</w:t>
      </w:r>
      <w:r>
        <w:rPr>
          <w:rFonts w:hint="eastAsia" w:ascii="仿宋" w:hAnsi="仿宋" w:eastAsia="仿宋" w:cs="仿宋"/>
          <w:color w:val="auto"/>
          <w:sz w:val="36"/>
          <w:szCs w:val="36"/>
        </w:rPr>
        <w:t>余份。爱国卫生运动、</w:t>
      </w:r>
      <w:r>
        <w:rPr>
          <w:rFonts w:hint="eastAsia" w:ascii="仿宋" w:hAnsi="仿宋" w:eastAsia="仿宋" w:cs="仿宋"/>
          <w:color w:val="auto"/>
          <w:sz w:val="36"/>
          <w:szCs w:val="36"/>
          <w:lang w:val="en-US" w:eastAsia="zh-CN"/>
        </w:rPr>
        <w:t>重点人群义诊</w:t>
      </w:r>
      <w:r>
        <w:rPr>
          <w:rFonts w:hint="eastAsia" w:ascii="仿宋" w:hAnsi="仿宋" w:eastAsia="仿宋" w:cs="仿宋"/>
          <w:color w:val="auto"/>
          <w:sz w:val="36"/>
          <w:szCs w:val="36"/>
        </w:rPr>
        <w:t>活动</w:t>
      </w:r>
      <w:r>
        <w:rPr>
          <w:rFonts w:hint="eastAsia" w:ascii="仿宋" w:hAnsi="仿宋" w:eastAsia="仿宋" w:cs="仿宋"/>
          <w:color w:val="auto"/>
          <w:sz w:val="36"/>
          <w:szCs w:val="36"/>
          <w:lang w:val="en-US" w:eastAsia="zh-CN"/>
        </w:rPr>
        <w:t>等</w:t>
      </w:r>
      <w:r>
        <w:rPr>
          <w:rFonts w:hint="eastAsia" w:ascii="仿宋" w:hAnsi="仿宋" w:eastAsia="仿宋" w:cs="仿宋"/>
          <w:color w:val="auto"/>
          <w:sz w:val="36"/>
          <w:szCs w:val="36"/>
        </w:rPr>
        <w:t>扎实开展。</w:t>
      </w:r>
    </w:p>
    <w:p>
      <w:pPr>
        <w:pStyle w:val="12"/>
        <w:keepNext w:val="0"/>
        <w:keepLines w:val="0"/>
        <w:pageBreakBefore w:val="0"/>
        <w:widowControl w:val="0"/>
        <w:kinsoku/>
        <w:wordWrap/>
        <w:topLinePunct w:val="0"/>
        <w:autoSpaceDE/>
        <w:autoSpaceDN/>
        <w:bidi w:val="0"/>
        <w:spacing w:line="590" w:lineRule="exact"/>
        <w:ind w:firstLine="720" w:firstLineChars="200"/>
        <w:textAlignment w:val="auto"/>
        <w:rPr>
          <w:rFonts w:hint="eastAsia" w:ascii="仿宋" w:hAnsi="仿宋" w:eastAsia="仿宋" w:cs="仿宋"/>
          <w:b w:val="0"/>
          <w:bCs w:val="0"/>
          <w:color w:val="auto"/>
          <w:sz w:val="36"/>
          <w:szCs w:val="36"/>
          <w:lang w:val="en-US" w:eastAsia="zh-CN"/>
        </w:rPr>
      </w:pPr>
    </w:p>
    <w:p>
      <w:pPr>
        <w:pStyle w:val="12"/>
        <w:keepNext w:val="0"/>
        <w:keepLines w:val="0"/>
        <w:pageBreakBefore w:val="0"/>
        <w:widowControl w:val="0"/>
        <w:kinsoku/>
        <w:wordWrap/>
        <w:topLinePunct w:val="0"/>
        <w:autoSpaceDE/>
        <w:autoSpaceDN/>
        <w:bidi w:val="0"/>
        <w:spacing w:line="590" w:lineRule="exact"/>
        <w:ind w:firstLine="720" w:firstLineChars="200"/>
        <w:textAlignment w:val="auto"/>
        <w:rPr>
          <w:rFonts w:hint="eastAsia" w:ascii="仿宋" w:hAnsi="仿宋" w:eastAsia="仿宋" w:cs="仿宋"/>
          <w:b w:val="0"/>
          <w:bCs w:val="0"/>
          <w:color w:val="auto"/>
          <w:sz w:val="36"/>
          <w:szCs w:val="36"/>
          <w:lang w:val="en-US" w:eastAsia="zh-CN"/>
        </w:rPr>
      </w:pPr>
      <w:r>
        <w:rPr>
          <w:rFonts w:hint="eastAsia" w:ascii="仿宋" w:hAnsi="仿宋" w:eastAsia="仿宋" w:cs="仿宋"/>
          <w:b w:val="0"/>
          <w:bCs w:val="0"/>
          <w:color w:val="auto"/>
          <w:sz w:val="36"/>
          <w:szCs w:val="36"/>
          <w:lang w:val="en-US" w:eastAsia="zh-CN"/>
        </w:rPr>
        <w:t>一年来，我们坚持转作风、增效能，自身建设不断夯实</w:t>
      </w:r>
    </w:p>
    <w:p>
      <w:pPr>
        <w:pStyle w:val="12"/>
        <w:keepNext w:val="0"/>
        <w:keepLines w:val="0"/>
        <w:pageBreakBefore w:val="0"/>
        <w:widowControl w:val="0"/>
        <w:kinsoku/>
        <w:wordWrap/>
        <w:topLinePunct w:val="0"/>
        <w:autoSpaceDE/>
        <w:autoSpaceDN/>
        <w:bidi w:val="0"/>
        <w:spacing w:line="590" w:lineRule="exact"/>
        <w:ind w:firstLine="723" w:firstLineChars="200"/>
        <w:textAlignment w:val="auto"/>
        <w:rPr>
          <w:rFonts w:hint="eastAsia" w:ascii="仿宋" w:hAnsi="仿宋" w:eastAsia="仿宋" w:cs="仿宋"/>
          <w:b w:val="0"/>
          <w:bCs w:val="0"/>
          <w:color w:val="auto"/>
          <w:kern w:val="2"/>
          <w:sz w:val="36"/>
          <w:szCs w:val="36"/>
          <w:lang w:val="en-US" w:eastAsia="zh-CN" w:bidi="ar-SA"/>
        </w:rPr>
      </w:pPr>
      <w:r>
        <w:rPr>
          <w:rFonts w:hint="eastAsia" w:ascii="仿宋" w:hAnsi="仿宋" w:eastAsia="仿宋" w:cs="仿宋"/>
          <w:b/>
          <w:bCs/>
          <w:color w:val="auto"/>
          <w:kern w:val="2"/>
          <w:sz w:val="36"/>
          <w:szCs w:val="36"/>
          <w:lang w:val="en-US" w:eastAsia="zh-CN" w:bidi="ar-SA"/>
        </w:rPr>
        <w:t>真抓实干锤炼过硬作风。</w:t>
      </w:r>
      <w:r>
        <w:rPr>
          <w:rFonts w:hint="eastAsia" w:ascii="仿宋" w:hAnsi="仿宋" w:eastAsia="仿宋" w:cs="仿宋"/>
          <w:b w:val="0"/>
          <w:bCs w:val="0"/>
          <w:color w:val="auto"/>
          <w:kern w:val="2"/>
          <w:sz w:val="36"/>
          <w:szCs w:val="36"/>
          <w:lang w:val="en-US" w:eastAsia="zh-CN" w:bidi="ar-SA"/>
        </w:rPr>
        <w:t>扎实开展学习贯彻习近平新时代中国特色社会主义思想主题教育，着力推进“以案为戒”警示教育走深走实，真正形成作风建设新常态。持续提升政务公开标准化、规范化和信息化水平，提升政务服务效能。全力推进小微权力监督平台工作，发动群众积极参与监督“微权力”，切实提高群众的知晓率、参与度、获得感。高标准建设退役军人服务站，成功创建市级退役军人服务示范站。强化基层武装部建设，茶地镇人民武装部被龙岩军分区评为“三星级”基层武装部。</w:t>
      </w:r>
    </w:p>
    <w:p>
      <w:pPr>
        <w:pStyle w:val="12"/>
        <w:keepNext w:val="0"/>
        <w:keepLines w:val="0"/>
        <w:pageBreakBefore w:val="0"/>
        <w:widowControl w:val="0"/>
        <w:kinsoku/>
        <w:wordWrap/>
        <w:topLinePunct w:val="0"/>
        <w:autoSpaceDE/>
        <w:autoSpaceDN/>
        <w:bidi w:val="0"/>
        <w:adjustRightInd/>
        <w:snapToGrid/>
        <w:spacing w:line="590" w:lineRule="exact"/>
        <w:ind w:firstLine="640"/>
        <w:textAlignment w:val="auto"/>
        <w:rPr>
          <w:rFonts w:hint="eastAsia" w:ascii="仿宋" w:hAnsi="仿宋" w:eastAsia="仿宋" w:cs="仿宋"/>
          <w:b/>
          <w:bCs/>
          <w:color w:val="auto"/>
          <w:kern w:val="2"/>
          <w:sz w:val="36"/>
          <w:szCs w:val="36"/>
          <w:lang w:val="en-US" w:eastAsia="zh-CN" w:bidi="ar-SA"/>
        </w:rPr>
      </w:pPr>
      <w:r>
        <w:rPr>
          <w:rFonts w:hint="eastAsia" w:ascii="仿宋" w:hAnsi="仿宋" w:eastAsia="仿宋" w:cs="仿宋"/>
          <w:b/>
          <w:bCs/>
          <w:color w:val="auto"/>
          <w:sz w:val="36"/>
          <w:szCs w:val="36"/>
          <w:lang w:val="en-US" w:eastAsia="zh-CN"/>
        </w:rPr>
        <w:t>勤政为民守住清廉底线。</w:t>
      </w:r>
      <w:r>
        <w:rPr>
          <w:rFonts w:hint="eastAsia" w:ascii="仿宋" w:hAnsi="仿宋" w:eastAsia="仿宋" w:cs="仿宋"/>
          <w:color w:val="auto"/>
          <w:sz w:val="36"/>
          <w:szCs w:val="36"/>
        </w:rPr>
        <w:t>坚持党风廉政建设</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rPr>
        <w:t>一岗双责</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rPr>
        <w:t>，严格执行廉政准则</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rPr>
        <w:t>以反腐倡廉实效取信于民。坚持教育、制度、监督并重，点线面结合，构建严密的防范网络，保证权力健康有序运行</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rPr>
        <w:t>紧紧抓住人民最关心最直接最现实的利益问题，推动政策向民生聚集、资源向民生倾斜</w:t>
      </w:r>
      <w:r>
        <w:rPr>
          <w:rFonts w:hint="eastAsia" w:ascii="仿宋" w:hAnsi="仿宋" w:eastAsia="仿宋" w:cs="仿宋"/>
          <w:color w:val="auto"/>
          <w:sz w:val="36"/>
          <w:szCs w:val="36"/>
          <w:lang w:eastAsia="zh-CN"/>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90" w:lineRule="exact"/>
        <w:ind w:firstLine="641"/>
        <w:textAlignment w:val="auto"/>
        <w:rPr>
          <w:rFonts w:hint="eastAsia" w:ascii="仿宋" w:hAnsi="仿宋" w:eastAsia="仿宋" w:cs="仿宋"/>
          <w:color w:val="auto"/>
          <w:w w:val="100"/>
          <w:sz w:val="36"/>
          <w:szCs w:val="36"/>
          <w:highlight w:val="none"/>
          <w:lang w:val="en-US" w:eastAsia="zh-CN"/>
        </w:rPr>
      </w:pPr>
      <w:r>
        <w:rPr>
          <w:rFonts w:hint="eastAsia" w:ascii="仿宋" w:hAnsi="仿宋" w:eastAsia="仿宋" w:cs="仿宋"/>
          <w:color w:val="auto"/>
          <w:sz w:val="36"/>
          <w:szCs w:val="36"/>
          <w:lang w:val="en-US" w:eastAsia="zh-CN"/>
        </w:rPr>
        <w:t>与此同时</w:t>
      </w:r>
      <w:r>
        <w:rPr>
          <w:rFonts w:hint="eastAsia" w:ascii="仿宋" w:hAnsi="仿宋" w:eastAsia="仿宋" w:cs="仿宋"/>
          <w:color w:val="auto"/>
          <w:sz w:val="36"/>
          <w:szCs w:val="36"/>
        </w:rPr>
        <w:t>，科技、档案、保密、工会、老年人、妇女儿童、青少年、农机</w:t>
      </w:r>
      <w:r>
        <w:rPr>
          <w:rFonts w:hint="eastAsia" w:ascii="仿宋" w:hAnsi="仿宋" w:eastAsia="仿宋" w:cs="仿宋"/>
          <w:i w:val="0"/>
          <w:iCs w:val="0"/>
          <w:caps w:val="0"/>
          <w:color w:val="auto"/>
          <w:spacing w:val="0"/>
          <w:sz w:val="32"/>
          <w:szCs w:val="32"/>
          <w:shd w:val="clear" w:color="auto" w:fill="FFFFFF"/>
        </w:rPr>
        <w:t>等各项工作扎实推进</w:t>
      </w:r>
      <w:r>
        <w:rPr>
          <w:rFonts w:hint="eastAsia" w:ascii="仿宋" w:hAnsi="仿宋" w:eastAsia="仿宋" w:cs="仿宋"/>
          <w:color w:val="auto"/>
          <w:sz w:val="36"/>
          <w:szCs w:val="36"/>
        </w:rPr>
        <w:t>。</w:t>
      </w:r>
    </w:p>
    <w:p>
      <w:pPr>
        <w:keepNext w:val="0"/>
        <w:keepLines w:val="0"/>
        <w:pageBreakBefore w:val="0"/>
        <w:widowControl w:val="0"/>
        <w:numPr>
          <w:ilvl w:val="0"/>
          <w:numId w:val="0"/>
        </w:numPr>
        <w:kinsoku/>
        <w:wordWrap/>
        <w:overflowPunct w:val="0"/>
        <w:topLinePunct w:val="0"/>
        <w:autoSpaceDE/>
        <w:autoSpaceDN/>
        <w:bidi w:val="0"/>
        <w:adjustRightInd/>
        <w:snapToGrid/>
        <w:spacing w:line="590" w:lineRule="exact"/>
        <w:ind w:firstLine="641"/>
        <w:textAlignment w:val="auto"/>
        <w:rPr>
          <w:rFonts w:hint="eastAsia" w:ascii="仿宋" w:hAnsi="仿宋" w:eastAsia="仿宋" w:cs="仿宋"/>
          <w:color w:val="auto"/>
          <w:sz w:val="36"/>
          <w:szCs w:val="36"/>
          <w:lang w:val="en-US" w:eastAsia="zh-CN"/>
        </w:rPr>
      </w:pPr>
      <w:r>
        <w:rPr>
          <w:rFonts w:hint="eastAsia" w:ascii="仿宋" w:hAnsi="仿宋" w:eastAsia="仿宋" w:cs="仿宋"/>
          <w:color w:val="auto"/>
          <w:sz w:val="36"/>
          <w:szCs w:val="36"/>
          <w:lang w:val="en-US" w:eastAsia="zh-CN"/>
        </w:rPr>
        <w:t>各位代表，今年的成绩来之不易，为我们完成明年的工作任</w:t>
      </w:r>
      <w:r>
        <w:rPr>
          <w:rFonts w:hint="eastAsia" w:ascii="仿宋" w:hAnsi="仿宋" w:eastAsia="仿宋" w:cs="仿宋"/>
          <w:color w:val="auto"/>
          <w:kern w:val="2"/>
          <w:sz w:val="36"/>
          <w:szCs w:val="36"/>
          <w:lang w:val="en-US" w:eastAsia="zh-CN" w:bidi="ar-SA"/>
        </w:rPr>
        <w:t>务奠定了坚实基础，这是全镇人民在县委、县政府和镇党委的正确领导下，团结一心、</w:t>
      </w:r>
      <w:r>
        <w:rPr>
          <w:rFonts w:hint="eastAsia" w:ascii="仿宋" w:hAnsi="仿宋" w:eastAsia="仿宋" w:cs="仿宋"/>
          <w:color w:val="auto"/>
          <w:sz w:val="36"/>
          <w:szCs w:val="36"/>
        </w:rPr>
        <w:t>奋力拼搏</w:t>
      </w:r>
      <w:r>
        <w:rPr>
          <w:rFonts w:hint="eastAsia" w:ascii="仿宋" w:hAnsi="仿宋" w:eastAsia="仿宋" w:cs="仿宋"/>
          <w:color w:val="auto"/>
          <w:kern w:val="2"/>
          <w:sz w:val="36"/>
          <w:szCs w:val="36"/>
          <w:lang w:val="en-US" w:eastAsia="zh-CN" w:bidi="ar-SA"/>
        </w:rPr>
        <w:t>的结果，是社会各界广泛参与、大力支持的结果。在此，我谨代表镇人民政府，向为我镇经济社会发展付出辛勤劳动的全镇干部群众，向给予政府工作大力支持和有效监督的人大代表</w:t>
      </w:r>
      <w:r>
        <w:rPr>
          <w:rFonts w:hint="eastAsia" w:ascii="仿宋" w:hAnsi="仿宋" w:eastAsia="仿宋" w:cs="仿宋"/>
          <w:color w:val="auto"/>
          <w:sz w:val="36"/>
          <w:szCs w:val="36"/>
        </w:rPr>
        <w:t>、政协委员</w:t>
      </w:r>
      <w:r>
        <w:rPr>
          <w:rFonts w:hint="eastAsia" w:ascii="仿宋" w:hAnsi="仿宋" w:eastAsia="仿宋" w:cs="仿宋"/>
          <w:color w:val="auto"/>
          <w:kern w:val="2"/>
          <w:sz w:val="36"/>
          <w:szCs w:val="36"/>
          <w:lang w:val="en-US" w:eastAsia="zh-CN" w:bidi="ar-SA"/>
        </w:rPr>
        <w:t>、离退休老同志，向为茶地发展作出积极贡献的镇直办单位、村两委干部，向关心支持茶地发展的外出乡贤、社会各界人士，表示衷心的感谢并致以崇高的敬意！</w:t>
      </w:r>
    </w:p>
    <w:p>
      <w:pPr>
        <w:keepNext w:val="0"/>
        <w:keepLines w:val="0"/>
        <w:pageBreakBefore w:val="0"/>
        <w:widowControl w:val="0"/>
        <w:kinsoku/>
        <w:wordWrap/>
        <w:overflowPunct w:val="0"/>
        <w:topLinePunct w:val="0"/>
        <w:autoSpaceDE/>
        <w:autoSpaceDN/>
        <w:bidi w:val="0"/>
        <w:adjustRightInd w:val="0"/>
        <w:snapToGrid w:val="0"/>
        <w:spacing w:line="590" w:lineRule="exact"/>
        <w:ind w:firstLine="720" w:firstLineChars="200"/>
        <w:textAlignment w:val="auto"/>
        <w:rPr>
          <w:rFonts w:hint="eastAsia" w:ascii="仿宋" w:hAnsi="仿宋" w:eastAsia="仿宋" w:cs="仿宋"/>
          <w:color w:val="auto"/>
          <w:sz w:val="40"/>
          <w:szCs w:val="40"/>
        </w:rPr>
      </w:pPr>
      <w:r>
        <w:rPr>
          <w:rFonts w:hint="eastAsia" w:ascii="仿宋" w:hAnsi="仿宋" w:eastAsia="仿宋" w:cs="仿宋"/>
          <w:color w:val="auto"/>
          <w:sz w:val="36"/>
          <w:szCs w:val="36"/>
        </w:rPr>
        <w:t>看到成绩的同时，我们也清醒地认识到，</w:t>
      </w:r>
      <w:r>
        <w:rPr>
          <w:rFonts w:hint="eastAsia" w:ascii="仿宋" w:hAnsi="仿宋" w:eastAsia="仿宋" w:cs="仿宋"/>
          <w:color w:val="auto"/>
          <w:sz w:val="36"/>
          <w:szCs w:val="36"/>
          <w:lang w:val="en-US" w:eastAsia="zh-CN"/>
        </w:rPr>
        <w:t>在</w:t>
      </w:r>
      <w:r>
        <w:rPr>
          <w:rFonts w:hint="eastAsia" w:ascii="仿宋" w:hAnsi="仿宋" w:eastAsia="仿宋" w:cs="仿宋"/>
          <w:color w:val="auto"/>
          <w:sz w:val="36"/>
          <w:szCs w:val="36"/>
        </w:rPr>
        <w:t>全镇经济社会发展中还面临着不少</w:t>
      </w:r>
      <w:r>
        <w:rPr>
          <w:rFonts w:hint="eastAsia" w:ascii="仿宋" w:hAnsi="仿宋" w:eastAsia="仿宋" w:cs="仿宋"/>
          <w:color w:val="auto"/>
          <w:sz w:val="36"/>
          <w:szCs w:val="36"/>
          <w:lang w:val="en-US" w:eastAsia="zh-CN"/>
        </w:rPr>
        <w:t>困难，主要是</w:t>
      </w:r>
      <w:r>
        <w:rPr>
          <w:rFonts w:hint="eastAsia" w:ascii="仿宋" w:hAnsi="仿宋" w:eastAsia="仿宋" w:cs="仿宋"/>
          <w:color w:val="auto"/>
          <w:sz w:val="36"/>
          <w:szCs w:val="36"/>
        </w:rPr>
        <w:t>：</w:t>
      </w:r>
      <w:r>
        <w:rPr>
          <w:rFonts w:hint="eastAsia" w:ascii="仿宋" w:hAnsi="仿宋" w:eastAsia="仿宋" w:cs="仿宋"/>
          <w:color w:val="auto"/>
          <w:sz w:val="36"/>
          <w:szCs w:val="36"/>
          <w:lang w:val="en-US" w:eastAsia="zh-CN"/>
        </w:rPr>
        <w:t>经济整体实力不强，重大项目和企业仍然不够；村集体经济缺少产业支撑，农民持续增收难度较大；镇村干部谋事干事的意识不强，工作作风有待加强。</w:t>
      </w:r>
      <w:r>
        <w:rPr>
          <w:rFonts w:hint="eastAsia" w:ascii="仿宋" w:hAnsi="仿宋" w:eastAsia="仿宋" w:cs="仿宋"/>
          <w:color w:val="auto"/>
          <w:sz w:val="36"/>
          <w:szCs w:val="36"/>
        </w:rPr>
        <w:t>对此</w:t>
      </w:r>
      <w:r>
        <w:rPr>
          <w:rFonts w:hint="eastAsia" w:ascii="仿宋" w:hAnsi="仿宋" w:eastAsia="仿宋" w:cs="仿宋"/>
          <w:color w:val="auto"/>
          <w:sz w:val="36"/>
          <w:szCs w:val="36"/>
          <w:lang w:eastAsia="zh-CN"/>
        </w:rPr>
        <w:t>，</w:t>
      </w:r>
      <w:r>
        <w:rPr>
          <w:rFonts w:hint="eastAsia" w:ascii="仿宋" w:hAnsi="仿宋" w:eastAsia="仿宋" w:cs="仿宋"/>
          <w:color w:val="auto"/>
          <w:sz w:val="36"/>
          <w:szCs w:val="36"/>
          <w:lang w:val="en-US" w:eastAsia="zh-CN"/>
        </w:rPr>
        <w:t>我们将高度重视</w:t>
      </w:r>
      <w:r>
        <w:rPr>
          <w:rFonts w:hint="eastAsia" w:ascii="仿宋" w:hAnsi="仿宋" w:eastAsia="仿宋" w:cs="仿宋"/>
          <w:color w:val="auto"/>
          <w:sz w:val="36"/>
          <w:szCs w:val="36"/>
        </w:rPr>
        <w:t>，</w:t>
      </w:r>
      <w:r>
        <w:rPr>
          <w:rFonts w:hint="eastAsia" w:ascii="仿宋" w:hAnsi="仿宋" w:eastAsia="仿宋" w:cs="仿宋"/>
          <w:color w:val="auto"/>
          <w:sz w:val="36"/>
          <w:szCs w:val="36"/>
          <w:lang w:val="en-US" w:eastAsia="zh-CN"/>
        </w:rPr>
        <w:t>靶向施策，精准发力，认真加以解决。</w:t>
      </w:r>
    </w:p>
    <w:p>
      <w:pPr>
        <w:keepNext w:val="0"/>
        <w:keepLines w:val="0"/>
        <w:pageBreakBefore w:val="0"/>
        <w:widowControl w:val="0"/>
        <w:kinsoku/>
        <w:wordWrap/>
        <w:overflowPunct w:val="0"/>
        <w:topLinePunct w:val="0"/>
        <w:autoSpaceDE/>
        <w:autoSpaceDN/>
        <w:bidi w:val="0"/>
        <w:spacing w:line="590" w:lineRule="exact"/>
        <w:jc w:val="both"/>
        <w:textAlignment w:val="auto"/>
        <w:rPr>
          <w:rFonts w:hint="eastAsia" w:ascii="仿宋" w:hAnsi="仿宋" w:eastAsia="仿宋" w:cs="仿宋"/>
          <w:color w:val="auto"/>
          <w:sz w:val="40"/>
          <w:szCs w:val="40"/>
          <w:lang w:val="en-US" w:eastAsia="zh-CN"/>
        </w:rPr>
      </w:pPr>
    </w:p>
    <w:p>
      <w:pPr>
        <w:pStyle w:val="33"/>
        <w:widowControl/>
        <w:spacing w:before="100" w:after="100"/>
        <w:ind w:left="0" w:right="0" w:firstLine="0"/>
        <w:jc w:val="center"/>
        <w:rPr>
          <w:rFonts w:hint="eastAsia" w:ascii="仿宋" w:hAnsi="仿宋" w:eastAsia="仿宋" w:cs="仿宋"/>
          <w:kern w:val="0"/>
          <w:sz w:val="24"/>
        </w:rPr>
      </w:pPr>
      <w:r>
        <w:rPr>
          <w:rFonts w:hint="eastAsia" w:ascii="仿宋" w:hAnsi="仿宋" w:eastAsia="仿宋" w:cs="仿宋"/>
          <w:spacing w:val="0"/>
          <w:kern w:val="0"/>
          <w:sz w:val="36"/>
          <w:szCs w:val="36"/>
        </w:rPr>
        <w:t> </w:t>
      </w:r>
    </w:p>
    <w:p>
      <w:pPr>
        <w:pStyle w:val="33"/>
        <w:widowControl/>
        <w:spacing w:before="100" w:after="100"/>
        <w:ind w:left="0" w:right="0" w:firstLine="0"/>
        <w:jc w:val="center"/>
        <w:rPr>
          <w:rFonts w:hint="eastAsia" w:ascii="仿宋" w:hAnsi="仿宋" w:eastAsia="仿宋" w:cs="仿宋"/>
          <w:kern w:val="0"/>
          <w:sz w:val="24"/>
        </w:rPr>
      </w:pPr>
      <w:r>
        <w:rPr>
          <w:rFonts w:hint="eastAsia" w:ascii="仿宋" w:hAnsi="仿宋" w:eastAsia="仿宋" w:cs="仿宋"/>
          <w:spacing w:val="0"/>
          <w:kern w:val="0"/>
          <w:sz w:val="36"/>
          <w:szCs w:val="36"/>
        </w:rPr>
        <w:t> </w:t>
      </w:r>
    </w:p>
    <w:p>
      <w:pPr>
        <w:pStyle w:val="33"/>
        <w:widowControl/>
        <w:spacing w:before="100" w:after="100"/>
        <w:ind w:left="0" w:right="0" w:firstLine="0"/>
        <w:jc w:val="center"/>
        <w:rPr>
          <w:rFonts w:hint="eastAsia" w:ascii="仿宋" w:hAnsi="仿宋" w:eastAsia="仿宋" w:cs="仿宋"/>
          <w:kern w:val="0"/>
          <w:sz w:val="24"/>
        </w:rPr>
      </w:pPr>
      <w:r>
        <w:rPr>
          <w:rFonts w:hint="eastAsia" w:ascii="仿宋" w:hAnsi="仿宋" w:eastAsia="仿宋" w:cs="仿宋"/>
          <w:spacing w:val="0"/>
          <w:kern w:val="0"/>
          <w:sz w:val="36"/>
          <w:szCs w:val="36"/>
        </w:rPr>
        <w:t> </w:t>
      </w:r>
    </w:p>
    <w:p>
      <w:pPr>
        <w:pStyle w:val="33"/>
        <w:widowControl/>
        <w:spacing w:before="100" w:after="100"/>
        <w:ind w:left="0" w:right="0" w:firstLine="0"/>
        <w:jc w:val="center"/>
        <w:rPr>
          <w:rFonts w:hint="eastAsia" w:ascii="仿宋" w:hAnsi="仿宋" w:eastAsia="仿宋" w:cs="仿宋"/>
          <w:kern w:val="0"/>
          <w:sz w:val="24"/>
        </w:rPr>
      </w:pPr>
      <w:r>
        <w:rPr>
          <w:rFonts w:hint="eastAsia" w:ascii="仿宋" w:hAnsi="仿宋" w:eastAsia="仿宋" w:cs="仿宋"/>
          <w:spacing w:val="0"/>
          <w:kern w:val="0"/>
          <w:sz w:val="36"/>
          <w:szCs w:val="36"/>
        </w:rPr>
        <w:t> </w:t>
      </w:r>
    </w:p>
    <w:p>
      <w:pPr>
        <w:pStyle w:val="33"/>
        <w:widowControl/>
        <w:spacing w:before="100" w:after="100"/>
        <w:ind w:left="0" w:right="0" w:firstLine="0"/>
        <w:jc w:val="center"/>
        <w:rPr>
          <w:rFonts w:hint="eastAsia" w:ascii="仿宋" w:hAnsi="仿宋" w:eastAsia="仿宋" w:cs="仿宋"/>
          <w:kern w:val="0"/>
          <w:sz w:val="24"/>
        </w:rPr>
      </w:pPr>
      <w:r>
        <w:rPr>
          <w:rFonts w:hint="eastAsia" w:ascii="仿宋" w:hAnsi="仿宋" w:eastAsia="仿宋" w:cs="仿宋"/>
          <w:spacing w:val="0"/>
          <w:kern w:val="0"/>
          <w:sz w:val="36"/>
          <w:szCs w:val="36"/>
        </w:rPr>
        <w:t> </w:t>
      </w:r>
    </w:p>
    <w:p>
      <w:pPr>
        <w:pStyle w:val="33"/>
        <w:widowControl/>
        <w:spacing w:before="100" w:after="100"/>
        <w:ind w:left="0" w:right="0" w:firstLine="0"/>
        <w:jc w:val="center"/>
        <w:rPr>
          <w:rFonts w:hint="eastAsia" w:ascii="仿宋" w:hAnsi="仿宋" w:eastAsia="仿宋" w:cs="仿宋"/>
          <w:kern w:val="0"/>
          <w:sz w:val="24"/>
        </w:rPr>
      </w:pPr>
      <w:r>
        <w:rPr>
          <w:rFonts w:hint="eastAsia" w:ascii="仿宋" w:hAnsi="仿宋" w:eastAsia="仿宋" w:cs="仿宋"/>
          <w:spacing w:val="0"/>
          <w:kern w:val="0"/>
          <w:sz w:val="36"/>
          <w:szCs w:val="36"/>
        </w:rPr>
        <w:t> </w:t>
      </w:r>
    </w:p>
    <w:p>
      <w:pPr>
        <w:pStyle w:val="33"/>
        <w:widowControl/>
        <w:spacing w:before="100" w:after="100"/>
        <w:ind w:left="0" w:right="0" w:firstLine="0"/>
        <w:jc w:val="center"/>
        <w:rPr>
          <w:rFonts w:hint="eastAsia" w:ascii="仿宋" w:hAnsi="仿宋" w:eastAsia="仿宋" w:cs="仿宋"/>
          <w:kern w:val="0"/>
          <w:sz w:val="24"/>
        </w:rPr>
      </w:pPr>
      <w:r>
        <w:rPr>
          <w:rFonts w:hint="eastAsia" w:ascii="仿宋" w:hAnsi="仿宋" w:eastAsia="仿宋" w:cs="仿宋"/>
          <w:spacing w:val="0"/>
          <w:kern w:val="0"/>
          <w:sz w:val="36"/>
          <w:szCs w:val="36"/>
        </w:rPr>
        <w:t> </w:t>
      </w:r>
    </w:p>
    <w:p>
      <w:pPr>
        <w:pStyle w:val="33"/>
        <w:widowControl/>
        <w:spacing w:before="100" w:after="100"/>
        <w:ind w:left="0" w:right="0" w:firstLine="0"/>
        <w:jc w:val="center"/>
        <w:rPr>
          <w:rFonts w:hint="eastAsia" w:ascii="仿宋" w:hAnsi="仿宋" w:eastAsia="仿宋" w:cs="仿宋"/>
          <w:kern w:val="0"/>
          <w:sz w:val="24"/>
        </w:rPr>
      </w:pPr>
      <w:r>
        <w:rPr>
          <w:rFonts w:hint="eastAsia" w:ascii="仿宋" w:hAnsi="仿宋" w:eastAsia="仿宋" w:cs="仿宋"/>
          <w:spacing w:val="0"/>
          <w:kern w:val="0"/>
          <w:sz w:val="36"/>
          <w:szCs w:val="36"/>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56"/>
          <w:szCs w:val="56"/>
        </w:rPr>
        <w:t>第二部分</w:t>
      </w:r>
      <w:r>
        <w:rPr>
          <w:rFonts w:ascii="宋体" w:hAnsi="宋体" w:cs="宋体"/>
          <w:spacing w:val="0"/>
          <w:kern w:val="0"/>
          <w:sz w:val="56"/>
          <w:szCs w:val="5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2023年度部门决算表</w:t>
      </w:r>
    </w:p>
    <w:p>
      <w:pPr>
        <w:pStyle w:val="34"/>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一、收入支出决算总表</w:t>
      </w:r>
    </w:p>
    <w:p>
      <w:pPr>
        <w:sectPr>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5000" w:type="pct"/>
        <w:tblInd w:w="20" w:type="dxa"/>
        <w:tblLayout w:type="fixed"/>
        <w:tblCellMar>
          <w:top w:w="15" w:type="dxa"/>
          <w:left w:w="15" w:type="dxa"/>
          <w:bottom w:w="15" w:type="dxa"/>
          <w:right w:w="15" w:type="dxa"/>
        </w:tblCellMar>
      </w:tblPr>
      <w:tblGrid>
        <w:gridCol w:w="5050"/>
        <w:gridCol w:w="2441"/>
        <w:gridCol w:w="4833"/>
        <w:gridCol w:w="2658"/>
      </w:tblGrid>
      <w:tr>
        <w:tblPrEx>
          <w:tblCellMar>
            <w:top w:w="15" w:type="dxa"/>
            <w:left w:w="15" w:type="dxa"/>
            <w:bottom w:w="15" w:type="dxa"/>
            <w:right w:w="15" w:type="dxa"/>
          </w:tblCellMar>
        </w:tblPrEx>
        <w:trPr>
          <w:tblHeader/>
        </w:trPr>
        <w:tc>
          <w:tcPr>
            <w:gridSpan w:val="4"/>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收入支出决算总表</w:t>
            </w:r>
          </w:p>
        </w:tc>
      </w:tr>
      <w:tr>
        <w:tblPrEx>
          <w:tblCellMar>
            <w:top w:w="15" w:type="dxa"/>
            <w:left w:w="15" w:type="dxa"/>
            <w:bottom w:w="15" w:type="dxa"/>
            <w:right w:w="15" w:type="dxa"/>
          </w:tblCellMar>
        </w:tblPrEx>
        <w:trPr>
          <w:tblHeader/>
        </w:trPr>
        <w:tc>
          <w:tcPr>
            <w:tcW w:w="2160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公开01表</w:t>
            </w:r>
          </w:p>
        </w:tc>
      </w:tr>
      <w:tr>
        <w:tblPrEx>
          <w:tblCellMar>
            <w:top w:w="15" w:type="dxa"/>
            <w:left w:w="15" w:type="dxa"/>
            <w:bottom w:w="15" w:type="dxa"/>
            <w:right w:w="15" w:type="dxa"/>
          </w:tblCellMar>
        </w:tblPrEx>
        <w:trPr>
          <w:tblHeader/>
        </w:trPr>
        <w:tc>
          <w:tcPr>
            <w:tcW w:w="21600" w:type="dxa"/>
            <w:gridSpan w:val="3"/>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编制单位：上杭县茶地镇人民政府（汇总）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w:t>
            </w:r>
          </w:p>
        </w:tc>
      </w:tr>
      <w:tr>
        <w:tblPrEx>
          <w:tblCellMar>
            <w:top w:w="15" w:type="dxa"/>
            <w:left w:w="15" w:type="dxa"/>
            <w:bottom w:w="15" w:type="dxa"/>
            <w:right w:w="15" w:type="dxa"/>
          </w:tblCellMar>
        </w:tblPrEx>
        <w:trPr>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项目(按支出功能分类)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1,165.38</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五、事业收入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六、经营收入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八、其他收入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358.34</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50.9</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1,758.46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1,758.46</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结余分配</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3.47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3.47</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1,761.93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1,761.93</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w:t>
      </w:r>
      <w:r>
        <w:rPr>
          <w:rFonts w:ascii="Times New Roman" w:hAnsi="Times New Roman" w:eastAsia="Times New Roman" w:cs="Times New Roman"/>
          <w:kern w:val="0"/>
          <w:sz w:val="24"/>
        </w:rPr>
        <w:t>1. </w:t>
      </w:r>
      <w:r>
        <w:rPr>
          <w:rFonts w:ascii="宋体" w:hAnsi="宋体" w:cs="宋体"/>
          <w:spacing w:val="0"/>
          <w:kern w:val="0"/>
          <w:sz w:val="32"/>
          <w:szCs w:val="32"/>
        </w:rPr>
        <w:t>本表反映部门本年度的总收支和年末结转结余情况。</w:t>
      </w:r>
    </w:p>
    <w:p>
      <w:pPr>
        <w:pStyle w:val="33"/>
        <w:widowControl/>
        <w:spacing w:before="100" w:after="100"/>
        <w:ind w:left="0" w:right="0" w:firstLine="480"/>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2.</w:t>
      </w:r>
      <w:r>
        <w:rPr>
          <w:rFonts w:ascii="Calibri" w:hAnsi="Calibri" w:eastAsia="Calibri" w:cs="Calibri"/>
          <w:spacing w:val="0"/>
          <w:kern w:val="0"/>
          <w:sz w:val="32"/>
          <w:szCs w:val="32"/>
        </w:rPr>
        <w:t> </w:t>
      </w:r>
      <w:r>
        <w:rPr>
          <w:rFonts w:ascii="宋体" w:hAnsi="宋体" w:cs="宋体"/>
          <w:spacing w:val="0"/>
          <w:kern w:val="0"/>
          <w:sz w:val="32"/>
          <w:szCs w:val="32"/>
        </w:rPr>
        <w:t>本套报表金额单位转换时可能存在尾数误差。</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二、收入决算表</w:t>
      </w:r>
    </w:p>
    <w:p>
      <w:pPr>
        <w:sectPr>
          <w:pgSz w:w="16383" w:h="11906" w:orient="landscape"/>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5000" w:type="pct"/>
        <w:tblInd w:w="20" w:type="dxa"/>
        <w:tblLayout w:type="fixed"/>
        <w:tblCellMar>
          <w:top w:w="15" w:type="dxa"/>
          <w:left w:w="15" w:type="dxa"/>
          <w:bottom w:w="15" w:type="dxa"/>
          <w:right w:w="15" w:type="dxa"/>
        </w:tblCellMar>
      </w:tblPr>
      <w:tblGrid>
        <w:gridCol w:w="983"/>
        <w:gridCol w:w="983"/>
        <w:gridCol w:w="983"/>
        <w:gridCol w:w="2994"/>
        <w:gridCol w:w="1346"/>
        <w:gridCol w:w="1346"/>
        <w:gridCol w:w="1346"/>
        <w:gridCol w:w="1092"/>
        <w:gridCol w:w="1092"/>
        <w:gridCol w:w="1599"/>
        <w:gridCol w:w="1219"/>
      </w:tblGrid>
      <w:tr>
        <w:trPr>
          <w:tblHeader/>
        </w:trPr>
        <w:tc>
          <w:tcPr>
            <w:gridSpan w:val="11"/>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收入决算表</w:t>
            </w:r>
          </w:p>
        </w:tc>
      </w:tr>
      <w:tr>
        <w:tblPrEx>
          <w:tblCellMar>
            <w:top w:w="15" w:type="dxa"/>
            <w:left w:w="15" w:type="dxa"/>
            <w:bottom w:w="15" w:type="dxa"/>
            <w:right w:w="15" w:type="dxa"/>
          </w:tblCellMar>
        </w:tblPrEx>
        <w:trPr>
          <w:tblHeader/>
        </w:trPr>
        <w:tc>
          <w:tcPr>
            <w:tcW w:w="5295"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公开02表</w:t>
            </w:r>
          </w:p>
        </w:tc>
      </w:tr>
      <w:tr>
        <w:tblPrEx>
          <w:tblCellMar>
            <w:top w:w="15" w:type="dxa"/>
            <w:left w:w="15" w:type="dxa"/>
            <w:bottom w:w="15" w:type="dxa"/>
            <w:right w:w="15" w:type="dxa"/>
          </w:tblCellMar>
        </w:tblPrEx>
        <w:trPr>
          <w:tblHeader/>
        </w:trPr>
        <w:tc>
          <w:tcPr>
            <w:tcW w:w="5295"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编制单位：上杭县茶地镇人民政府（汇总）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财政拨款收入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上级补助收入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事业收入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经营收入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附属单位上缴收入</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其他收入</w:t>
            </w:r>
          </w:p>
        </w:tc>
      </w:tr>
      <w:tr>
        <w:tblPrEx>
          <w:tblCellMar>
            <w:top w:w="15" w:type="dxa"/>
            <w:left w:w="15" w:type="dxa"/>
            <w:bottom w:w="15" w:type="dxa"/>
            <w:right w:w="15" w:type="dxa"/>
          </w:tblCellMar>
        </w:tblPrEx>
        <w:trPr>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gridSpan w:val="3"/>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1,758.46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7.42</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1,165.38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1,157.96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7.42</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1,165.38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1,157.96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7.42</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1,165.36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1,157.94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7.42</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其他政府办公厅（室）及相关机构事务支出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文化和旅游</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艺术表演场所</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人力资源和社会保障管理事务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2080107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社会保险业务管理事务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医疗救助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其他医疗救助支出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2120501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358.34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358.34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林业和草原</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森林资源培育</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水利工程建设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2130311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水资源节约管理与保护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巩固脱贫攻坚成果衔接乡村振兴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其他巩固脱贫攻坚成果衔接乡村振兴支出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232.35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232.35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158.35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158.35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45.9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45.9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注：本表反映部门本年度取得的各项收入情况。</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三、支出决算表</w:t>
      </w:r>
    </w:p>
    <w:p>
      <w:pPr>
        <w:sectPr>
          <w:pgSz w:w="16383" w:h="11906" w:orient="landscape"/>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5000" w:type="pct"/>
        <w:tblInd w:w="20" w:type="dxa"/>
        <w:tblLayout w:type="fixed"/>
        <w:tblCellMar>
          <w:top w:w="15" w:type="dxa"/>
          <w:left w:w="15" w:type="dxa"/>
          <w:bottom w:w="15" w:type="dxa"/>
          <w:right w:w="15" w:type="dxa"/>
        </w:tblCellMar>
      </w:tblPr>
      <w:tblGrid>
        <w:gridCol w:w="1025"/>
        <w:gridCol w:w="1025"/>
        <w:gridCol w:w="1025"/>
        <w:gridCol w:w="3233"/>
        <w:gridCol w:w="1972"/>
        <w:gridCol w:w="1145"/>
        <w:gridCol w:w="1145"/>
        <w:gridCol w:w="1423"/>
        <w:gridCol w:w="1145"/>
        <w:gridCol w:w="1843"/>
      </w:tblGrid>
      <w:tr>
        <w:tblPrEx>
          <w:tblCellMar>
            <w:top w:w="15" w:type="dxa"/>
            <w:left w:w="15" w:type="dxa"/>
            <w:bottom w:w="15" w:type="dxa"/>
            <w:right w:w="15" w:type="dxa"/>
          </w:tblCellMar>
        </w:tblPrEx>
        <w:trPr>
          <w:tblHeader/>
        </w:trPr>
        <w:tc>
          <w:tcPr>
            <w:gridSpan w:val="10"/>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支出决算表</w:t>
            </w:r>
          </w:p>
        </w:tc>
      </w:tr>
      <w:tr>
        <w:tblPrEx>
          <w:tblCellMar>
            <w:top w:w="15" w:type="dxa"/>
            <w:left w:w="15" w:type="dxa"/>
            <w:bottom w:w="15" w:type="dxa"/>
            <w:right w:w="15" w:type="dxa"/>
          </w:tblCellMar>
        </w:tblPrEx>
        <w:trPr>
          <w:tblHeader/>
        </w:trPr>
        <w:tc>
          <w:tcPr>
            <w:tcW w:w="5295"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公开03表</w:t>
            </w:r>
          </w:p>
        </w:tc>
      </w:tr>
      <w:tr>
        <w:tblPrEx>
          <w:tblCellMar>
            <w:top w:w="15" w:type="dxa"/>
            <w:left w:w="15" w:type="dxa"/>
            <w:bottom w:w="15" w:type="dxa"/>
            <w:right w:w="15" w:type="dxa"/>
          </w:tblCellMar>
        </w:tblPrEx>
        <w:trPr>
          <w:tblHeader/>
        </w:trPr>
        <w:tc>
          <w:tcPr>
            <w:tcW w:w="5295"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编制单位：上杭县茶地镇人民政府（汇总）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上缴上级支出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经营支出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对附属单位补助支出</w:t>
            </w:r>
          </w:p>
        </w:tc>
      </w:tr>
      <w:tr>
        <w:tblPrEx>
          <w:tblCellMar>
            <w:top w:w="15" w:type="dxa"/>
            <w:left w:w="15" w:type="dxa"/>
            <w:bottom w:w="15" w:type="dxa"/>
            <w:right w:w="15" w:type="dxa"/>
          </w:tblCellMar>
        </w:tblPrEx>
        <w:trPr>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vMerge w:val="restart"/>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gridSpan w:val="3"/>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1,758.46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1,360.22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398.25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1,165.38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1,165.38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1,165.38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1,165.38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1,165.36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1,165.36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其他政府办公厅（室）及相关机构事务支出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文化和旅游</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艺术表演场所</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人力资源和社会保障管理事务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2080107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社会保险业务管理事务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医疗救助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其他医疗救助支出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2120501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358.34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242.35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林业和草原</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森林资源培育</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水利工程建设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2130311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水资源节约管理与保护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巩固脱贫攻坚成果衔接乡村振兴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其他巩固脱贫攻坚成果衔接乡村振兴支出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232.35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232.35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158.35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158.35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45.9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45.9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rPr>
          <w:tblHeader/>
        </w:trPr>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注：本表反映部门本年度各项支出情况。</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四、财政拨款收入支出决算总表</w:t>
      </w:r>
    </w:p>
    <w:p>
      <w:pPr>
        <w:sectPr>
          <w:pgSz w:w="16383" w:h="11906" w:orient="landscape"/>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5000" w:type="pct"/>
        <w:tblInd w:w="20" w:type="dxa"/>
        <w:tblLayout w:type="fixed"/>
        <w:tblCellMar>
          <w:top w:w="15" w:type="dxa"/>
          <w:left w:w="15" w:type="dxa"/>
          <w:bottom w:w="15" w:type="dxa"/>
          <w:right w:w="15" w:type="dxa"/>
        </w:tblCellMar>
      </w:tblPr>
      <w:tblGrid>
        <w:gridCol w:w="2638"/>
        <w:gridCol w:w="1395"/>
        <w:gridCol w:w="2761"/>
        <w:gridCol w:w="1395"/>
        <w:gridCol w:w="2140"/>
        <w:gridCol w:w="2265"/>
        <w:gridCol w:w="2389"/>
      </w:tblGrid>
      <w:tr>
        <w:tblPrEx>
          <w:tblCellMar>
            <w:top w:w="15" w:type="dxa"/>
            <w:left w:w="15" w:type="dxa"/>
            <w:bottom w:w="15" w:type="dxa"/>
            <w:right w:w="15" w:type="dxa"/>
          </w:tblCellMar>
        </w:tblPrEx>
        <w:trPr>
          <w:tblHeader/>
        </w:trPr>
        <w:tc>
          <w:tcPr>
            <w:gridSpan w:val="7"/>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财政拨款收入支出决算总表</w:t>
            </w:r>
          </w:p>
        </w:tc>
      </w:tr>
      <w:tr>
        <w:tblPrEx>
          <w:tblCellMar>
            <w:top w:w="15" w:type="dxa"/>
            <w:left w:w="15" w:type="dxa"/>
            <w:bottom w:w="15" w:type="dxa"/>
            <w:right w:w="15" w:type="dxa"/>
          </w:tblCellMar>
        </w:tblPrEx>
        <w:trPr>
          <w:tblHeader/>
        </w:trPr>
        <w:tc>
          <w:tcPr>
            <w:tcW w:w="21600"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公开04表</w:t>
            </w:r>
          </w:p>
        </w:tc>
      </w:tr>
      <w:tr>
        <w:tblPrEx>
          <w:tblCellMar>
            <w:top w:w="15" w:type="dxa"/>
            <w:left w:w="15" w:type="dxa"/>
            <w:bottom w:w="15" w:type="dxa"/>
            <w:right w:w="15" w:type="dxa"/>
          </w:tblCellMar>
        </w:tblPrEx>
        <w:trPr>
          <w:tblHeader/>
        </w:trPr>
        <w:tc>
          <w:tcPr>
            <w:tcW w:w="21600"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编制单位：上杭县茶地镇人民政府（汇总）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w:t>
            </w:r>
          </w:p>
        </w:tc>
      </w:tr>
      <w:tr>
        <w:tblPrEx>
          <w:tblCellMar>
            <w:top w:w="15" w:type="dxa"/>
            <w:left w:w="15" w:type="dxa"/>
            <w:bottom w:w="15" w:type="dxa"/>
            <w:right w:w="15" w:type="dxa"/>
          </w:tblCellMar>
        </w:tblPrEx>
        <w:trPr>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国有资本经营预算财政拨款</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1,157.96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1,157.96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二、外交支出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358.34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358.34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1,753.25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1,753.25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1,753.25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注：本表反映部门本年度一般公共预算财政拨款、政府性基金预算财政拨款和国有资本经营预算财政拨款的总收支和年末结转结余情况。</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五、一般公共预算财政拨款支出决算表</w:t>
      </w:r>
    </w:p>
    <w:p>
      <w:pPr>
        <w:sectPr>
          <w:pgSz w:w="16383" w:h="11906" w:orient="landscape"/>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5000" w:type="pct"/>
        <w:tblInd w:w="20" w:type="dxa"/>
        <w:tblLayout w:type="fixed"/>
        <w:tblCellMar>
          <w:top w:w="15" w:type="dxa"/>
          <w:left w:w="15" w:type="dxa"/>
          <w:bottom w:w="15" w:type="dxa"/>
          <w:right w:w="15" w:type="dxa"/>
        </w:tblCellMar>
      </w:tblPr>
      <w:tblGrid>
        <w:gridCol w:w="2997"/>
        <w:gridCol w:w="5372"/>
        <w:gridCol w:w="2133"/>
        <w:gridCol w:w="2133"/>
        <w:gridCol w:w="2348"/>
      </w:tblGrid>
      <w:tr>
        <w:tblPrEx>
          <w:tblCellMar>
            <w:top w:w="15" w:type="dxa"/>
            <w:left w:w="15" w:type="dxa"/>
            <w:bottom w:w="15" w:type="dxa"/>
            <w:right w:w="15" w:type="dxa"/>
          </w:tblCellMar>
        </w:tblPrEx>
        <w:trPr>
          <w:tblHeader/>
        </w:trPr>
        <w:tc>
          <w:tcPr>
            <w:gridSpan w:val="5"/>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一般公共预算财政拨款支出决算表</w:t>
            </w:r>
          </w:p>
        </w:tc>
      </w:tr>
      <w:tr>
        <w:tblPrEx>
          <w:tblCellMar>
            <w:top w:w="15" w:type="dxa"/>
            <w:left w:w="15" w:type="dxa"/>
            <w:bottom w:w="15" w:type="dxa"/>
            <w:right w:w="15" w:type="dxa"/>
          </w:tblCellMar>
        </w:tblPrEx>
        <w:trPr>
          <w:tblHeader/>
        </w:trPr>
        <w:tc>
          <w:tcPr>
            <w:tcW w:w="5295"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公开05表</w:t>
            </w:r>
          </w:p>
        </w:tc>
      </w:tr>
      <w:tr>
        <w:tblPrEx>
          <w:tblCellMar>
            <w:top w:w="15" w:type="dxa"/>
            <w:left w:w="15" w:type="dxa"/>
            <w:bottom w:w="15" w:type="dxa"/>
            <w:right w:w="15" w:type="dxa"/>
          </w:tblCellMar>
        </w:tblPrEx>
        <w:trPr>
          <w:tblHeader/>
        </w:trPr>
        <w:tc>
          <w:tcPr>
            <w:tcW w:w="5295"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编制单位：上杭县茶地镇人民政府（汇总）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5295"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r>
      <w:tr>
        <w:tblPrEx>
          <w:tblCellMar>
            <w:top w:w="15" w:type="dxa"/>
            <w:left w:w="15" w:type="dxa"/>
            <w:bottom w:w="15" w:type="dxa"/>
            <w:right w:w="15" w:type="dxa"/>
          </w:tblCellMar>
        </w:tblPrEx>
        <w:trPr>
          <w:tblHeader/>
        </w:trPr>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r>
      <w:tr>
        <w:tblPrEx>
          <w:tblCellMar>
            <w:top w:w="15" w:type="dxa"/>
            <w:left w:w="15" w:type="dxa"/>
            <w:bottom w:w="15" w:type="dxa"/>
            <w:right w:w="15" w:type="dxa"/>
          </w:tblCellMar>
        </w:tblPrEx>
        <w:trPr>
          <w:tblHeader/>
        </w:trPr>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c>
          <w:tcPr>
            <w:tcW w:w="5295"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1,751.05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1,352.8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398.25</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1,157.96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1,157.96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政府办公厅（室）及相关机构事务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1,157.96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1,157.96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1,157.94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1,157.94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2010399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其他政府办公厅（室）及相关机构事务支出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文化和旅游</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2070106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艺术表演场所</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人力资源和社会保障管理事务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2080107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社会保险业务管理事务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医疗救助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2101399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其他医疗救助支出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56.83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城乡社区公共设施</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其他城乡社区公共设施支出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105</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2120501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城乡社区环境卫生</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358.34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115.99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242.35</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林业和草原</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森林资源培育</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水利工程建设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2130311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水资源节约管理与保护</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巩固脱贫攻坚成果衔接乡村振兴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2130599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其他巩固脱贫攻坚成果衔接乡村振兴支出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农村综合改革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232.35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232.35</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对村级公益事业建设的补助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74</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2130705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对村民委员会和村党支部的补助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158.35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158.35</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50.9</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45.9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45.9</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自然灾害救灾补助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40.9</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2240799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其他自然灾害救灾及恢复重建支出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2249999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注：本表反映部门本年度一般公共预算财政拨款支出情况。</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六、一般公共预算财政拨款基本支出决算表</w:t>
      </w:r>
    </w:p>
    <w:p>
      <w:pPr>
        <w:sectPr>
          <w:pgSz w:w="16383" w:h="11906" w:orient="landscape"/>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5000" w:type="pct"/>
        <w:tblInd w:w="20" w:type="dxa"/>
        <w:tblLayout w:type="fixed"/>
        <w:tblCellMar>
          <w:top w:w="15" w:type="dxa"/>
          <w:left w:w="15" w:type="dxa"/>
          <w:bottom w:w="15" w:type="dxa"/>
          <w:right w:w="15" w:type="dxa"/>
        </w:tblCellMar>
      </w:tblPr>
      <w:tblGrid>
        <w:gridCol w:w="1602"/>
        <w:gridCol w:w="2277"/>
        <w:gridCol w:w="1153"/>
        <w:gridCol w:w="1602"/>
        <w:gridCol w:w="1714"/>
        <w:gridCol w:w="1040"/>
        <w:gridCol w:w="1602"/>
        <w:gridCol w:w="2727"/>
        <w:gridCol w:w="1265"/>
      </w:tblGrid>
      <w:tr>
        <w:tblPrEx>
          <w:tblCellMar>
            <w:top w:w="15" w:type="dxa"/>
            <w:left w:w="15" w:type="dxa"/>
            <w:bottom w:w="15" w:type="dxa"/>
            <w:right w:w="15" w:type="dxa"/>
          </w:tblCellMar>
        </w:tblPrEx>
        <w:trPr>
          <w:tblHeader/>
        </w:trPr>
        <w:tc>
          <w:tcPr>
            <w:gridSpan w:val="9"/>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一般公共预算财政拨款基本支出决算表</w:t>
            </w:r>
          </w:p>
        </w:tc>
      </w:tr>
      <w:tr>
        <w:tblPrEx>
          <w:tblCellMar>
            <w:top w:w="15" w:type="dxa"/>
            <w:left w:w="15" w:type="dxa"/>
            <w:bottom w:w="15" w:type="dxa"/>
            <w:right w:w="15" w:type="dxa"/>
          </w:tblCellMar>
        </w:tblPrEx>
        <w:trPr>
          <w:tblHeader/>
        </w:trPr>
        <w:tc>
          <w:tcPr>
            <w:tcW w:w="21600"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公开06表</w:t>
            </w:r>
          </w:p>
        </w:tc>
      </w:tr>
      <w:tr>
        <w:tblPrEx>
          <w:tblCellMar>
            <w:top w:w="15" w:type="dxa"/>
            <w:left w:w="15" w:type="dxa"/>
            <w:bottom w:w="15" w:type="dxa"/>
            <w:right w:w="15" w:type="dxa"/>
          </w:tblCellMar>
        </w:tblPrEx>
        <w:trPr>
          <w:tblHeader/>
        </w:trPr>
        <w:tc>
          <w:tcPr>
            <w:tcW w:w="21600"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编制单位：上杭县茶地镇人民政府（汇总）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经济分类科目编码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金额</w:t>
            </w:r>
          </w:p>
        </w:tc>
      </w:tr>
      <w:tr>
        <w:tblPrEx>
          <w:tblCellMar>
            <w:top w:w="15" w:type="dxa"/>
            <w:left w:w="15" w:type="dxa"/>
            <w:bottom w:w="15" w:type="dxa"/>
            <w:right w:w="15" w:type="dxa"/>
          </w:tblCellMar>
        </w:tblPrEx>
        <w:trPr>
          <w:tblHeader/>
        </w:trPr>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927.81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285.41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国内债务发行费用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244.68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办公费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26.68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国外债务发行费用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津贴补贴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75.23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印刷费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13.41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46.63</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奖金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60.85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咨询费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2.68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房屋建筑物购建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伙食补助费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手续费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办公设备购置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46.48</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绩效工资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专用设备购置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0.15</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机关事业单位基本养老保险缴费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144.22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基础设施建设</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职业年金缴费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17.31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邮电费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大型修缮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职工基本医疗保险缴费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167.48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取暖费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信息网络及软件购置更新</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公务员医疗补助缴费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物业管理费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物资储备</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其他社会保障缴费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19.58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差旅费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22.57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土地补偿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127.14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因公出国（境）费用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安置补助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医疗费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维修（护）费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地上附着物和青苗补偿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30199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其他工资福利支出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49.02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租赁费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0.37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拆迁补偿</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89.95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会议费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公务用车购置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离休费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培训费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31019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其他交通工具购置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退休费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31021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文物和陈列品购置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退职（役）费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专用材料费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31022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无形资产购置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抚恤金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被装购置费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31099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其他资本性支出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生活补助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专用燃料费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救济费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劳务费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16.87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资本金注入</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医疗费补助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委托业务费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62.93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政府投资基金股权投资</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助学金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工会经费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5.18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费用补贴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奖励金</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30229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福利费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31205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利息补贴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个人农业生产补贴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30231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3.76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31299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其他对企业补助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30311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代缴社会保险费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30239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其他交通费用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12.72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30399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其他对个人和家庭的补助</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69.75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30240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税金及附加费用</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国家赔偿费用支出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30299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其他商品和服务支出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98.12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39908</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对民间非营利组织和群众性自治组织补贴</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债务利息及费用支出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39909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经常性赠与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国内债务付息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39910</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资本性赠与</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30702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国外债务付息</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39999</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人员经费合计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1,017.76</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公用经费合计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335.04</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注：本表反映部门本年度一般公共预算财政拨款基本支出明细情况。</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七、一般公共预算财政拨款“三公”经费支出决算表</w:t>
      </w:r>
    </w:p>
    <w:p>
      <w:pPr>
        <w:sectPr>
          <w:pgSz w:w="16383" w:h="11906" w:orient="landscape"/>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5000" w:type="pct"/>
        <w:tblInd w:w="20" w:type="dxa"/>
        <w:tblLayout w:type="fixed"/>
        <w:tblCellMar>
          <w:top w:w="15" w:type="dxa"/>
          <w:left w:w="15" w:type="dxa"/>
          <w:bottom w:w="15" w:type="dxa"/>
          <w:right w:w="15" w:type="dxa"/>
        </w:tblCellMar>
      </w:tblPr>
      <w:tblGrid>
        <w:gridCol w:w="5311"/>
        <w:gridCol w:w="3756"/>
        <w:gridCol w:w="3756"/>
      </w:tblGrid>
      <w:tr>
        <w:tblPrEx>
          <w:tblCellMar>
            <w:top w:w="15" w:type="dxa"/>
            <w:left w:w="15" w:type="dxa"/>
            <w:bottom w:w="15" w:type="dxa"/>
            <w:right w:w="15" w:type="dxa"/>
          </w:tblCellMar>
        </w:tblPrEx>
        <w:trPr>
          <w:tblHeader/>
        </w:trPr>
        <w:tc>
          <w:tcPr>
            <w:gridSpan w:val="3"/>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一般公共预算财政拨款“三公”经费支出决算表</w:t>
            </w:r>
          </w:p>
        </w:tc>
      </w:tr>
      <w:tr>
        <w:tblPrEx>
          <w:tblCellMar>
            <w:top w:w="15" w:type="dxa"/>
            <w:left w:w="15" w:type="dxa"/>
            <w:bottom w:w="15" w:type="dxa"/>
            <w:right w:w="15" w:type="dxa"/>
          </w:tblCellMar>
        </w:tblPrEx>
        <w:trPr>
          <w:tblHeader/>
        </w:trPr>
        <w:tc>
          <w:tcPr>
            <w:tcW w:w="2160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公开07表</w:t>
            </w:r>
          </w:p>
        </w:tc>
      </w:tr>
      <w:tr>
        <w:tblPrEx>
          <w:tblCellMar>
            <w:top w:w="15" w:type="dxa"/>
            <w:left w:w="15" w:type="dxa"/>
            <w:bottom w:w="15" w:type="dxa"/>
            <w:right w:w="15" w:type="dxa"/>
          </w:tblCellMar>
        </w:tblPrEx>
        <w:trPr>
          <w:tblHeader/>
        </w:trPr>
        <w:tc>
          <w:tcPr>
            <w:gridSpan w:val="3"/>
            <w:noWrap w:val="0"/>
            <w:tcMar>
              <w:top w:w="20" w:type="dxa"/>
              <w:left w:w="20" w:type="dxa"/>
              <w:bottom w:w="20" w:type="dxa"/>
              <w:right w:w="20" w:type="dxa"/>
            </w:tcMar>
            <w:vAlign w:val="center"/>
          </w:tcPr>
          <w:p>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编制单位：上杭县茶地镇人民政府（汇总）</w:t>
            </w:r>
          </w:p>
        </w:tc>
      </w:tr>
      <w:tr>
        <w:tblPrEx>
          <w:tblCellMar>
            <w:top w:w="15" w:type="dxa"/>
            <w:left w:w="15" w:type="dxa"/>
            <w:bottom w:w="15" w:type="dxa"/>
            <w:right w:w="15" w:type="dxa"/>
          </w:tblCellMar>
        </w:tblPrEx>
        <w:trPr>
          <w:tblHeader/>
        </w:trPr>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行次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决算数</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8.63</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 因公出国（境）费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3.76</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3.76</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4.87</w:t>
            </w:r>
          </w:p>
        </w:tc>
      </w:tr>
    </w:tbl>
    <w:p>
      <w:pPr>
        <w:pStyle w:val="34"/>
        <w:widowControl/>
        <w:spacing w:before="100" w:after="100"/>
        <w:ind w:left="0" w:right="0" w:firstLine="0"/>
        <w:jc w:val="left"/>
        <w:rPr>
          <w:rFonts w:ascii="Times New Roman" w:hAnsi="Times New Roman" w:eastAsia="Times New Roman" w:cs="Times New Roman"/>
          <w:kern w:val="0"/>
          <w:sz w:val="24"/>
        </w:rPr>
        <w:sectPr>
          <w:pgSz w:w="16383" w:h="11906" w:orient="landscape"/>
          <w:cols w:space="720" w:num="1"/>
        </w:sectPr>
      </w:pPr>
    </w:p>
    <w:p>
      <w:pPr>
        <w:pStyle w:val="34"/>
        <w:widowControl/>
        <w:spacing w:before="240" w:after="240"/>
        <w:jc w:val="left"/>
        <w:rPr>
          <w:rFonts w:ascii="Times New Roman" w:hAnsi="Times New Roman" w:eastAsia="Times New Roman" w:cs="Times New Roman"/>
          <w:kern w:val="0"/>
          <w:sz w:val="24"/>
        </w:rPr>
      </w:pPr>
      <w:r>
        <w:rPr>
          <w:rFonts w:ascii="宋体" w:hAnsi="宋体" w:cs="宋体"/>
          <w:kern w:val="0"/>
          <w:sz w:val="24"/>
        </w:rPr>
        <w:t>注：本表反映部门本年度“三公”经费支出决算情况，包括当年一般公共预算财政拨款和以前年度结转资金安排的实际支出。</w:t>
      </w:r>
    </w:p>
    <w:p>
      <w:pPr>
        <w:pStyle w:val="34"/>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八、政府性基金预算财政拨款收入支出决算表</w:t>
      </w:r>
    </w:p>
    <w:p>
      <w:pPr>
        <w:sectPr>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5000" w:type="pct"/>
        <w:tblInd w:w="20" w:type="dxa"/>
        <w:tblLayout w:type="fixed"/>
        <w:tblCellMar>
          <w:top w:w="15" w:type="dxa"/>
          <w:left w:w="15" w:type="dxa"/>
          <w:bottom w:w="15" w:type="dxa"/>
          <w:right w:w="15" w:type="dxa"/>
        </w:tblCellMar>
      </w:tblPr>
      <w:tblGrid>
        <w:gridCol w:w="1229"/>
        <w:gridCol w:w="1229"/>
        <w:gridCol w:w="1229"/>
        <w:gridCol w:w="2247"/>
        <w:gridCol w:w="1934"/>
        <w:gridCol w:w="1386"/>
        <w:gridCol w:w="1021"/>
        <w:gridCol w:w="1386"/>
        <w:gridCol w:w="1386"/>
        <w:gridCol w:w="1936"/>
      </w:tblGrid>
      <w:tr>
        <w:tblPrEx>
          <w:tblCellMar>
            <w:top w:w="15" w:type="dxa"/>
            <w:left w:w="15" w:type="dxa"/>
            <w:bottom w:w="15" w:type="dxa"/>
            <w:right w:w="15" w:type="dxa"/>
          </w:tblCellMar>
        </w:tblPrEx>
        <w:trPr>
          <w:tblHeader/>
        </w:trPr>
        <w:tc>
          <w:tcPr>
            <w:gridSpan w:val="10"/>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政府性基金预算财政拨款收入支出决算表</w:t>
            </w:r>
          </w:p>
        </w:tc>
      </w:tr>
      <w:tr>
        <w:tblPrEx>
          <w:tblCellMar>
            <w:top w:w="15" w:type="dxa"/>
            <w:left w:w="15" w:type="dxa"/>
            <w:bottom w:w="15" w:type="dxa"/>
            <w:right w:w="15" w:type="dxa"/>
          </w:tblCellMar>
        </w:tblPrEx>
        <w:trPr>
          <w:tblHeader/>
        </w:trPr>
        <w:tc>
          <w:tcPr>
            <w:tcW w:w="5295"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295"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公开08表</w:t>
            </w:r>
          </w:p>
        </w:tc>
      </w:tr>
      <w:tr>
        <w:tblPrEx>
          <w:tblCellMar>
            <w:top w:w="15" w:type="dxa"/>
            <w:left w:w="15" w:type="dxa"/>
            <w:bottom w:w="15" w:type="dxa"/>
            <w:right w:w="15" w:type="dxa"/>
          </w:tblCellMar>
        </w:tblPrEx>
        <w:trPr>
          <w:tblHeader/>
        </w:trPr>
        <w:tc>
          <w:tcPr>
            <w:tcW w:w="5295"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编制单位：上杭县茶地镇人民政府（汇总）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年初结转和结余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本年收入</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年末结转和结余</w:t>
            </w:r>
          </w:p>
        </w:tc>
      </w:tr>
      <w:tr>
        <w:tblPrEx>
          <w:tblCellMar>
            <w:top w:w="15" w:type="dxa"/>
            <w:left w:w="15" w:type="dxa"/>
            <w:bottom w:w="15" w:type="dxa"/>
            <w:right w:w="15" w:type="dxa"/>
          </w:tblCellMar>
        </w:tblPrEx>
        <w:trPr>
          <w:tblHeader/>
        </w:trPr>
        <w:tc>
          <w:tcPr>
            <w:tcW w:w="5295" w:type="dxa"/>
            <w:gridSpan w:val="3"/>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支出功能分类科目编码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小计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xml:space="preserve">基本支出 </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gridSpan w:val="3"/>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类</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款</w:t>
            </w:r>
          </w:p>
        </w:tc>
        <w:tc>
          <w:tcPr>
            <w:tcW w:w="5295"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6</w:t>
            </w:r>
          </w:p>
        </w:tc>
      </w:tr>
      <w:tr>
        <w:tblPrEx>
          <w:tblCellMar>
            <w:top w:w="15" w:type="dxa"/>
            <w:left w:w="15" w:type="dxa"/>
            <w:bottom w:w="15" w:type="dxa"/>
            <w:right w:w="15" w:type="dxa"/>
          </w:tblCellMar>
        </w:tblPrEx>
        <w:trPr>
          <w:tblHeader/>
        </w:trPr>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5295"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宋体" w:hAnsi="宋体" w:cs="宋体"/>
          <w:spacing w:val="0"/>
          <w:kern w:val="0"/>
          <w:sz w:val="32"/>
          <w:szCs w:val="32"/>
        </w:rPr>
        <w:t>注：</w:t>
      </w:r>
      <w:r>
        <w:rPr>
          <w:rFonts w:ascii="Times New Roman" w:hAnsi="Times New Roman" w:eastAsia="Times New Roman" w:cs="Times New Roman"/>
          <w:kern w:val="0"/>
          <w:sz w:val="24"/>
        </w:rPr>
        <w:t>1.</w:t>
      </w:r>
      <w:r>
        <w:rPr>
          <w:rFonts w:ascii="Calibri" w:hAnsi="Calibri" w:eastAsia="Calibri" w:cs="Calibri"/>
          <w:spacing w:val="0"/>
          <w:kern w:val="0"/>
          <w:sz w:val="32"/>
          <w:szCs w:val="32"/>
        </w:rPr>
        <w:t> </w:t>
      </w:r>
      <w:r>
        <w:rPr>
          <w:rFonts w:ascii="宋体" w:hAnsi="宋体" w:cs="宋体"/>
          <w:spacing w:val="0"/>
          <w:kern w:val="0"/>
          <w:sz w:val="32"/>
          <w:szCs w:val="32"/>
        </w:rPr>
        <w:t>本表反映部门本年度政府性基金预算财政拨款收入、支出及结转和结余情况。</w:t>
      </w:r>
    </w:p>
    <w:p>
      <w:pPr>
        <w:pStyle w:val="34"/>
        <w:widowControl/>
        <w:spacing w:before="100" w:after="100"/>
        <w:ind w:left="0" w:right="0" w:firstLine="480"/>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xml:space="preserve">  2. </w:t>
      </w:r>
      <w:r>
        <w:rPr>
          <w:rFonts w:ascii="宋体" w:hAnsi="宋体" w:cs="宋体"/>
          <w:spacing w:val="0"/>
          <w:kern w:val="0"/>
          <w:sz w:val="32"/>
          <w:szCs w:val="32"/>
        </w:rPr>
        <w:t>没有政府性基金拨款支出的部门请公开空表，并说明“本部门2023年度没有使用政府性基金预算拨款安排的收支”。</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32"/>
          <w:szCs w:val="32"/>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32"/>
          <w:szCs w:val="32"/>
        </w:rPr>
        <w:t>九、国有资本经营预算财政拨款支出决算表</w:t>
      </w:r>
    </w:p>
    <w:p>
      <w:pPr>
        <w:sectPr>
          <w:pgSz w:w="16383" w:h="11906" w:orient="landscape"/>
          <w:pgMar w:top="1440" w:right="720" w:bottom="1440" w:left="720" w:header="720" w:footer="720" w:gutter="0"/>
          <w:cols w:space="720" w:num="1"/>
        </w:sectPr>
      </w:pPr>
    </w:p>
    <w:p>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2"/>
        <w:tblW w:w="5000" w:type="pct"/>
        <w:tblInd w:w="20" w:type="dxa"/>
        <w:tblLayout w:type="fixed"/>
        <w:tblCellMar>
          <w:top w:w="15" w:type="dxa"/>
          <w:left w:w="15" w:type="dxa"/>
          <w:bottom w:w="15" w:type="dxa"/>
          <w:right w:w="15" w:type="dxa"/>
        </w:tblCellMar>
      </w:tblPr>
      <w:tblGrid>
        <w:gridCol w:w="3193"/>
        <w:gridCol w:w="2404"/>
        <w:gridCol w:w="2221"/>
        <w:gridCol w:w="2404"/>
        <w:gridCol w:w="2601"/>
      </w:tblGrid>
      <w:tr>
        <w:tblPrEx>
          <w:tblCellMar>
            <w:top w:w="15" w:type="dxa"/>
            <w:left w:w="15" w:type="dxa"/>
            <w:bottom w:w="15" w:type="dxa"/>
            <w:right w:w="15" w:type="dxa"/>
          </w:tblCellMar>
        </w:tblPrEx>
        <w:trPr>
          <w:tblHeader/>
        </w:trPr>
        <w:tc>
          <w:tcPr>
            <w:gridSpan w:val="5"/>
            <w:noWrap w:val="0"/>
            <w:tcMar>
              <w:top w:w="20" w:type="dxa"/>
              <w:left w:w="20" w:type="dxa"/>
              <w:bottom w:w="20" w:type="dxa"/>
              <w:right w:w="20" w:type="dxa"/>
            </w:tcMar>
            <w:vAlign w:val="center"/>
          </w:tcPr>
          <w:p>
            <w:pPr>
              <w:widowControl/>
              <w:spacing w:line="900" w:lineRule="atLeast"/>
              <w:jc w:val="center"/>
              <w:rPr>
                <w:rFonts w:ascii="Times New Roman" w:hAnsi="Times New Roman" w:eastAsia="Times New Roman" w:cs="Times New Roman"/>
                <w:b w:val="0"/>
                <w:bCs w:val="0"/>
                <w:i w:val="0"/>
                <w:iCs w:val="0"/>
                <w:smallCaps w:val="0"/>
                <w:color w:val="000000"/>
                <w:kern w:val="0"/>
                <w:sz w:val="27"/>
                <w:szCs w:val="27"/>
              </w:rPr>
            </w:pPr>
            <w:r>
              <w:rPr>
                <w:rFonts w:ascii="Times New Roman" w:hAnsi="Times New Roman" w:eastAsia="Times New Roman" w:cs="Times New Roman"/>
                <w:b w:val="0"/>
                <w:bCs w:val="0"/>
                <w:i w:val="0"/>
                <w:iCs w:val="0"/>
                <w:smallCaps w:val="0"/>
                <w:color w:val="000000"/>
                <w:kern w:val="0"/>
                <w:sz w:val="27"/>
                <w:szCs w:val="27"/>
              </w:rPr>
              <w:t>国有资本经营预算财政拨款支出决算表</w:t>
            </w:r>
          </w:p>
        </w:tc>
      </w:tr>
      <w:tr>
        <w:tblPrEx>
          <w:tblCellMar>
            <w:top w:w="15" w:type="dxa"/>
            <w:left w:w="15" w:type="dxa"/>
            <w:bottom w:w="15" w:type="dxa"/>
            <w:right w:w="15" w:type="dxa"/>
          </w:tblCellMar>
        </w:tblPrEx>
        <w:trPr>
          <w:tblHeader/>
        </w:trPr>
        <w:tc>
          <w:tcPr>
            <w:tcW w:w="21600" w:type="dxa"/>
            <w:gridSpan w:val="2"/>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bottom"/>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公开09表</w:t>
            </w:r>
          </w:p>
        </w:tc>
      </w:tr>
      <w:tr>
        <w:tblPrEx>
          <w:tblCellMar>
            <w:top w:w="15" w:type="dxa"/>
            <w:left w:w="15" w:type="dxa"/>
            <w:bottom w:w="15" w:type="dxa"/>
            <w:right w:w="15" w:type="dxa"/>
          </w:tblCellMar>
        </w:tblPrEx>
        <w:trPr>
          <w:tblHeader/>
        </w:trPr>
        <w:tc>
          <w:tcPr>
            <w:tcW w:w="21600" w:type="dxa"/>
            <w:gridSpan w:val="4"/>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编制单位：上杭县茶地镇人民政府（汇总）</w:t>
            </w:r>
          </w:p>
        </w:tc>
        <w:tc>
          <w:tcPr>
            <w:tcW w:w="21600" w:type="dxa"/>
            <w:tcBorders>
              <w:top w:val="single" w:color="D0D7E5" w:sz="6" w:space="0"/>
              <w:left w:val="single" w:color="D0D7E5" w:sz="6" w:space="0"/>
              <w:bottom w:val="single" w:color="D0D7E5" w:sz="6" w:space="0"/>
              <w:right w:val="single" w:color="D0D7E5"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单位：万元</w:t>
            </w:r>
          </w:p>
        </w:tc>
      </w:tr>
      <w:tr>
        <w:tblPrEx>
          <w:tblCellMar>
            <w:top w:w="15" w:type="dxa"/>
            <w:left w:w="15" w:type="dxa"/>
            <w:bottom w:w="15" w:type="dxa"/>
            <w:right w:w="15" w:type="dxa"/>
          </w:tblCellMar>
        </w:tblPrEx>
        <w:trPr>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本年支出</w:t>
            </w:r>
          </w:p>
        </w:tc>
      </w:tr>
      <w:tr>
        <w:tblPrEx>
          <w:tblCellMar>
            <w:top w:w="15" w:type="dxa"/>
            <w:left w:w="15" w:type="dxa"/>
            <w:bottom w:w="15" w:type="dxa"/>
            <w:right w:w="15" w:type="dxa"/>
          </w:tblCellMar>
        </w:tblPrEx>
        <w:trPr>
          <w:tblHeader/>
        </w:trPr>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功能分类科目编码</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科目名称</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基本支出</w:t>
            </w:r>
          </w:p>
        </w:tc>
        <w:tc>
          <w:tcPr>
            <w:tcW w:w="21600" w:type="dxa"/>
            <w:vMerge w:val="restart"/>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项目支出</w:t>
            </w:r>
          </w:p>
        </w:tc>
      </w:tr>
      <w:tr>
        <w:tblPrEx>
          <w:tblCellMar>
            <w:top w:w="15" w:type="dxa"/>
            <w:left w:w="15" w:type="dxa"/>
            <w:bottom w:w="15" w:type="dxa"/>
            <w:right w:w="15" w:type="dxa"/>
          </w:tblCellMar>
        </w:tblPrEx>
        <w:trPr>
          <w:tblHeader/>
        </w:trPr>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rPr>
          <w:tblHeader/>
        </w:trPr>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c>
          <w:tcPr>
            <w:vMerge w:val="continue"/>
            <w:tcBorders>
              <w:top w:val="single" w:color="000000" w:sz="6" w:space="0"/>
              <w:left w:val="single" w:color="000000" w:sz="6" w:space="0"/>
              <w:bottom w:val="single" w:color="000000" w:sz="6" w:space="0"/>
              <w:right w:val="single" w:color="000000" w:sz="6" w:space="0"/>
            </w:tcBorders>
            <w:vAlign w:val="center"/>
          </w:tcPr>
          <w:p>
            <w:pPr>
              <w:rPr>
                <w:rFonts w:ascii="Times New Roman" w:hAnsi="Times New Roman" w:eastAsia="Times New Roman" w:cs="Times New Roman"/>
                <w:b w:val="0"/>
                <w:bCs w:val="0"/>
                <w:i w:val="0"/>
                <w:iCs w:val="0"/>
                <w:smallCaps w:val="0"/>
                <w:color w:val="000000"/>
                <w:kern w:val="0"/>
                <w:sz w:val="26"/>
                <w:szCs w:val="26"/>
              </w:rPr>
            </w:pPr>
          </w:p>
        </w:tc>
      </w:tr>
      <w:tr>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3</w:t>
            </w:r>
          </w:p>
        </w:tc>
      </w:tr>
      <w:tr>
        <w:tblPrEx>
          <w:tblCellMar>
            <w:top w:w="15" w:type="dxa"/>
            <w:left w:w="15" w:type="dxa"/>
            <w:bottom w:w="15" w:type="dxa"/>
            <w:right w:w="15" w:type="dxa"/>
          </w:tblCellMar>
        </w:tblPrEx>
        <w:tc>
          <w:tcPr>
            <w:tcW w:w="21600" w:type="dxa"/>
            <w:gridSpan w:val="2"/>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r>
        <w:tblPrEx>
          <w:tblCellMar>
            <w:top w:w="15" w:type="dxa"/>
            <w:left w:w="15" w:type="dxa"/>
            <w:bottom w:w="15" w:type="dxa"/>
            <w:right w:w="15" w:type="dxa"/>
          </w:tblCellMar>
        </w:tblPrEx>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00" w:type="dxa"/>
            <w:tcBorders>
              <w:top w:val="single" w:color="000000" w:sz="6" w:space="0"/>
              <w:left w:val="single" w:color="000000" w:sz="6" w:space="0"/>
              <w:bottom w:val="single" w:color="000000" w:sz="6" w:space="0"/>
              <w:right w:val="single" w:color="000000" w:sz="6" w:space="0"/>
            </w:tcBorders>
            <w:noWrap w:val="0"/>
            <w:tcMar>
              <w:top w:w="22" w:type="dxa"/>
              <w:left w:w="22" w:type="dxa"/>
              <w:bottom w:w="22" w:type="dxa"/>
              <w:right w:w="22" w:type="dxa"/>
            </w:tcMar>
            <w:vAlign w:val="center"/>
          </w:tcPr>
          <w:p>
            <w:pPr>
              <w:widowControl/>
              <w:jc w:val="righ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r>
    </w:tbl>
    <w:p>
      <w:pPr>
        <w:widowControl/>
        <w:jc w:val="left"/>
        <w:rPr>
          <w:rFonts w:ascii="Calibri" w:hAnsi="Calibri" w:eastAsia="Calibri" w:cs="Calibri"/>
          <w:spacing w:val="0"/>
          <w:kern w:val="0"/>
          <w:szCs w:val="21"/>
        </w:rPr>
      </w:pPr>
      <w:r>
        <w:rPr>
          <w:rFonts w:ascii="Calibri" w:hAnsi="Calibri" w:eastAsia="Calibri" w:cs="Calibri"/>
          <w:spacing w:val="0"/>
          <w:kern w:val="0"/>
          <w:szCs w:val="21"/>
        </w:rPr>
        <w:t> </w:t>
      </w:r>
    </w:p>
    <w:p>
      <w:pPr>
        <w:pStyle w:val="34"/>
        <w:widowControl/>
        <w:spacing w:before="240" w:after="240"/>
        <w:jc w:val="left"/>
        <w:rPr>
          <w:rFonts w:ascii="Times New Roman" w:hAnsi="Times New Roman" w:eastAsia="Times New Roman" w:cs="Times New Roman"/>
          <w:kern w:val="0"/>
          <w:sz w:val="24"/>
        </w:rPr>
      </w:pPr>
      <w:r>
        <w:rPr>
          <w:rFonts w:ascii="宋体" w:hAnsi="宋体" w:cs="宋体"/>
          <w:kern w:val="0"/>
          <w:sz w:val="24"/>
        </w:rPr>
        <w:t>注：1.本表反映部门本年度国有资本经营预算财政拨款支出情况。</w:t>
      </w:r>
    </w:p>
    <w:p>
      <w:pPr>
        <w:pStyle w:val="33"/>
        <w:widowControl/>
        <w:spacing w:before="100" w:after="100"/>
        <w:ind w:right="0"/>
        <w:jc w:val="left"/>
        <w:rPr>
          <w:rFonts w:ascii="Times New Roman" w:hAnsi="Times New Roman" w:eastAsia="Times New Roman" w:cs="Times New Roman"/>
          <w:kern w:val="0"/>
          <w:sz w:val="24"/>
        </w:rPr>
        <w:sectPr>
          <w:pgSz w:w="16383" w:h="11906" w:orient="landscape"/>
          <w:cols w:space="720" w:num="1"/>
        </w:sectPr>
      </w:pPr>
    </w:p>
    <w:p>
      <w:pPr>
        <w:pStyle w:val="36"/>
        <w:widowControl/>
        <w:spacing w:before="240" w:after="240"/>
        <w:jc w:val="left"/>
        <w:rPr>
          <w:rFonts w:ascii="Times New Roman" w:hAnsi="Times New Roman" w:eastAsia="Times New Roman" w:cs="Times New Roman"/>
          <w:kern w:val="0"/>
          <w:sz w:val="24"/>
        </w:rPr>
      </w:pPr>
      <w:r>
        <w:rPr>
          <w:rFonts w:ascii="宋体" w:hAnsi="宋体" w:cs="宋体"/>
          <w:kern w:val="0"/>
          <w:sz w:val="24"/>
        </w:rPr>
        <w:t>    2.没有国有资本经营预算财政拨款支出的部门请公开空表，并说明“本部门2023年度没有使用国有资本经营预算财政拨款安排的支出”。</w:t>
      </w:r>
    </w:p>
    <w:p>
      <w:pPr>
        <w:pStyle w:val="34"/>
        <w:widowControl/>
        <w:spacing w:before="100" w:after="100" w:line="600" w:lineRule="atLeast"/>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4"/>
        <w:widowControl/>
        <w:spacing w:before="100" w:after="100" w:line="600" w:lineRule="atLeast"/>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4"/>
        <w:widowControl/>
        <w:spacing w:before="100" w:after="100" w:line="600" w:lineRule="atLeast"/>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36"/>
          <w:szCs w:val="36"/>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56"/>
          <w:szCs w:val="56"/>
        </w:rPr>
        <w:t>第三部分</w:t>
      </w:r>
      <w:r>
        <w:rPr>
          <w:rFonts w:ascii="宋体" w:hAnsi="宋体" w:cs="宋体"/>
          <w:spacing w:val="0"/>
          <w:kern w:val="0"/>
          <w:sz w:val="56"/>
          <w:szCs w:val="56"/>
        </w:rPr>
        <w:t> </w:t>
      </w:r>
    </w:p>
    <w:p>
      <w:pPr>
        <w:pStyle w:val="34"/>
        <w:widowControl/>
        <w:spacing w:before="100" w:after="100" w:line="600" w:lineRule="atLeast"/>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2023年度部门决算情况说明</w:t>
      </w:r>
    </w:p>
    <w:p>
      <w:pPr>
        <w:pStyle w:val="34"/>
        <w:widowControl/>
        <w:spacing w:before="100" w:after="100" w:line="600" w:lineRule="atLeast"/>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一、收入支出决算总体情况说明</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_GB2312" w:hAnsi="楷体_GB2312" w:eastAsia="楷体_GB2312" w:cs="楷体_GB2312"/>
          <w:spacing w:val="0"/>
          <w:kern w:val="0"/>
          <w:sz w:val="32"/>
          <w:szCs w:val="32"/>
        </w:rPr>
        <w:t>（一）收入支出决算总体情况说明</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2023年度本部门收入总计1,761.93万元，支出总计1,761.93万元，与上年决算数相比，各增加1,761.93万元，增长（下降）0%。主要是××××。</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_GB2312" w:hAnsi="楷体_GB2312" w:eastAsia="楷体_GB2312" w:cs="楷体_GB2312"/>
          <w:spacing w:val="0"/>
          <w:kern w:val="0"/>
          <w:sz w:val="32"/>
          <w:szCs w:val="32"/>
        </w:rPr>
        <w:t>（二）收入决算情况说明</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2023年度收入1,758.46万元，比上年决算数增加（减少）1,758.46万元，增长（下降）0％，具体情况如下：</w:t>
      </w:r>
    </w:p>
    <w:p>
      <w:pPr>
        <w:pStyle w:val="34"/>
        <w:widowControl/>
        <w:spacing w:before="100" w:after="100" w:line="600" w:lineRule="atLeast"/>
        <w:ind w:left="160"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1.一般公共预算财政拨款收入1,751.05万元。</w:t>
      </w:r>
    </w:p>
    <w:p>
      <w:pPr>
        <w:pStyle w:val="34"/>
        <w:widowControl/>
        <w:spacing w:before="100" w:after="100" w:line="600" w:lineRule="atLeast"/>
        <w:ind w:left="160"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2.政府性基金预算财政拨款收入0.00万元。</w:t>
      </w:r>
    </w:p>
    <w:p>
      <w:pPr>
        <w:pStyle w:val="34"/>
        <w:widowControl/>
        <w:spacing w:before="100" w:after="100" w:line="600" w:lineRule="atLeast"/>
        <w:ind w:left="160"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3.国有资本经营预算财政拨款收入0.00万元。</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4.上级补助收入0.00万元。</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5.事业收入0.00万元。</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6.经营收入0.00万元。</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7.附属单位上缴收入0.00万元。</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8.其他收入7.42万元。</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_GB2312" w:hAnsi="楷体_GB2312" w:eastAsia="楷体_GB2312" w:cs="楷体_GB2312"/>
          <w:spacing w:val="0"/>
          <w:kern w:val="0"/>
          <w:sz w:val="32"/>
          <w:szCs w:val="32"/>
        </w:rPr>
        <w:t>（三）支出决算情况说明</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2023年度支出1,758.46万元，比上年决算数增加（减少）1,758.46万元，增长（下降）0％，具体情况如下：</w:t>
      </w:r>
    </w:p>
    <w:p>
      <w:pPr>
        <w:pStyle w:val="34"/>
        <w:widowControl/>
        <w:spacing w:before="100" w:after="100" w:line="600" w:lineRule="atLeast"/>
        <w:ind w:left="237" w:right="0" w:firstLine="480"/>
        <w:jc w:val="left"/>
        <w:rPr>
          <w:rFonts w:ascii="Times New Roman" w:hAnsi="Times New Roman" w:eastAsia="Times New Roman" w:cs="Times New Roman"/>
          <w:kern w:val="0"/>
          <w:sz w:val="24"/>
        </w:rPr>
      </w:pPr>
      <w:r>
        <w:rPr>
          <w:rFonts w:ascii="仿宋" w:hAnsi="仿宋" w:eastAsia="仿宋" w:cs="仿宋"/>
          <w:spacing w:val="0"/>
          <w:kern w:val="0"/>
          <w:sz w:val="32"/>
          <w:szCs w:val="32"/>
        </w:rPr>
        <w:t>1.基本支出1,360.22万元。其中，人员支出1,025.17万元，公用支出335.04万元。</w:t>
      </w:r>
    </w:p>
    <w:p>
      <w:pPr>
        <w:pStyle w:val="34"/>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2.项目支出398.25万元。</w:t>
      </w:r>
    </w:p>
    <w:p>
      <w:pPr>
        <w:pStyle w:val="34"/>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3.上缴上级支出0.00万元。</w:t>
      </w:r>
    </w:p>
    <w:p>
      <w:pPr>
        <w:pStyle w:val="34"/>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4.经营支出0.00万元。</w:t>
      </w:r>
    </w:p>
    <w:p>
      <w:pPr>
        <w:pStyle w:val="34"/>
        <w:widowControl/>
        <w:spacing w:before="100" w:after="100" w:line="600" w:lineRule="atLeast"/>
        <w:ind w:left="716"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5.对附属单位补助支出0.00万元。</w:t>
      </w:r>
    </w:p>
    <w:p>
      <w:pPr>
        <w:pStyle w:val="34"/>
        <w:widowControl/>
        <w:spacing w:before="100" w:after="100"/>
        <w:ind w:left="0" w:right="0" w:firstLine="480"/>
        <w:jc w:val="left"/>
        <w:rPr>
          <w:rFonts w:ascii="Times New Roman" w:hAnsi="Times New Roman" w:eastAsia="Times New Roman" w:cs="Times New Roman"/>
          <w:kern w:val="0"/>
          <w:sz w:val="24"/>
        </w:rPr>
      </w:pPr>
      <w:r>
        <w:rPr>
          <w:rFonts w:ascii="黑体" w:hAnsi="黑体" w:eastAsia="黑体" w:cs="黑体"/>
          <w:spacing w:val="0"/>
          <w:kern w:val="0"/>
          <w:sz w:val="32"/>
          <w:szCs w:val="32"/>
        </w:rPr>
        <w:t>二、财政拨款收入支出决算总体情况说明</w:t>
      </w:r>
    </w:p>
    <w:p>
      <w:pPr>
        <w:pStyle w:val="34"/>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2023年度财政拨款收入总计1,753.25万元，支出总计1,753.25万元，与上年决算数相比，各增加（减少）1,753.25万元，增长（下降）0%，主要是：××××。</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三、一般公共预算财政拨款支出决算情况说明</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2023年一般公共预算支出1,751.05万元，比上年决算数增加（减少）1,751.05万元，增长（下降）0%，具体情况如下(按项级科目分类统计)：</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（一）×××-×××（项级科目编码-名称）××万元，较上年决算数增加（减少）××万元，增长（下降）××%。主要原因是×××××。</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（二）×××-×××（项级科目编码-名称）××万元，较上年决算数增加（减少）××万元，增长（下降）××%。主要原因是×××××。</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（三）×××-×××（项级科目编码-名称）××万元，较上年决算数增加（减少）××万元，增长（下降）××%。主要原因是×××××。</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 w:hAnsi="楷体" w:eastAsia="楷体" w:cs="楷体"/>
          <w:spacing w:val="0"/>
          <w:kern w:val="0"/>
          <w:sz w:val="32"/>
          <w:szCs w:val="32"/>
        </w:rPr>
        <w:t>注：没有一般公共预算拨款支出的部门请说明“本部门2023年度没有使用一般公共预算拨款安排的支出”。</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四、政府性基金预算财政拨款支出决算情况说明</w:t>
      </w:r>
    </w:p>
    <w:p>
      <w:pPr>
        <w:pStyle w:val="34"/>
        <w:widowControl/>
        <w:spacing w:before="100" w:after="100" w:line="600" w:lineRule="atLeast"/>
        <w:ind w:left="0" w:right="0" w:firstLine="704"/>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2023年度政府性基金支出0.00万元，比上年决算数增加（减少）0.00万元，增长（下降）0%，具体情况如下(按项级科目统计)：</w:t>
      </w:r>
    </w:p>
    <w:p>
      <w:pPr>
        <w:pStyle w:val="34"/>
        <w:widowControl/>
        <w:spacing w:before="100" w:after="100" w:line="600" w:lineRule="atLeast"/>
        <w:ind w:left="0" w:right="0" w:firstLine="704"/>
        <w:jc w:val="left"/>
        <w:rPr>
          <w:rFonts w:ascii="Times New Roman" w:hAnsi="Times New Roman" w:eastAsia="Times New Roman" w:cs="Times New Roman"/>
          <w:kern w:val="0"/>
          <w:sz w:val="24"/>
        </w:rPr>
      </w:pPr>
      <w:r>
        <w:rPr>
          <w:rFonts w:ascii="仿宋" w:hAnsi="仿宋" w:eastAsia="仿宋" w:cs="仿宋"/>
          <w:spacing w:val="0"/>
          <w:kern w:val="0"/>
          <w:sz w:val="32"/>
          <w:szCs w:val="32"/>
        </w:rPr>
        <w:t>（一）×××-×××（项级科目编码-名称）××万元，较上年决算数增加（减少）×××万元，增长（下降）×××%。主要原因是×××××。</w:t>
      </w:r>
    </w:p>
    <w:p>
      <w:pPr>
        <w:pStyle w:val="34"/>
        <w:widowControl/>
        <w:spacing w:before="100" w:after="100" w:line="600" w:lineRule="atLeast"/>
        <w:ind w:left="0" w:right="0" w:firstLine="704"/>
        <w:jc w:val="left"/>
        <w:rPr>
          <w:rFonts w:ascii="Times New Roman" w:hAnsi="Times New Roman" w:eastAsia="Times New Roman" w:cs="Times New Roman"/>
          <w:kern w:val="0"/>
          <w:sz w:val="24"/>
        </w:rPr>
      </w:pPr>
      <w:r>
        <w:rPr>
          <w:rFonts w:ascii="仿宋" w:hAnsi="仿宋" w:eastAsia="仿宋" w:cs="仿宋"/>
          <w:spacing w:val="0"/>
          <w:kern w:val="0"/>
          <w:sz w:val="32"/>
          <w:szCs w:val="32"/>
        </w:rPr>
        <w:t>（二）×××-×××（项级科目编码-名称）×××万元，较上年决算数增加（减少）×××万元，增长（下降）×××%。主要原因是×××××。</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（三）×××-×××（项级科目编码-名称）××万元，较上年决算数增加（减少）×××万元，增长（下降）×××%。主要原因是×××××。</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 w:hAnsi="楷体" w:eastAsia="楷体" w:cs="楷体"/>
          <w:spacing w:val="0"/>
          <w:kern w:val="0"/>
          <w:sz w:val="32"/>
          <w:szCs w:val="32"/>
        </w:rPr>
        <w:t>注：没有政府性基金拨款支出的部门请说明“本部门2023年度没有使用政府性基金预算拨款安排的支出”。</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五、国有资本经营预算财政拨款支出决算情况说明</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2023年度国有资本经营预算支出0.00万元，比上年决算数增加（减少）0.00万元，增长（下降）0%，具体情况如下(按项级科目统计)：</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（一）×××-×××（项级科目编码-名称）××万元，较上年决算数增加（减少）×××万元，增长（下降）×××%。主要原因是×××××。</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（二）×××-×××（项级科目编码-名称）×××万元，较上年决算数增加（减少）×××万元，增长（下降）×××%。主要原因是×××××。</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 w:hAnsi="楷体" w:eastAsia="楷体" w:cs="楷体"/>
          <w:spacing w:val="0"/>
          <w:kern w:val="0"/>
          <w:sz w:val="32"/>
          <w:szCs w:val="32"/>
        </w:rPr>
        <w:t>注：没有国有资本经营预算财政拨款支出的部门请说明“本部门2023年度没有使用国有资本经营预算财政拨款安排的支出”。</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六、一般公共预算财政拨款基本支出决算情况说明</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2023年度一般公共预算财政拨款基本支出1,352.80万元，其中：</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一）人员经费1,017.76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pPr>
        <w:pStyle w:val="34"/>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二）公用经费335.04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七、一般公共预算拨款“三公”经费支出决算情况说明</w:t>
      </w:r>
    </w:p>
    <w:p>
      <w:pPr>
        <w:pStyle w:val="34"/>
        <w:widowControl/>
        <w:spacing w:before="100" w:after="100" w:line="600" w:lineRule="atLeast"/>
        <w:ind w:left="0" w:right="0" w:firstLine="704"/>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2023年度一般公共预算拨款“三公”经费支出8.63万元，完成全年预算的 53.93%；较上年减少（增加）8.63万元，降低（增长）0%。主要原因是××××××××（简要说明预决算差异原因）。具体情况如下：</w:t>
      </w:r>
    </w:p>
    <w:p>
      <w:pPr>
        <w:pStyle w:val="34"/>
        <w:widowControl/>
        <w:spacing w:before="100" w:after="100" w:line="600" w:lineRule="atLeast"/>
        <w:ind w:left="0" w:right="0" w:firstLine="704"/>
        <w:jc w:val="left"/>
        <w:rPr>
          <w:rFonts w:ascii="Times New Roman" w:hAnsi="Times New Roman" w:eastAsia="Times New Roman" w:cs="Times New Roman"/>
          <w:kern w:val="0"/>
          <w:sz w:val="24"/>
        </w:rPr>
      </w:pPr>
      <w:r>
        <w:rPr>
          <w:rFonts w:ascii="仿宋" w:hAnsi="仿宋" w:eastAsia="仿宋" w:cs="仿宋"/>
          <w:spacing w:val="0"/>
          <w:kern w:val="0"/>
          <w:sz w:val="32"/>
          <w:szCs w:val="32"/>
        </w:rPr>
        <w:t>（一）因公出国（境）费支出0.00万元，完成全年预算的 0%；较上年减少（增加）0.00万元，降低（增长）0%。全年安排本部门组织的出国团组0个，参加其他部门出国团组××个；全年因公出国（境）累计0 人次。主要是××××××××××××（简要说明差异原因、出国（境）团组目的、开支内容等）。</w:t>
      </w:r>
    </w:p>
    <w:p>
      <w:pPr>
        <w:pStyle w:val="34"/>
        <w:widowControl/>
        <w:spacing w:before="100" w:after="100" w:line="600" w:lineRule="atLeast"/>
        <w:ind w:left="0" w:right="0" w:firstLine="645"/>
        <w:jc w:val="left"/>
        <w:rPr>
          <w:rFonts w:ascii="Times New Roman" w:hAnsi="Times New Roman" w:eastAsia="Times New Roman" w:cs="Times New Roman"/>
          <w:kern w:val="0"/>
          <w:sz w:val="24"/>
        </w:rPr>
      </w:pPr>
      <w:r>
        <w:rPr>
          <w:rFonts w:ascii="仿宋" w:hAnsi="仿宋" w:eastAsia="仿宋" w:cs="仿宋"/>
          <w:spacing w:val="0"/>
          <w:kern w:val="0"/>
          <w:sz w:val="32"/>
          <w:szCs w:val="32"/>
        </w:rPr>
        <w:t>（二）公务用车购置及运行费支出3.76万元，完成全年预算的47.00%；较上年减少3.76万元，降低（增长） 0%。其中：</w:t>
      </w:r>
    </w:p>
    <w:p>
      <w:pPr>
        <w:pStyle w:val="34"/>
        <w:widowControl/>
        <w:spacing w:before="100" w:after="100" w:line="600" w:lineRule="atLeast"/>
        <w:ind w:left="0" w:right="0" w:firstLine="645"/>
        <w:jc w:val="left"/>
        <w:rPr>
          <w:rFonts w:ascii="Times New Roman" w:hAnsi="Times New Roman" w:eastAsia="Times New Roman" w:cs="Times New Roman"/>
          <w:kern w:val="0"/>
          <w:sz w:val="24"/>
        </w:rPr>
      </w:pPr>
      <w:r>
        <w:rPr>
          <w:rFonts w:ascii="仿宋" w:hAnsi="仿宋" w:eastAsia="仿宋" w:cs="仿宋"/>
          <w:spacing w:val="0"/>
          <w:kern w:val="0"/>
          <w:sz w:val="32"/>
          <w:szCs w:val="32"/>
        </w:rPr>
        <w:t>公务用车购置费支出0.00万元，完成全年预算的0%；较上年减少（增加）0.00万元，降低（增长）0%。2023年公务用车购置0辆，主要是:×××××（简要说明差异原因）。</w:t>
      </w:r>
    </w:p>
    <w:p>
      <w:pPr>
        <w:pStyle w:val="34"/>
        <w:widowControl/>
        <w:spacing w:before="100" w:after="100" w:line="600" w:lineRule="atLeast"/>
        <w:ind w:left="0" w:right="0" w:firstLine="645"/>
        <w:jc w:val="left"/>
        <w:rPr>
          <w:rFonts w:ascii="Times New Roman" w:hAnsi="Times New Roman" w:eastAsia="Times New Roman" w:cs="Times New Roman"/>
          <w:kern w:val="0"/>
          <w:sz w:val="24"/>
        </w:rPr>
      </w:pPr>
      <w:r>
        <w:rPr>
          <w:rFonts w:ascii="仿宋" w:hAnsi="仿宋" w:eastAsia="仿宋" w:cs="仿宋"/>
          <w:spacing w:val="0"/>
          <w:kern w:val="0"/>
          <w:sz w:val="32"/>
          <w:szCs w:val="32"/>
        </w:rPr>
        <w:t>公务用车运行费支出3.76万元，完成全年预算的47.00%；较上年减少（增加）3.76万元，降低（增长）0%。主要是×××××（简要说明差异原因）。截至2023年12月31日，本部门公务用车保有量为3辆。</w:t>
      </w:r>
    </w:p>
    <w:p>
      <w:pPr>
        <w:pStyle w:val="34"/>
        <w:widowControl/>
        <w:spacing w:before="100" w:after="100" w:line="600" w:lineRule="atLeast"/>
        <w:ind w:left="0" w:right="0" w:firstLine="645"/>
        <w:jc w:val="left"/>
        <w:rPr>
          <w:rFonts w:ascii="Times New Roman" w:hAnsi="Times New Roman" w:eastAsia="Times New Roman" w:cs="Times New Roman"/>
          <w:kern w:val="0"/>
          <w:sz w:val="24"/>
        </w:rPr>
      </w:pPr>
      <w:r>
        <w:rPr>
          <w:rFonts w:ascii="仿宋" w:hAnsi="仿宋" w:eastAsia="仿宋" w:cs="仿宋"/>
          <w:spacing w:val="0"/>
          <w:kern w:val="0"/>
          <w:sz w:val="32"/>
          <w:szCs w:val="32"/>
        </w:rPr>
        <w:t>（三）公务接待费支出4.87万元，完成全年预算的 60.86%；较上年减少（增加）4.87万元，降低（增长）0%。主要是×××××××××（简要说明差异原因）。累计接待96批次、601人次。</w:t>
      </w:r>
    </w:p>
    <w:p>
      <w:pPr>
        <w:pStyle w:val="34"/>
        <w:widowControl/>
        <w:spacing w:before="100" w:after="100" w:line="600" w:lineRule="atLeast"/>
        <w:ind w:left="0" w:right="0" w:firstLine="645"/>
        <w:jc w:val="left"/>
        <w:rPr>
          <w:rFonts w:ascii="Times New Roman" w:hAnsi="Times New Roman" w:eastAsia="Times New Roman" w:cs="Times New Roman"/>
          <w:kern w:val="0"/>
          <w:sz w:val="24"/>
        </w:rPr>
      </w:pPr>
      <w:r>
        <w:rPr>
          <w:rFonts w:ascii="楷体" w:hAnsi="楷体" w:eastAsia="楷体" w:cs="楷体"/>
          <w:spacing w:val="0"/>
          <w:kern w:val="0"/>
          <w:sz w:val="32"/>
          <w:szCs w:val="32"/>
        </w:rPr>
        <w:t>注：增减变动金额为0的，请标注“与全年预算（或上年决算）持平”，其中：如预决算（或上年决算）均金额为0，可说明“本年无XX费用支出”；如决算金额不为0，预算金额（或上年决算）为0，可简要说明增加的金额及主要原因。</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八、预算绩效情况说明</w:t>
      </w:r>
    </w:p>
    <w:p>
      <w:pPr>
        <w:pStyle w:val="34"/>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根据全面实施预算绩效管理要求，本部门组织对2023年度××个项目实施单位自评。</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 w:hAnsi="楷体" w:eastAsia="楷体" w:cs="楷体"/>
          <w:spacing w:val="0"/>
          <w:kern w:val="0"/>
          <w:sz w:val="32"/>
          <w:szCs w:val="32"/>
        </w:rPr>
        <w:t>注：如该年度本部门无单位自评项目，无需公开空表，仅需简要说明情况。</w:t>
      </w:r>
    </w:p>
    <w:p>
      <w:pPr>
        <w:pStyle w:val="34"/>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对××个项目实施部门评价，分别是××等项目，涉及财政拨款资金共计××万元，评价结果等次为“优”“良”“中”“差”的项目分别是××个、××个、××个、××个。（《项目支出绩效评价报告》详见附件××）</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 w:hAnsi="楷体" w:eastAsia="楷体" w:cs="楷体"/>
          <w:spacing w:val="0"/>
          <w:kern w:val="0"/>
          <w:sz w:val="32"/>
          <w:szCs w:val="32"/>
        </w:rPr>
        <w:t>注：如该年度本部门无部门评价项目，无需公开报告，仅需简要说明情况。</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九、其他重要事项说明</w:t>
      </w:r>
    </w:p>
    <w:p>
      <w:pPr>
        <w:pStyle w:val="34"/>
        <w:widowControl/>
        <w:spacing w:before="100" w:after="100" w:line="600" w:lineRule="atLeast"/>
        <w:ind w:left="0" w:right="0" w:firstLine="643"/>
        <w:jc w:val="left"/>
        <w:rPr>
          <w:rFonts w:ascii="Times New Roman" w:hAnsi="Times New Roman" w:eastAsia="Times New Roman" w:cs="Times New Roman"/>
          <w:kern w:val="0"/>
          <w:sz w:val="24"/>
        </w:rPr>
      </w:pPr>
      <w:r>
        <w:rPr>
          <w:rFonts w:ascii="楷体" w:hAnsi="楷体" w:eastAsia="楷体" w:cs="楷体"/>
          <w:spacing w:val="0"/>
          <w:kern w:val="0"/>
          <w:sz w:val="32"/>
          <w:szCs w:val="32"/>
        </w:rPr>
        <w:t>（一）机关运行经费</w:t>
      </w:r>
      <w:r>
        <w:rPr>
          <w:rFonts w:ascii="宋体" w:hAnsi="宋体" w:cs="宋体"/>
          <w:spacing w:val="0"/>
          <w:kern w:val="0"/>
          <w:sz w:val="32"/>
          <w:szCs w:val="32"/>
        </w:rPr>
        <w:t> </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2023年度机关运行经费支出335.04万元，比上年决算数减少（增加）335.04万元，降低（增长）0%，主要原因是:办公设施设备购置经费增加（减少）/资产运行维护支出增加（减少）/信息系统运行维护支出增加（减少）/人员编制数量增加（减少）/落实过紧日子要求压减×× 支出/……等（具体增减原因由部门根据实际情况填列）。</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 w:hAnsi="楷体" w:eastAsia="楷体" w:cs="楷体"/>
          <w:spacing w:val="0"/>
          <w:kern w:val="0"/>
          <w:sz w:val="32"/>
          <w:szCs w:val="32"/>
        </w:rPr>
        <w:t>注： 没有机关运行经费的部门请说明“本部门为事业单位没有机关运行经费”。</w:t>
      </w:r>
    </w:p>
    <w:p>
      <w:pPr>
        <w:pStyle w:val="34"/>
        <w:widowControl/>
        <w:spacing w:before="100" w:after="100" w:line="600" w:lineRule="atLeast"/>
        <w:ind w:left="0" w:right="0" w:firstLine="643"/>
        <w:jc w:val="left"/>
        <w:rPr>
          <w:rFonts w:ascii="Times New Roman" w:hAnsi="Times New Roman" w:eastAsia="Times New Roman" w:cs="Times New Roman"/>
          <w:kern w:val="0"/>
          <w:sz w:val="24"/>
        </w:rPr>
      </w:pPr>
      <w:r>
        <w:rPr>
          <w:rFonts w:ascii="楷体" w:hAnsi="楷体" w:eastAsia="楷体" w:cs="楷体"/>
          <w:spacing w:val="0"/>
          <w:kern w:val="0"/>
          <w:sz w:val="32"/>
          <w:szCs w:val="32"/>
        </w:rPr>
        <w:t>（二）政府采购情况</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本部门2023年度政府采购支出总额46.54万元，其中：政府采购货物支出46.54万元、政府采购工程支出0.00万元、政府采购服务支出0.00万元。授予中小企业合同金额46.54万元，占政府采购支出总额的100.00%，其中：授予小微企业合同金额46.54万元，占授予中小企业合同金额的100.00%；货物采购授予中小企业合同金额占货物支出金额的××%，工程采购授予中小企业合同金额占工程支出金额的××%，服务采购授予中小企业合同金额占服务支出金额的××%。</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 w:hAnsi="楷体" w:eastAsia="楷体" w:cs="楷体"/>
          <w:spacing w:val="0"/>
          <w:kern w:val="0"/>
          <w:sz w:val="32"/>
          <w:szCs w:val="32"/>
        </w:rPr>
        <w:t>注：1.没有政府采购支出的部门请说明“本部门2023年度没有政府采购支出”。</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楷体" w:hAnsi="楷体" w:eastAsia="楷体" w:cs="楷体"/>
          <w:spacing w:val="0"/>
          <w:kern w:val="0"/>
          <w:sz w:val="32"/>
          <w:szCs w:val="32"/>
        </w:rPr>
        <w:t>    2.采购数据可从政府采购信息统计报表中提取，请各部门按照政府采购监管部门要求，在财政部地方采购信息统计管理系统中开通、设置账户信息，并按季度填报相关数据。公开的数据原则上应与政府采购信息报表上报的数据一致。（公开时此段需删除）</w:t>
      </w:r>
    </w:p>
    <w:p>
      <w:pPr>
        <w:pStyle w:val="34"/>
        <w:widowControl/>
        <w:spacing w:before="100" w:after="100" w:line="600" w:lineRule="atLeast"/>
        <w:ind w:left="0" w:right="0" w:firstLine="707"/>
        <w:jc w:val="left"/>
        <w:rPr>
          <w:rFonts w:ascii="Times New Roman" w:hAnsi="Times New Roman" w:eastAsia="Times New Roman" w:cs="Times New Roman"/>
          <w:kern w:val="0"/>
          <w:sz w:val="24"/>
        </w:rPr>
      </w:pPr>
      <w:r>
        <w:rPr>
          <w:rFonts w:ascii="楷体" w:hAnsi="楷体" w:eastAsia="楷体" w:cs="楷体"/>
          <w:spacing w:val="0"/>
          <w:kern w:val="0"/>
          <w:sz w:val="32"/>
          <w:szCs w:val="32"/>
        </w:rPr>
        <w:t>（三）国有资产占用使用情况</w:t>
      </w:r>
      <w:r>
        <w:rPr>
          <w:rFonts w:ascii="宋体" w:hAnsi="宋体" w:cs="宋体"/>
          <w:spacing w:val="0"/>
          <w:kern w:val="0"/>
          <w:sz w:val="32"/>
          <w:szCs w:val="32"/>
        </w:rPr>
        <w:t> </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截至2023年12月31日，本部门共有车辆3辆，其中：副部（省）级以上领导用车0辆、主要领导干部用车0辆、机要通信用车0辆、应急保障用车0辆、执法执勤用车0辆、特种专业技术用车0辆、离退休干部用车0辆、其他用车3辆，其他用车主要是……；单位价值100万元以上设备（不含车辆）0台（套）。 </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27"/>
          <w:szCs w:val="27"/>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56"/>
          <w:szCs w:val="56"/>
        </w:rPr>
        <w:t>第四部分</w:t>
      </w:r>
      <w:r>
        <w:rPr>
          <w:rFonts w:ascii="宋体" w:hAnsi="宋体" w:cs="宋体"/>
          <w:spacing w:val="0"/>
          <w:kern w:val="0"/>
          <w:sz w:val="56"/>
          <w:szCs w:val="56"/>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名词解释</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4"/>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一、财政拨款收入：指单位从本级财政部门取得的财政预算资金，包括一般公共预算财政拨款、政府性基金预算财政拨款和国有资本经营预算财政拨款。</w:t>
      </w:r>
    </w:p>
    <w:p>
      <w:pPr>
        <w:pStyle w:val="34"/>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二、事业收入：指事业单位开展专业业务活动及辅助活动所取得的收入。</w:t>
      </w:r>
    </w:p>
    <w:p>
      <w:pPr>
        <w:pStyle w:val="34"/>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三、经营收入：指事业单位在专业业务活动及其辅助活动之外开展非独立核算经营活动取得的收入。</w:t>
      </w:r>
    </w:p>
    <w:p>
      <w:pPr>
        <w:pStyle w:val="34"/>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四、其他收入：指除上述“财政拨款收入”“事业收入”</w:t>
      </w:r>
      <w:r>
        <w:rPr>
          <w:rFonts w:ascii="宋体" w:hAnsi="宋体" w:cs="宋体"/>
          <w:spacing w:val="0"/>
          <w:kern w:val="0"/>
          <w:sz w:val="32"/>
          <w:szCs w:val="32"/>
        </w:rPr>
        <w:t> </w:t>
      </w:r>
      <w:r>
        <w:rPr>
          <w:rFonts w:ascii="仿宋" w:hAnsi="仿宋" w:eastAsia="仿宋" w:cs="仿宋"/>
          <w:spacing w:val="0"/>
          <w:kern w:val="0"/>
          <w:sz w:val="32"/>
          <w:szCs w:val="32"/>
        </w:rPr>
        <w:t>“上级补助收入”“附属单位上缴收入”“经营收入”等以外取得的各项收入。主要是事业单位固定资产出租收入等。</w:t>
      </w:r>
    </w:p>
    <w:p>
      <w:pPr>
        <w:pStyle w:val="34"/>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五、使用非财政拨款结余：指事业单位使用以前年度积累的非财政拨款结余弥补当年收支差额的金额。</w:t>
      </w:r>
    </w:p>
    <w:p>
      <w:pPr>
        <w:pStyle w:val="34"/>
        <w:widowControl/>
        <w:spacing w:before="100" w:after="100" w:line="600" w:lineRule="atLeast"/>
        <w:ind w:left="0" w:right="0" w:firstLine="710"/>
        <w:jc w:val="left"/>
        <w:rPr>
          <w:rFonts w:ascii="Times New Roman" w:hAnsi="Times New Roman" w:eastAsia="Times New Roman" w:cs="Times New Roman"/>
          <w:kern w:val="0"/>
          <w:sz w:val="24"/>
        </w:rPr>
      </w:pPr>
      <w:r>
        <w:rPr>
          <w:rFonts w:ascii="仿宋" w:hAnsi="仿宋" w:eastAsia="仿宋" w:cs="仿宋"/>
          <w:spacing w:val="0"/>
          <w:kern w:val="0"/>
          <w:sz w:val="32"/>
          <w:szCs w:val="32"/>
        </w:rPr>
        <w:t>六、年初结转和结余：指单位以前年度尚未完成、结转到本年仍按原规定用途继续使用的资金，或项目已完成等产生的结余资金。</w:t>
      </w:r>
    </w:p>
    <w:p>
      <w:pPr>
        <w:pStyle w:val="33"/>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七、结余分配：指事业单位按照会计制度规定缴纳的所得税、提取的专用结余以及转入非财政拨款结余的金额等。</w:t>
      </w:r>
    </w:p>
    <w:p>
      <w:pPr>
        <w:pStyle w:val="33"/>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八、年末结转和结余：指单位按有关规定结转到下年或以后年度继续使用的资金，或项目已完成等产生的结余资金。</w:t>
      </w:r>
    </w:p>
    <w:p>
      <w:pPr>
        <w:pStyle w:val="33"/>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九、基本支出：指为保障机构正常运转、完成日常工作任务而发生的人员支出和公用支出。</w:t>
      </w:r>
    </w:p>
    <w:p>
      <w:pPr>
        <w:pStyle w:val="33"/>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十、项目支出：指在基本支出之外为完成特定行政任务和事业发展目标所发生的支出。</w:t>
      </w:r>
    </w:p>
    <w:p>
      <w:pPr>
        <w:pStyle w:val="33"/>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十一、经营支出：指事业单位在专业业务活动及其辅助活动之外开展非独立核算经营活动发生的支出。</w:t>
      </w:r>
    </w:p>
    <w:p>
      <w:pPr>
        <w:pStyle w:val="33"/>
        <w:widowControl/>
        <w:spacing w:before="100" w:after="100" w:line="600" w:lineRule="atLeast"/>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十二、“三公”经费：纳入本级财政预决算管理的“三公”经费，是指本级部门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w:t>
      </w:r>
      <w:r>
        <w:rPr>
          <w:rFonts w:ascii="仿宋" w:hAnsi="仿宋" w:eastAsia="仿宋" w:cs="仿宋"/>
          <w:spacing w:val="0"/>
          <w:kern w:val="0"/>
          <w:sz w:val="32"/>
          <w:szCs w:val="32"/>
          <w:u w:val="single"/>
        </w:rPr>
        <w:t>、牌照费</w:t>
      </w:r>
      <w:r>
        <w:rPr>
          <w:rFonts w:ascii="仿宋" w:hAnsi="仿宋" w:eastAsia="仿宋" w:cs="仿宋"/>
          <w:spacing w:val="0"/>
          <w:kern w:val="0"/>
          <w:sz w:val="32"/>
          <w:szCs w:val="32"/>
        </w:rPr>
        <w:t>）及燃料费、维修费、过桥过路费、保险费</w:t>
      </w:r>
      <w:r>
        <w:rPr>
          <w:rFonts w:ascii="仿宋" w:hAnsi="仿宋" w:eastAsia="仿宋" w:cs="仿宋"/>
          <w:spacing w:val="0"/>
          <w:kern w:val="0"/>
          <w:sz w:val="32"/>
          <w:szCs w:val="32"/>
          <w:u w:val="single"/>
        </w:rPr>
        <w:t>、安全奖励费用</w:t>
      </w:r>
      <w:r>
        <w:rPr>
          <w:rFonts w:ascii="仿宋" w:hAnsi="仿宋" w:eastAsia="仿宋" w:cs="仿宋"/>
          <w:spacing w:val="0"/>
          <w:kern w:val="0"/>
          <w:sz w:val="32"/>
          <w:szCs w:val="32"/>
        </w:rPr>
        <w:t>等支出；公务接待费反映单位按规定开支的各类公务接待（含外宾接待）支出。</w:t>
      </w:r>
    </w:p>
    <w:p>
      <w:pPr>
        <w:pStyle w:val="34"/>
        <w:widowControl/>
        <w:spacing w:before="100" w:after="100"/>
        <w:ind w:left="0" w:right="0" w:firstLine="643"/>
        <w:jc w:val="left"/>
        <w:rPr>
          <w:rFonts w:ascii="Times New Roman" w:hAnsi="Times New Roman" w:eastAsia="Times New Roman" w:cs="Times New Roman"/>
          <w:kern w:val="0"/>
          <w:sz w:val="24"/>
        </w:rPr>
      </w:pPr>
      <w:r>
        <w:rPr>
          <w:rFonts w:ascii="仿宋" w:hAnsi="仿宋" w:eastAsia="仿宋" w:cs="仿宋"/>
          <w:spacing w:val="0"/>
          <w:kern w:val="0"/>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4"/>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宋体" w:hAnsi="宋体" w:cs="宋体"/>
          <w:spacing w:val="0"/>
          <w:kern w:val="0"/>
          <w:sz w:val="56"/>
          <w:szCs w:val="56"/>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黑体" w:hAnsi="黑体" w:eastAsia="黑体" w:cs="黑体"/>
          <w:spacing w:val="0"/>
          <w:kern w:val="0"/>
          <w:sz w:val="56"/>
          <w:szCs w:val="56"/>
        </w:rPr>
        <w:t>第五部分</w:t>
      </w:r>
      <w:r>
        <w:rPr>
          <w:rFonts w:ascii="宋体" w:hAnsi="宋体" w:cs="宋体"/>
          <w:spacing w:val="0"/>
          <w:kern w:val="0"/>
          <w:sz w:val="56"/>
          <w:szCs w:val="56"/>
        </w:rPr>
        <w:t> </w:t>
      </w:r>
    </w:p>
    <w:p>
      <w:pPr>
        <w:pStyle w:val="34"/>
        <w:widowControl/>
        <w:spacing w:before="100" w:after="100"/>
        <w:ind w:left="0" w:right="0" w:firstLine="0"/>
        <w:jc w:val="center"/>
        <w:rPr>
          <w:rFonts w:ascii="Times New Roman" w:hAnsi="Times New Roman" w:eastAsia="Times New Roman" w:cs="Times New Roman"/>
          <w:kern w:val="0"/>
          <w:sz w:val="24"/>
        </w:rPr>
      </w:pPr>
      <w:r>
        <w:rPr>
          <w:rFonts w:ascii="黑体" w:hAnsi="黑体" w:eastAsia="黑体" w:cs="黑体"/>
          <w:spacing w:val="0"/>
          <w:kern w:val="0"/>
          <w:sz w:val="56"/>
          <w:szCs w:val="56"/>
        </w:rPr>
        <w:t>附件</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一、项目支出绩效自评表</w:t>
      </w:r>
    </w:p>
    <w:tbl>
      <w:tblPr>
        <w:tblStyle w:val="37"/>
        <w:tblW w:w="9021" w:type="dxa"/>
        <w:jc w:val="center"/>
        <w:tblCellSpacing w:w="0" w:type="dxa"/>
        <w:tblLayout w:type="fixed"/>
        <w:tblCellMar>
          <w:top w:w="15" w:type="dxa"/>
          <w:left w:w="15" w:type="dxa"/>
          <w:bottom w:w="15" w:type="dxa"/>
          <w:right w:w="15" w:type="dxa"/>
        </w:tblCellMar>
      </w:tblPr>
      <w:tblGrid>
        <w:gridCol w:w="1081"/>
        <w:gridCol w:w="770"/>
        <w:gridCol w:w="1488"/>
        <w:gridCol w:w="441"/>
        <w:gridCol w:w="897"/>
        <w:gridCol w:w="17"/>
        <w:gridCol w:w="913"/>
        <w:gridCol w:w="902"/>
        <w:gridCol w:w="265"/>
        <w:gridCol w:w="467"/>
        <w:gridCol w:w="343"/>
        <w:gridCol w:w="596"/>
        <w:gridCol w:w="851"/>
        <w:gridCol w:w="925"/>
      </w:tblGrid>
      <w:tr>
        <w:tblPrEx>
          <w:tblCellMar>
            <w:top w:w="15" w:type="dxa"/>
            <w:left w:w="15" w:type="dxa"/>
            <w:bottom w:w="15" w:type="dxa"/>
            <w:right w:w="15" w:type="dxa"/>
          </w:tblCellMar>
        </w:tblPrEx>
        <w:trPr>
          <w:trHeight w:val="454" w:hRule="atLeast"/>
          <w:tblHeader/>
          <w:tblCellSpacing w:w="0" w:type="dxa"/>
          <w:jc w:val="center"/>
        </w:trPr>
        <w:tc>
          <w:tcPr>
            <w:tcW w:w="9237" w:type="dxa"/>
            <w:gridSpan w:val="14"/>
            <w:noWrap w:val="0"/>
            <w:tcMar>
              <w:top w:w="0" w:type="dxa"/>
              <w:left w:w="108" w:type="dxa"/>
              <w:bottom w:w="0" w:type="dxa"/>
              <w:right w:w="108" w:type="dxa"/>
            </w:tcMar>
            <w:vAlign w:val="center"/>
          </w:tcPr>
          <w:p>
            <w:pPr>
              <w:pStyle w:val="34"/>
              <w:widowControl/>
              <w:spacing w:before="100" w:after="100" w:line="32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32"/>
                <w:szCs w:val="32"/>
              </w:rPr>
              <w:t>项目支出绩效自评表</w:t>
            </w:r>
          </w:p>
        </w:tc>
      </w:tr>
      <w:tr>
        <w:tblPrEx>
          <w:tblCellMar>
            <w:top w:w="15" w:type="dxa"/>
            <w:left w:w="15" w:type="dxa"/>
            <w:bottom w:w="15" w:type="dxa"/>
            <w:right w:w="15" w:type="dxa"/>
          </w:tblCellMar>
        </w:tblPrEx>
        <w:trPr>
          <w:trHeight w:val="201" w:hRule="atLeast"/>
          <w:tblHeader/>
          <w:tblCellSpacing w:w="0" w:type="dxa"/>
          <w:jc w:val="center"/>
        </w:trPr>
        <w:tc>
          <w:tcPr>
            <w:tcW w:w="9237" w:type="dxa"/>
            <w:gridSpan w:val="14"/>
            <w:noWrap w:val="0"/>
            <w:tcMar>
              <w:top w:w="0" w:type="dxa"/>
              <w:left w:w="108" w:type="dxa"/>
              <w:bottom w:w="0" w:type="dxa"/>
              <w:right w:w="108" w:type="dxa"/>
            </w:tcMar>
            <w:vAlign w:val="top"/>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22"/>
                <w:szCs w:val="22"/>
              </w:rPr>
              <w:t>（    年度）</w:t>
            </w:r>
          </w:p>
        </w:tc>
      </w:tr>
      <w:tr>
        <w:tblPrEx>
          <w:tblCellMar>
            <w:top w:w="15" w:type="dxa"/>
            <w:left w:w="15" w:type="dxa"/>
            <w:bottom w:w="15" w:type="dxa"/>
            <w:right w:w="15" w:type="dxa"/>
          </w:tblCellMar>
        </w:tblPrEx>
        <w:trPr>
          <w:trHeight w:val="300" w:hRule="atLeast"/>
          <w:tblHeader/>
          <w:tblCellSpacing w:w="0" w:type="dxa"/>
          <w:jc w:val="center"/>
        </w:trPr>
        <w:tc>
          <w:tcPr>
            <w:tcW w:w="1804" w:type="dxa"/>
            <w:gridSpan w:val="2"/>
            <w:tcBorders>
              <w:top w:val="single" w:color="000000" w:sz="8" w:space="0"/>
              <w:left w:val="single" w:color="000000" w:sz="8" w:space="0"/>
              <w:bottom w:val="single" w:color="000000" w:sz="8" w:space="0"/>
              <w:right w:val="single" w:color="000000" w:sz="8" w:space="0"/>
            </w:tcBorders>
            <w:noWrap w:val="0"/>
            <w:tcMar>
              <w:top w:w="10" w:type="dxa"/>
              <w:left w:w="11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项目名称</w:t>
            </w:r>
          </w:p>
        </w:tc>
        <w:tc>
          <w:tcPr>
            <w:tcW w:w="7679" w:type="dxa"/>
            <w:gridSpan w:val="1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300" w:hRule="atLeast"/>
          <w:tblHeader/>
          <w:tblCellSpacing w:w="0" w:type="dxa"/>
          <w:jc w:val="center"/>
        </w:trPr>
        <w:tc>
          <w:tcPr>
            <w:tcW w:w="1804" w:type="dxa"/>
            <w:gridSpan w:val="2"/>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主管部门</w:t>
            </w:r>
          </w:p>
        </w:tc>
        <w:tc>
          <w:tcPr>
            <w:tcW w:w="4277" w:type="dxa"/>
            <w:gridSpan w:val="5"/>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实施单位</w:t>
            </w:r>
          </w:p>
        </w:tc>
        <w:tc>
          <w:tcPr>
            <w:tcW w:w="2494" w:type="dxa"/>
            <w:gridSpan w:val="5"/>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300" w:hRule="atLeast"/>
          <w:tblHeader/>
          <w:tblCellSpacing w:w="0" w:type="dxa"/>
          <w:jc w:val="center"/>
        </w:trPr>
        <w:tc>
          <w:tcPr>
            <w:tcW w:w="1804" w:type="dxa"/>
            <w:gridSpan w:val="2"/>
            <w:vMerge w:val="restart"/>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项目资金</w:t>
            </w:r>
          </w:p>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（万元）</w:t>
            </w:r>
          </w:p>
        </w:tc>
        <w:tc>
          <w:tcPr>
            <w:tcW w:w="261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年初预算数</w:t>
            </w:r>
          </w:p>
        </w:tc>
        <w:tc>
          <w:tcPr>
            <w:tcW w:w="759"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全年预算数</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全年执行数</w:t>
            </w:r>
          </w:p>
        </w:tc>
        <w:tc>
          <w:tcPr>
            <w:tcW w:w="935"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分值</w:t>
            </w:r>
          </w:p>
        </w:tc>
        <w:tc>
          <w:tcPr>
            <w:tcW w:w="1077"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执行率</w:t>
            </w:r>
          </w:p>
        </w:tc>
        <w:tc>
          <w:tcPr>
            <w:tcW w:w="9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得分</w:t>
            </w:r>
          </w:p>
        </w:tc>
      </w:tr>
      <w:tr>
        <w:tblPrEx>
          <w:tblCellMar>
            <w:top w:w="15" w:type="dxa"/>
            <w:left w:w="15" w:type="dxa"/>
            <w:bottom w:w="15" w:type="dxa"/>
            <w:right w:w="15" w:type="dxa"/>
          </w:tblCellMar>
        </w:tblPrEx>
        <w:trPr>
          <w:trHeight w:val="300" w:hRule="atLeast"/>
          <w:tblHeader/>
          <w:tblCellSpacing w:w="0" w:type="dxa"/>
          <w:jc w:val="center"/>
        </w:trPr>
        <w:tc>
          <w:tcPr>
            <w:gridSpan w:val="2"/>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261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年度资金总额</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59"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5"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10</w:t>
            </w:r>
          </w:p>
        </w:tc>
        <w:tc>
          <w:tcPr>
            <w:tcW w:w="1077"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300" w:hRule="atLeast"/>
          <w:tblHeader/>
          <w:tblCellSpacing w:w="0" w:type="dxa"/>
          <w:jc w:val="center"/>
        </w:trPr>
        <w:tc>
          <w:tcPr>
            <w:gridSpan w:val="2"/>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261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其中：当年财政拨款</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59"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5"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w:t>
            </w:r>
          </w:p>
        </w:tc>
        <w:tc>
          <w:tcPr>
            <w:tcW w:w="1077"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w:t>
            </w:r>
          </w:p>
        </w:tc>
      </w:tr>
      <w:tr>
        <w:tblPrEx>
          <w:tblCellMar>
            <w:top w:w="15" w:type="dxa"/>
            <w:left w:w="15" w:type="dxa"/>
            <w:bottom w:w="15" w:type="dxa"/>
            <w:right w:w="15" w:type="dxa"/>
          </w:tblCellMar>
        </w:tblPrEx>
        <w:trPr>
          <w:trHeight w:val="300" w:hRule="atLeast"/>
          <w:tblHeader/>
          <w:tblCellSpacing w:w="0" w:type="dxa"/>
          <w:jc w:val="center"/>
        </w:trPr>
        <w:tc>
          <w:tcPr>
            <w:gridSpan w:val="2"/>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261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其他资金</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59"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360"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5"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w:t>
            </w:r>
          </w:p>
        </w:tc>
        <w:tc>
          <w:tcPr>
            <w:tcW w:w="1077"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9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w:t>
            </w:r>
          </w:p>
        </w:tc>
      </w:tr>
      <w:tr>
        <w:tblPrEx>
          <w:tblCellMar>
            <w:top w:w="15" w:type="dxa"/>
            <w:left w:w="15" w:type="dxa"/>
            <w:bottom w:w="15" w:type="dxa"/>
            <w:right w:w="15" w:type="dxa"/>
          </w:tblCellMar>
        </w:tblPrEx>
        <w:trPr>
          <w:trHeight w:val="300" w:hRule="atLeast"/>
          <w:tblHeader/>
          <w:tblCellSpacing w:w="0" w:type="dxa"/>
          <w:jc w:val="center"/>
        </w:trPr>
        <w:tc>
          <w:tcPr>
            <w:tcW w:w="824" w:type="dxa"/>
            <w:vMerge w:val="restart"/>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年度总体目标</w:t>
            </w:r>
          </w:p>
        </w:tc>
        <w:tc>
          <w:tcPr>
            <w:tcW w:w="5257" w:type="dxa"/>
            <w:gridSpan w:val="6"/>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预期目标</w:t>
            </w:r>
          </w:p>
        </w:tc>
        <w:tc>
          <w:tcPr>
            <w:tcW w:w="3628" w:type="dxa"/>
            <w:gridSpan w:val="7"/>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实际完成情况</w:t>
            </w:r>
          </w:p>
        </w:tc>
      </w:tr>
      <w:tr>
        <w:tblPrEx>
          <w:tblCellMar>
            <w:top w:w="15" w:type="dxa"/>
            <w:left w:w="15" w:type="dxa"/>
            <w:bottom w:w="15" w:type="dxa"/>
            <w:right w:w="15" w:type="dxa"/>
          </w:tblCellMar>
        </w:tblPrEx>
        <w:trPr>
          <w:trHeight w:val="597" w:hRule="atLeast"/>
          <w:tblHeader/>
          <w:tblCellSpacing w:w="0" w:type="dxa"/>
          <w:jc w:val="center"/>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5257" w:type="dxa"/>
            <w:gridSpan w:val="6"/>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3628" w:type="dxa"/>
            <w:gridSpan w:val="7"/>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533" w:hRule="atLeast"/>
          <w:tblHeader/>
          <w:tblCellSpacing w:w="0" w:type="dxa"/>
          <w:jc w:val="center"/>
        </w:trPr>
        <w:tc>
          <w:tcPr>
            <w:tcW w:w="824" w:type="dxa"/>
            <w:vMerge w:val="restart"/>
            <w:tcBorders>
              <w:left w:val="single" w:color="000000" w:sz="8" w:space="0"/>
              <w:right w:val="single" w:color="000000" w:sz="8" w:space="0"/>
            </w:tcBorders>
            <w:noWrap w:val="0"/>
            <w:tcMar>
              <w:top w:w="0" w:type="dxa"/>
              <w:left w:w="118" w:type="dxa"/>
              <w:bottom w:w="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绩</w:t>
            </w:r>
          </w:p>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效</w:t>
            </w:r>
          </w:p>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指</w:t>
            </w:r>
          </w:p>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标</w:t>
            </w:r>
          </w:p>
        </w:tc>
        <w:tc>
          <w:tcPr>
            <w:tcW w:w="1206"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一级指标</w:t>
            </w: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二级指标</w:t>
            </w:r>
          </w:p>
        </w:tc>
        <w:tc>
          <w:tcPr>
            <w:tcW w:w="1773"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三级指标</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年度</w:t>
            </w:r>
          </w:p>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指标值</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实际</w:t>
            </w:r>
          </w:p>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完成值</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分值</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得分</w:t>
            </w:r>
          </w:p>
        </w:tc>
        <w:tc>
          <w:tcPr>
            <w:tcW w:w="1643"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偏差原因分析及改进措施</w:t>
            </w:r>
          </w:p>
        </w:tc>
      </w:tr>
      <w:tr>
        <w:tblPrEx>
          <w:tblCellMar>
            <w:top w:w="15" w:type="dxa"/>
            <w:left w:w="15" w:type="dxa"/>
            <w:bottom w:w="15" w:type="dxa"/>
            <w:right w:w="15" w:type="dxa"/>
          </w:tblCellMar>
        </w:tblPrEx>
        <w:trPr>
          <w:trHeight w:val="510" w:hRule="atLeast"/>
          <w:tblHeader/>
          <w:tblCellSpacing w:w="0" w:type="dxa"/>
          <w:jc w:val="center"/>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1206" w:type="dxa"/>
            <w:vMerge w:val="restart"/>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成本指标</w:t>
            </w: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经济成本指标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513" w:hRule="atLeast"/>
          <w:tblHeader/>
          <w:tblCellSpacing w:w="0" w:type="dxa"/>
          <w:jc w:val="center"/>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vMerge w:val="continue"/>
            <w:tcBorders>
              <w:bottom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社会成本指标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690" w:hRule="atLeast"/>
          <w:tblHeader/>
          <w:tblCellSpacing w:w="0" w:type="dxa"/>
          <w:jc w:val="center"/>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vMerge w:val="continue"/>
            <w:tcBorders>
              <w:bottom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生态环境成本指标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375" w:hRule="atLeast"/>
          <w:tblHeader/>
          <w:tblCellSpacing w:w="0" w:type="dxa"/>
          <w:jc w:val="center"/>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1206" w:type="dxa"/>
            <w:vMerge w:val="restart"/>
            <w:tcBorders>
              <w:right w:val="single" w:color="000000" w:sz="8" w:space="0"/>
            </w:tcBorders>
            <w:noWrap w:val="0"/>
            <w:tcMar>
              <w:top w:w="0" w:type="dxa"/>
              <w:left w:w="108" w:type="dxa"/>
              <w:bottom w:w="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产出指标</w:t>
            </w: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数量指标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405" w:hRule="atLeast"/>
          <w:tblHeader/>
          <w:tblCellSpacing w:w="0" w:type="dxa"/>
          <w:jc w:val="center"/>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vMerge w:val="continue"/>
            <w:tcBorders>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质量指标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386" w:hRule="atLeast"/>
          <w:tblHeader/>
          <w:tblCellSpacing w:w="0" w:type="dxa"/>
          <w:jc w:val="center"/>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vMerge w:val="continue"/>
            <w:tcBorders>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时效指标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434" w:hRule="atLeast"/>
          <w:tblHeader/>
          <w:tblCellSpacing w:w="0" w:type="dxa"/>
          <w:jc w:val="center"/>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1206" w:type="dxa"/>
            <w:vMerge w:val="restart"/>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效益指标</w:t>
            </w: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经济效益指标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427" w:hRule="atLeast"/>
          <w:tblHeader/>
          <w:tblCellSpacing w:w="0" w:type="dxa"/>
          <w:jc w:val="center"/>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vMerge w:val="continue"/>
            <w:tcBorders>
              <w:bottom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社会效益指标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405" w:hRule="atLeast"/>
          <w:tblHeader/>
          <w:tblCellSpacing w:w="0" w:type="dxa"/>
          <w:jc w:val="center"/>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vMerge w:val="continue"/>
            <w:tcBorders>
              <w:bottom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生态效益指标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855" w:hRule="atLeast"/>
          <w:tblHeader/>
          <w:tblCellSpacing w:w="0" w:type="dxa"/>
          <w:jc w:val="center"/>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kern w:val="0"/>
                <w:sz w:val="18"/>
                <w:szCs w:val="18"/>
              </w:rPr>
            </w:pPr>
          </w:p>
        </w:tc>
        <w:tc>
          <w:tcPr>
            <w:tcW w:w="1206"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满意度</w:t>
            </w:r>
          </w:p>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指标</w:t>
            </w:r>
          </w:p>
        </w:tc>
        <w:tc>
          <w:tcPr>
            <w:tcW w:w="1880"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服务对象满意度指标</w:t>
            </w:r>
          </w:p>
        </w:tc>
        <w:tc>
          <w:tcPr>
            <w:tcW w:w="177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07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r>
        <w:tblPrEx>
          <w:tblCellMar>
            <w:top w:w="15" w:type="dxa"/>
            <w:left w:w="15" w:type="dxa"/>
            <w:bottom w:w="15" w:type="dxa"/>
            <w:right w:w="15" w:type="dxa"/>
          </w:tblCellMar>
        </w:tblPrEx>
        <w:trPr>
          <w:trHeight w:val="300" w:hRule="atLeast"/>
          <w:tblHeader/>
          <w:tblCellSpacing w:w="0" w:type="dxa"/>
          <w:jc w:val="center"/>
        </w:trPr>
        <w:tc>
          <w:tcPr>
            <w:tcW w:w="6706" w:type="dxa"/>
            <w:gridSpan w:val="8"/>
            <w:tcBorders>
              <w:top w:val="single" w:color="000000" w:sz="8" w:space="0"/>
              <w:left w:val="single" w:color="000000" w:sz="8" w:space="0"/>
              <w:bottom w:val="single" w:color="000000" w:sz="8" w:space="0"/>
              <w:right w:val="single" w:color="000000" w:sz="8" w:space="0"/>
            </w:tcBorders>
            <w:noWrap w:val="0"/>
            <w:tcMar>
              <w:top w:w="10" w:type="dxa"/>
              <w:left w:w="11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总分</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100</w:t>
            </w:r>
          </w:p>
        </w:tc>
        <w:tc>
          <w:tcPr>
            <w:tcW w:w="79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c>
          <w:tcPr>
            <w:tcW w:w="1643"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line="240" w:lineRule="atLeast"/>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kern w:val="0"/>
                <w:sz w:val="18"/>
                <w:szCs w:val="18"/>
              </w:rPr>
              <w:t> </w:t>
            </w:r>
          </w:p>
        </w:tc>
      </w:tr>
    </w:tbl>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二、项目支出绩效评价报告</w:t>
      </w:r>
    </w:p>
    <w:p>
      <w:pPr>
        <w:pStyle w:val="34"/>
        <w:widowControl/>
        <w:spacing w:before="100" w:after="100"/>
        <w:ind w:left="0" w:right="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r>
        <w:rPr>
          <w:rFonts w:ascii="黑体" w:hAnsi="黑体" w:eastAsia="黑体" w:cs="黑体"/>
          <w:spacing w:val="0"/>
          <w:kern w:val="0"/>
          <w:sz w:val="32"/>
          <w:szCs w:val="32"/>
        </w:rPr>
        <w:t>三、部门整体支出绩效自评表</w:t>
      </w:r>
    </w:p>
    <w:p>
      <w:pPr>
        <w:pStyle w:val="34"/>
        <w:widowControl/>
        <w:spacing w:before="100" w:after="100" w:line="600" w:lineRule="atLeast"/>
        <w:ind w:left="0" w:right="0" w:firstLine="640"/>
        <w:jc w:val="left"/>
        <w:rPr>
          <w:rFonts w:ascii="Times New Roman" w:hAnsi="Times New Roman" w:eastAsia="Times New Roman" w:cs="Times New Roman"/>
          <w:kern w:val="0"/>
          <w:sz w:val="24"/>
        </w:rPr>
      </w:pPr>
    </w:p>
    <w:tbl>
      <w:tblPr>
        <w:tblStyle w:val="37"/>
        <w:tblW w:w="16975" w:type="dxa"/>
        <w:tblCellSpacing w:w="0" w:type="dxa"/>
        <w:tblInd w:w="-210" w:type="dxa"/>
        <w:tblLayout w:type="fixed"/>
        <w:tblCellMar>
          <w:top w:w="15" w:type="dxa"/>
          <w:left w:w="15" w:type="dxa"/>
          <w:bottom w:w="15" w:type="dxa"/>
          <w:right w:w="15" w:type="dxa"/>
        </w:tblCellMar>
      </w:tblPr>
      <w:tblGrid>
        <w:gridCol w:w="2756"/>
        <w:gridCol w:w="1346"/>
        <w:gridCol w:w="2226"/>
        <w:gridCol w:w="1346"/>
        <w:gridCol w:w="1346"/>
        <w:gridCol w:w="1566"/>
        <w:gridCol w:w="1054"/>
        <w:gridCol w:w="1126"/>
        <w:gridCol w:w="1126"/>
        <w:gridCol w:w="3084"/>
      </w:tblGrid>
      <w:tr>
        <w:tblPrEx>
          <w:tblCellMar>
            <w:top w:w="15" w:type="dxa"/>
            <w:left w:w="15" w:type="dxa"/>
            <w:bottom w:w="15" w:type="dxa"/>
            <w:right w:w="15" w:type="dxa"/>
          </w:tblCellMar>
        </w:tblPrEx>
        <w:trPr>
          <w:trHeight w:val="716" w:hRule="atLeast"/>
          <w:tblHeader/>
          <w:tblCellSpacing w:w="0" w:type="dxa"/>
        </w:trPr>
        <w:tc>
          <w:tcPr>
            <w:tcW w:w="17000" w:type="dxa"/>
            <w:gridSpan w:val="10"/>
            <w:noWrap w:val="0"/>
            <w:tcMar>
              <w:top w:w="0" w:type="dxa"/>
              <w:left w:w="108" w:type="dxa"/>
              <w:bottom w:w="0" w:type="dxa"/>
              <w:right w:w="10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36"/>
                <w:szCs w:val="36"/>
              </w:rPr>
              <w:t>部门整体绩效自评表</w:t>
            </w:r>
          </w:p>
        </w:tc>
      </w:tr>
      <w:tr>
        <w:tblPrEx>
          <w:tblCellMar>
            <w:top w:w="15" w:type="dxa"/>
            <w:left w:w="15" w:type="dxa"/>
            <w:bottom w:w="15" w:type="dxa"/>
            <w:right w:w="15" w:type="dxa"/>
          </w:tblCellMar>
        </w:tblPrEx>
        <w:trPr>
          <w:trHeight w:val="638" w:hRule="atLeast"/>
          <w:tblHeader/>
          <w:tblCellSpacing w:w="0" w:type="dxa"/>
        </w:trPr>
        <w:tc>
          <w:tcPr>
            <w:tcW w:w="17000" w:type="dxa"/>
            <w:gridSpan w:val="10"/>
            <w:noWrap w:val="0"/>
            <w:tcMar>
              <w:top w:w="0" w:type="dxa"/>
              <w:left w:w="108" w:type="dxa"/>
              <w:bottom w:w="0" w:type="dxa"/>
              <w:right w:w="10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4"/>
              </w:rPr>
              <w:t>（     年度）</w:t>
            </w:r>
          </w:p>
        </w:tc>
      </w:tr>
      <w:tr>
        <w:tblPrEx>
          <w:tblCellMar>
            <w:top w:w="15" w:type="dxa"/>
            <w:left w:w="15" w:type="dxa"/>
            <w:bottom w:w="15" w:type="dxa"/>
            <w:right w:w="15" w:type="dxa"/>
          </w:tblCellMar>
        </w:tblPrEx>
        <w:trPr>
          <w:trHeight w:val="638" w:hRule="atLeast"/>
          <w:tblHeader/>
          <w:tblCellSpacing w:w="0" w:type="dxa"/>
        </w:trPr>
        <w:tc>
          <w:tcPr>
            <w:tcW w:w="3534" w:type="dxa"/>
            <w:gridSpan w:val="3"/>
            <w:tcBorders>
              <w:top w:val="single" w:color="000000" w:sz="8" w:space="0"/>
              <w:left w:val="single" w:color="000000" w:sz="8" w:space="0"/>
              <w:bottom w:val="single" w:color="000000" w:sz="8" w:space="0"/>
              <w:right w:val="single" w:color="000000" w:sz="8" w:space="0"/>
            </w:tcBorders>
            <w:noWrap w:val="0"/>
            <w:tcMar>
              <w:top w:w="10" w:type="dxa"/>
              <w:left w:w="11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部门（单位）名称</w:t>
            </w:r>
          </w:p>
        </w:tc>
        <w:tc>
          <w:tcPr>
            <w:tcW w:w="1929"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282"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部门预算编码</w:t>
            </w:r>
          </w:p>
        </w:tc>
        <w:tc>
          <w:tcPr>
            <w:tcW w:w="10409" w:type="dxa"/>
            <w:gridSpan w:val="4"/>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891" w:hRule="atLeast"/>
          <w:tblHeader/>
          <w:tblCellSpacing w:w="0" w:type="dxa"/>
        </w:trPr>
        <w:tc>
          <w:tcPr>
            <w:tcW w:w="883" w:type="dxa"/>
            <w:vMerge w:val="restart"/>
            <w:tcBorders>
              <w:left w:val="single" w:color="000000" w:sz="8" w:space="0"/>
              <w:right w:val="single" w:color="000000" w:sz="8" w:space="0"/>
            </w:tcBorders>
            <w:noWrap w:val="0"/>
            <w:tcMar>
              <w:top w:w="0" w:type="dxa"/>
              <w:left w:w="118" w:type="dxa"/>
              <w:bottom w:w="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金额（万元</w:t>
            </w:r>
          </w:p>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w:t>
            </w:r>
          </w:p>
        </w:tc>
        <w:tc>
          <w:tcPr>
            <w:tcW w:w="269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年初预算数</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全年预算数</w:t>
            </w:r>
          </w:p>
        </w:tc>
        <w:tc>
          <w:tcPr>
            <w:tcW w:w="1282"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全年执行数 </w:t>
            </w:r>
          </w:p>
        </w:tc>
        <w:tc>
          <w:tcPr>
            <w:tcW w:w="8404"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分值</w:t>
            </w:r>
          </w:p>
        </w:tc>
        <w:tc>
          <w:tcPr>
            <w:tcW w:w="897"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执行率</w:t>
            </w:r>
          </w:p>
        </w:tc>
        <w:tc>
          <w:tcPr>
            <w:tcW w:w="1198"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得分</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269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资金总额</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282"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404"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269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项目支出</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282"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404"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2696"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基本支出</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282"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404"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tcW w:w="883" w:type="dxa"/>
            <w:vMerge w:val="restart"/>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年度总体目标</w:t>
            </w:r>
          </w:p>
        </w:tc>
        <w:tc>
          <w:tcPr>
            <w:tcW w:w="4580" w:type="dxa"/>
            <w:gridSpan w:val="4"/>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预期目标</w:t>
            </w:r>
          </w:p>
        </w:tc>
        <w:tc>
          <w:tcPr>
            <w:tcW w:w="11647" w:type="dxa"/>
            <w:gridSpan w:val="5"/>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目标实际完成情况</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4580" w:type="dxa"/>
            <w:gridSpan w:val="4"/>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647" w:type="dxa"/>
            <w:gridSpan w:val="5"/>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891" w:hRule="atLeast"/>
          <w:tblHeader/>
          <w:tblCellSpacing w:w="0" w:type="dxa"/>
        </w:trPr>
        <w:tc>
          <w:tcPr>
            <w:tcW w:w="883" w:type="dxa"/>
            <w:vMerge w:val="restart"/>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绩效</w:t>
            </w:r>
          </w:p>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指标</w:t>
            </w:r>
          </w:p>
        </w:tc>
        <w:tc>
          <w:tcPr>
            <w:tcW w:w="1106"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一级指标</w:t>
            </w: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二级指标</w:t>
            </w:r>
          </w:p>
        </w:tc>
        <w:tc>
          <w:tcPr>
            <w:tcW w:w="957"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三级指标</w:t>
            </w:r>
          </w:p>
        </w:tc>
        <w:tc>
          <w:tcPr>
            <w:tcW w:w="1017"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年度指标值</w:t>
            </w:r>
          </w:p>
        </w:tc>
        <w:tc>
          <w:tcPr>
            <w:tcW w:w="8802" w:type="dxa"/>
            <w:gridSpan w:val="2"/>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实际完成值</w:t>
            </w:r>
          </w:p>
        </w:tc>
        <w:tc>
          <w:tcPr>
            <w:tcW w:w="885"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指标分值</w:t>
            </w:r>
          </w:p>
        </w:tc>
        <w:tc>
          <w:tcPr>
            <w:tcW w:w="897"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自评得分</w:t>
            </w:r>
          </w:p>
        </w:tc>
        <w:tc>
          <w:tcPr>
            <w:tcW w:w="1198" w:type="dxa"/>
            <w:tcBorders>
              <w:top w:val="single" w:color="000000" w:sz="8" w:space="0"/>
              <w:bottom w:val="single" w:color="000000" w:sz="8" w:space="0"/>
              <w:right w:val="single" w:color="000000" w:sz="8" w:space="0"/>
            </w:tcBorders>
            <w:noWrap w:val="0"/>
            <w:tcMar>
              <w:top w:w="1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偏差原因及分析</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1106" w:type="dxa"/>
            <w:vMerge w:val="restart"/>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成本指标</w:t>
            </w: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经济成本指标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社会成本指标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生态环境成本指标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1106" w:type="dxa"/>
            <w:vMerge w:val="restart"/>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产出指标</w:t>
            </w: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数量指标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质量指标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时效指标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1106" w:type="dxa"/>
            <w:vMerge w:val="restart"/>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效益指标</w:t>
            </w: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经济效益指标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社会效益指标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vMerge w:val="continue"/>
            <w:tcBorders>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生态效益指标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891" w:hRule="atLeast"/>
          <w:tblHeader/>
          <w:tblCellSpacing w:w="0" w:type="dxa"/>
        </w:trPr>
        <w:tc>
          <w:tcPr>
            <w:vMerge w:val="continue"/>
            <w:tcBorders>
              <w:left w:val="single" w:color="000000" w:sz="8" w:space="0"/>
              <w:bottom w:val="single" w:color="000000" w:sz="8" w:space="0"/>
              <w:right w:val="single" w:color="000000" w:sz="8" w:space="0"/>
            </w:tcBorders>
            <w:vAlign w:val="center"/>
          </w:tcPr>
          <w:p>
            <w:pPr>
              <w:rPr>
                <w:rFonts w:ascii="宋体" w:hAnsi="宋体" w:cs="宋体"/>
                <w:b w:val="0"/>
                <w:bCs w:val="0"/>
                <w:i w:val="0"/>
                <w:iCs w:val="0"/>
                <w:smallCaps w:val="0"/>
                <w:color w:val="000000"/>
                <w:spacing w:val="0"/>
                <w:kern w:val="0"/>
                <w:sz w:val="22"/>
                <w:szCs w:val="22"/>
              </w:rPr>
            </w:pPr>
          </w:p>
        </w:tc>
        <w:tc>
          <w:tcPr>
            <w:tcW w:w="1106"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满意度指标</w:t>
            </w:r>
          </w:p>
        </w:tc>
        <w:tc>
          <w:tcPr>
            <w:tcW w:w="1634"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服务对象满意度指标</w:t>
            </w:r>
          </w:p>
        </w:tc>
        <w:tc>
          <w:tcPr>
            <w:tcW w:w="95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01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02" w:type="dxa"/>
            <w:gridSpan w:val="2"/>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85"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897"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left"/>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c>
          <w:tcPr>
            <w:tcW w:w="1198" w:type="dxa"/>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tcW w:w="5418" w:type="dxa"/>
            <w:gridSpan w:val="5"/>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总分值、评价总分 (S)</w:t>
            </w:r>
          </w:p>
        </w:tc>
        <w:tc>
          <w:tcPr>
            <w:tcW w:w="11647" w:type="dxa"/>
            <w:gridSpan w:val="5"/>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r>
        <w:tblPrEx>
          <w:tblCellMar>
            <w:top w:w="15" w:type="dxa"/>
            <w:left w:w="15" w:type="dxa"/>
            <w:bottom w:w="15" w:type="dxa"/>
            <w:right w:w="15" w:type="dxa"/>
          </w:tblCellMar>
        </w:tblPrEx>
        <w:trPr>
          <w:trHeight w:val="638" w:hRule="atLeast"/>
          <w:tblHeader/>
          <w:tblCellSpacing w:w="0" w:type="dxa"/>
        </w:trPr>
        <w:tc>
          <w:tcPr>
            <w:tcW w:w="1944" w:type="dxa"/>
            <w:gridSpan w:val="2"/>
            <w:tcBorders>
              <w:left w:val="single" w:color="000000" w:sz="8" w:space="0"/>
              <w:bottom w:val="single" w:color="000000" w:sz="8" w:space="0"/>
              <w:right w:val="single" w:color="000000" w:sz="8" w:space="0"/>
            </w:tcBorders>
            <w:noWrap w:val="0"/>
            <w:tcMar>
              <w:top w:w="0" w:type="dxa"/>
              <w:left w:w="11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评价等级 </w:t>
            </w:r>
          </w:p>
        </w:tc>
        <w:tc>
          <w:tcPr>
            <w:tcW w:w="15121" w:type="dxa"/>
            <w:gridSpan w:val="8"/>
            <w:tcBorders>
              <w:bottom w:val="single" w:color="000000" w:sz="8" w:space="0"/>
              <w:right w:val="single" w:color="000000" w:sz="8" w:space="0"/>
            </w:tcBorders>
            <w:noWrap w:val="0"/>
            <w:tcMar>
              <w:top w:w="0" w:type="dxa"/>
              <w:left w:w="108" w:type="dxa"/>
              <w:bottom w:w="10" w:type="dxa"/>
              <w:right w:w="118" w:type="dxa"/>
            </w:tcMar>
            <w:vAlign w:val="center"/>
          </w:tcPr>
          <w:p>
            <w:pPr>
              <w:pStyle w:val="34"/>
              <w:widowControl/>
              <w:spacing w:before="100" w:after="100"/>
              <w:ind w:left="0" w:right="0"/>
              <w:jc w:val="center"/>
              <w:rPr>
                <w:rFonts w:ascii="Times New Roman" w:hAnsi="Times New Roman" w:eastAsia="Times New Roman" w:cs="Times New Roman"/>
                <w:b w:val="0"/>
                <w:bCs w:val="0"/>
                <w:i w:val="0"/>
                <w:iCs w:val="0"/>
                <w:smallCaps w:val="0"/>
                <w:color w:val="000000"/>
                <w:kern w:val="0"/>
                <w:sz w:val="24"/>
              </w:rPr>
            </w:pPr>
            <w:r>
              <w:rPr>
                <w:rFonts w:ascii="宋体" w:hAnsi="宋体" w:cs="宋体"/>
                <w:b w:val="0"/>
                <w:bCs w:val="0"/>
                <w:i w:val="0"/>
                <w:iCs w:val="0"/>
                <w:smallCaps w:val="0"/>
                <w:color w:val="000000"/>
                <w:spacing w:val="0"/>
                <w:kern w:val="0"/>
                <w:sz w:val="22"/>
                <w:szCs w:val="22"/>
              </w:rPr>
              <w:t> </w:t>
            </w:r>
          </w:p>
        </w:tc>
      </w:tr>
    </w:tbl>
    <w:p>
      <w:pPr>
        <w:pStyle w:val="34"/>
        <w:widowControl/>
        <w:spacing w:before="100" w:after="100"/>
        <w:ind w:left="0" w:right="0" w:firstLine="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24"/>
        </w:rPr>
        <w:t> </w:t>
      </w:r>
    </w:p>
    <w:p>
      <w:pPr>
        <w:pStyle w:val="33"/>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 w:val="24"/>
        </w:rPr>
        <w:t> </w:t>
      </w:r>
    </w:p>
    <w:p>
      <w:pPr>
        <w:pStyle w:val="34"/>
        <w:widowControl/>
        <w:spacing w:before="100" w:after="100"/>
        <w:ind w:left="0" w:right="0" w:firstLine="0"/>
        <w:jc w:val="left"/>
        <w:rPr>
          <w:rFonts w:ascii="Times New Roman" w:hAnsi="Times New Roman" w:eastAsia="Times New Roman" w:cs="Times New Roman"/>
          <w:kern w:val="0"/>
          <w:sz w:val="24"/>
        </w:rPr>
      </w:pPr>
      <w:r>
        <w:rPr>
          <w:rFonts w:ascii="Calibri" w:hAnsi="Calibri" w:eastAsia="Calibri" w:cs="Calibri"/>
          <w:spacing w:val="0"/>
          <w:kern w:val="0"/>
          <w:szCs w:val="21"/>
        </w:rPr>
        <w:t> </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hint="eastAsia" w:ascii="宋体" w:hAnsi="宋体"/>
          <w:b/>
          <w:sz w:val="32"/>
          <w:szCs w:val="32"/>
        </w:rPr>
      </w:pPr>
    </w:p>
    <w:p>
      <w:pPr>
        <w:adjustRightInd w:val="0"/>
        <w:snapToGrid w:val="0"/>
        <w:rPr>
          <w:rFonts w:hint="eastAsia" w:ascii="宋体" w:hAnsi="宋体"/>
          <w:b/>
          <w:sz w:val="32"/>
          <w:szCs w:val="32"/>
        </w:rPr>
      </w:pPr>
    </w:p>
    <w:p>
      <w:pPr>
        <w:tabs>
          <w:tab w:val="left" w:pos="8415"/>
        </w:tabs>
      </w:pPr>
      <w:bookmarkStart w:id="1" w:name="_GoBack"/>
      <w:bookmarkEnd w:id="1"/>
    </w:p>
    <w:sectPr>
      <w:footerReference r:id="rId3"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42</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3Yjc0ZDUzY2M2YThlZjhiYzlhZTNhNGFlYjYwZDc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68A6"/>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56D6"/>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7F2F15"/>
    <w:rsid w:val="00836830"/>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10863"/>
    <w:rsid w:val="00B27D51"/>
    <w:rsid w:val="00B326F7"/>
    <w:rsid w:val="00B32BEE"/>
    <w:rsid w:val="00B373AF"/>
    <w:rsid w:val="00B4208A"/>
    <w:rsid w:val="00B57D7A"/>
    <w:rsid w:val="00B76620"/>
    <w:rsid w:val="00B840CE"/>
    <w:rsid w:val="00B96C3D"/>
    <w:rsid w:val="00BD0928"/>
    <w:rsid w:val="00BD380A"/>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B7316"/>
    <w:rsid w:val="00EE533B"/>
    <w:rsid w:val="00F04882"/>
    <w:rsid w:val="00F63327"/>
    <w:rsid w:val="00F80A29"/>
    <w:rsid w:val="00FA7CA5"/>
    <w:rsid w:val="00FD08EC"/>
    <w:rsid w:val="00FD7690"/>
    <w:rsid w:val="24D42155"/>
    <w:rsid w:val="27DB4C8D"/>
    <w:rsid w:val="601E5C11"/>
    <w:rsid w:val="73201224"/>
    <w:rsid w:val="7B5F0E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32"/>
    <w:qFormat/>
    <w:uiPriority w:val="0"/>
    <w:pPr>
      <w:keepNext/>
      <w:keepLines/>
      <w:spacing w:before="260" w:after="260" w:line="416" w:lineRule="auto"/>
      <w:outlineLvl w:val="2"/>
    </w:pPr>
    <w:rPr>
      <w:b/>
      <w:bCs/>
      <w:sz w:val="32"/>
      <w:szCs w:val="32"/>
    </w:rPr>
  </w:style>
  <w:style w:type="paragraph" w:styleId="7">
    <w:name w:val="heading 4"/>
    <w:basedOn w:val="1"/>
    <w:next w:val="1"/>
    <w:link w:val="27"/>
    <w:qFormat/>
    <w:uiPriority w:val="0"/>
    <w:pPr>
      <w:keepNext/>
      <w:keepLines/>
      <w:spacing w:before="280" w:after="290" w:line="376" w:lineRule="auto"/>
      <w:outlineLvl w:val="3"/>
    </w:pPr>
    <w:rPr>
      <w:rFonts w:ascii="Cambria" w:hAnsi="Cambria"/>
      <w:b/>
      <w:bCs/>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autoRedefine/>
    <w:qFormat/>
    <w:uiPriority w:val="99"/>
    <w:pPr>
      <w:keepNext w:val="0"/>
      <w:keepLines w:val="0"/>
      <w:widowControl/>
      <w:suppressLineNumbers w:val="0"/>
      <w:overflowPunct w:val="0"/>
      <w:autoSpaceDE w:val="0"/>
      <w:autoSpaceDN w:val="0"/>
      <w:adjustRightInd w:val="0"/>
      <w:spacing w:before="0" w:beforeAutospacing="0" w:after="0" w:afterAutospacing="0" w:line="400" w:lineRule="exact"/>
      <w:ind w:left="0" w:right="0" w:firstLine="420" w:firstLineChars="100"/>
      <w:jc w:val="left"/>
    </w:pPr>
    <w:rPr>
      <w:rFonts w:hint="eastAsia" w:ascii="Calibri" w:hAnsi="Calibri" w:eastAsia="宋体" w:cs="宋体"/>
      <w:kern w:val="0"/>
      <w:sz w:val="20"/>
      <w:szCs w:val="20"/>
      <w:lang w:val="en-US" w:eastAsia="zh-CN" w:bidi="ar"/>
    </w:rPr>
  </w:style>
  <w:style w:type="paragraph" w:styleId="3">
    <w:name w:val="Body Text"/>
    <w:basedOn w:val="1"/>
    <w:autoRedefine/>
    <w:qFormat/>
    <w:uiPriority w:val="99"/>
    <w:pPr>
      <w:keepNext w:val="0"/>
      <w:keepLines w:val="0"/>
      <w:widowControl/>
      <w:suppressLineNumbers w:val="0"/>
      <w:overflowPunct w:val="0"/>
      <w:autoSpaceDE w:val="0"/>
      <w:autoSpaceDN w:val="0"/>
      <w:adjustRightInd w:val="0"/>
      <w:spacing w:before="0" w:beforeAutospacing="0" w:after="0" w:afterAutospacing="0" w:line="400" w:lineRule="exact"/>
      <w:ind w:left="0" w:right="0"/>
      <w:jc w:val="left"/>
    </w:pPr>
    <w:rPr>
      <w:rFonts w:hint="eastAsia" w:ascii="仿宋_GB2312" w:hAnsi="宋体" w:eastAsia="宋体" w:cs="宋体"/>
      <w:kern w:val="0"/>
      <w:sz w:val="24"/>
      <w:szCs w:val="24"/>
      <w:lang w:val="en-US" w:eastAsia="zh-CN" w:bidi="ar"/>
    </w:rPr>
  </w:style>
  <w:style w:type="paragraph" w:styleId="8">
    <w:name w:val="toc 7"/>
    <w:basedOn w:val="1"/>
    <w:next w:val="1"/>
    <w:qFormat/>
    <w:uiPriority w:val="0"/>
    <w:pPr>
      <w:ind w:left="1260"/>
      <w:jc w:val="left"/>
    </w:pPr>
    <w:rPr>
      <w:sz w:val="20"/>
      <w:szCs w:val="20"/>
    </w:rPr>
  </w:style>
  <w:style w:type="paragraph" w:styleId="9">
    <w:name w:val="Document Map"/>
    <w:basedOn w:val="1"/>
    <w:autoRedefine/>
    <w:qFormat/>
    <w:uiPriority w:val="0"/>
    <w:pPr>
      <w:shd w:val="clear" w:color="auto" w:fill="000080"/>
    </w:pPr>
  </w:style>
  <w:style w:type="paragraph" w:styleId="10">
    <w:name w:val="toc 5"/>
    <w:basedOn w:val="1"/>
    <w:next w:val="1"/>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Plain Text"/>
    <w:basedOn w:val="1"/>
    <w:autoRedefine/>
    <w:qFormat/>
    <w:uiPriority w:val="0"/>
    <w:rPr>
      <w:rFonts w:ascii="宋体" w:hAnsi="Courier New" w:eastAsia="宋体" w:cs="Courier New"/>
      <w:sz w:val="21"/>
      <w:szCs w:val="21"/>
    </w:rPr>
  </w:style>
  <w:style w:type="paragraph" w:styleId="13">
    <w:name w:val="toc 8"/>
    <w:basedOn w:val="1"/>
    <w:next w:val="1"/>
    <w:autoRedefine/>
    <w:qFormat/>
    <w:uiPriority w:val="0"/>
    <w:pPr>
      <w:ind w:left="1470"/>
      <w:jc w:val="left"/>
    </w:pPr>
    <w:rPr>
      <w:sz w:val="20"/>
      <w:szCs w:val="20"/>
    </w:rPr>
  </w:style>
  <w:style w:type="paragraph" w:styleId="14">
    <w:name w:val="footer"/>
    <w:basedOn w:val="1"/>
    <w:link w:val="30"/>
    <w:qFormat/>
    <w:uiPriority w:val="0"/>
    <w:pPr>
      <w:tabs>
        <w:tab w:val="center" w:pos="4153"/>
        <w:tab w:val="right" w:pos="8306"/>
      </w:tabs>
      <w:snapToGrid w:val="0"/>
      <w:jc w:val="left"/>
    </w:pPr>
    <w:rPr>
      <w:sz w:val="18"/>
      <w:szCs w:val="18"/>
    </w:rPr>
  </w:style>
  <w:style w:type="paragraph" w:styleId="1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0"/>
    <w:pPr>
      <w:adjustRightInd w:val="0"/>
      <w:snapToGrid w:val="0"/>
      <w:spacing w:line="360" w:lineRule="auto"/>
      <w:jc w:val="left"/>
    </w:pPr>
    <w:rPr>
      <w:b/>
      <w:bCs/>
      <w:sz w:val="24"/>
      <w:szCs w:val="20"/>
    </w:rPr>
  </w:style>
  <w:style w:type="paragraph" w:styleId="17">
    <w:name w:val="toc 4"/>
    <w:basedOn w:val="1"/>
    <w:next w:val="1"/>
    <w:autoRedefine/>
    <w:qFormat/>
    <w:uiPriority w:val="0"/>
    <w:pPr>
      <w:ind w:left="630"/>
      <w:jc w:val="left"/>
    </w:pPr>
    <w:rPr>
      <w:sz w:val="20"/>
      <w:szCs w:val="20"/>
    </w:rPr>
  </w:style>
  <w:style w:type="paragraph" w:styleId="18">
    <w:name w:val="toc 6"/>
    <w:basedOn w:val="1"/>
    <w:next w:val="1"/>
    <w:qFormat/>
    <w:uiPriority w:val="0"/>
    <w:pPr>
      <w:ind w:left="1050"/>
      <w:jc w:val="left"/>
    </w:pPr>
    <w:rPr>
      <w:sz w:val="20"/>
      <w:szCs w:val="20"/>
    </w:rPr>
  </w:style>
  <w:style w:type="paragraph" w:styleId="19">
    <w:name w:val="toc 2"/>
    <w:basedOn w:val="1"/>
    <w:next w:val="1"/>
    <w:autoRedefine/>
    <w:qFormat/>
    <w:uiPriority w:val="0"/>
    <w:pPr>
      <w:adjustRightInd w:val="0"/>
      <w:snapToGrid w:val="0"/>
      <w:spacing w:line="360" w:lineRule="auto"/>
      <w:ind w:firstLine="200" w:firstLineChars="200"/>
      <w:jc w:val="left"/>
    </w:pPr>
    <w:rPr>
      <w:iCs/>
      <w:sz w:val="24"/>
      <w:szCs w:val="20"/>
    </w:rPr>
  </w:style>
  <w:style w:type="paragraph" w:styleId="20">
    <w:name w:val="toc 9"/>
    <w:basedOn w:val="1"/>
    <w:next w:val="1"/>
    <w:qFormat/>
    <w:uiPriority w:val="0"/>
    <w:pPr>
      <w:ind w:left="1680"/>
      <w:jc w:val="left"/>
    </w:pPr>
    <w:rPr>
      <w:sz w:val="20"/>
      <w:szCs w:val="20"/>
    </w:rPr>
  </w:style>
  <w:style w:type="paragraph" w:styleId="2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24">
    <w:name w:val="Strong"/>
    <w:basedOn w:val="23"/>
    <w:autoRedefine/>
    <w:qFormat/>
    <w:uiPriority w:val="0"/>
    <w:rPr>
      <w:b/>
    </w:rPr>
  </w:style>
  <w:style w:type="character" w:styleId="25">
    <w:name w:val="page number"/>
    <w:basedOn w:val="23"/>
    <w:qFormat/>
    <w:uiPriority w:val="0"/>
  </w:style>
  <w:style w:type="character" w:styleId="26">
    <w:name w:val="Hyperlink"/>
    <w:basedOn w:val="23"/>
    <w:autoRedefine/>
    <w:qFormat/>
    <w:uiPriority w:val="0"/>
    <w:rPr>
      <w:color w:val="0000FF"/>
      <w:u w:val="single"/>
    </w:rPr>
  </w:style>
  <w:style w:type="character" w:customStyle="1" w:styleId="27">
    <w:name w:val="标题 4 字符"/>
    <w:basedOn w:val="23"/>
    <w:link w:val="7"/>
    <w:autoRedefine/>
    <w:qFormat/>
    <w:uiPriority w:val="0"/>
    <w:rPr>
      <w:rFonts w:ascii="Cambria" w:hAnsi="Cambria"/>
      <w:b/>
      <w:bCs/>
      <w:kern w:val="2"/>
      <w:sz w:val="28"/>
      <w:szCs w:val="28"/>
    </w:rPr>
  </w:style>
  <w:style w:type="paragraph" w:styleId="28">
    <w:name w:val="No Spacing"/>
    <w:link w:val="29"/>
    <w:autoRedefine/>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9">
    <w:name w:val="无间隔 字符"/>
    <w:link w:val="28"/>
    <w:autoRedefine/>
    <w:qFormat/>
    <w:locked/>
    <w:uiPriority w:val="0"/>
    <w:rPr>
      <w:rFonts w:eastAsia="仿宋_GB2312"/>
      <w:sz w:val="30"/>
      <w:szCs w:val="22"/>
      <w:lang w:bidi="ar-SA"/>
    </w:rPr>
  </w:style>
  <w:style w:type="character" w:customStyle="1" w:styleId="30">
    <w:name w:val="页脚 字符"/>
    <w:basedOn w:val="23"/>
    <w:link w:val="14"/>
    <w:autoRedefine/>
    <w:qFormat/>
    <w:uiPriority w:val="0"/>
    <w:rPr>
      <w:kern w:val="2"/>
      <w:sz w:val="18"/>
      <w:szCs w:val="18"/>
    </w:rPr>
  </w:style>
  <w:style w:type="paragraph" w:styleId="31">
    <w:name w:val="List Paragraph"/>
    <w:basedOn w:val="1"/>
    <w:qFormat/>
    <w:uiPriority w:val="0"/>
    <w:pPr>
      <w:ind w:firstLine="420" w:firstLineChars="200"/>
    </w:pPr>
  </w:style>
  <w:style w:type="character" w:customStyle="1" w:styleId="32">
    <w:name w:val="标题 3 字符"/>
    <w:basedOn w:val="23"/>
    <w:link w:val="6"/>
    <w:autoRedefine/>
    <w:qFormat/>
    <w:uiPriority w:val="0"/>
    <w:rPr>
      <w:b/>
      <w:bCs/>
      <w:kern w:val="2"/>
      <w:sz w:val="32"/>
      <w:szCs w:val="32"/>
    </w:rPr>
  </w:style>
  <w:style w:type="paragraph" w:customStyle="1" w:styleId="33">
    <w:name w:val="p"/>
    <w:basedOn w:val="1"/>
    <w:autoRedefine/>
    <w:qFormat/>
    <w:uiPriority w:val="0"/>
  </w:style>
  <w:style w:type="paragraph" w:customStyle="1" w:styleId="34">
    <w:name w:val="MsoNormal"/>
    <w:basedOn w:val="1"/>
    <w:qFormat/>
    <w:uiPriority w:val="0"/>
  </w:style>
  <w:style w:type="table" w:customStyle="1" w:styleId="35">
    <w:name w:val="MsoNormalTable"/>
    <w:basedOn w:val="22"/>
    <w:autoRedefine/>
    <w:qFormat/>
    <w:uiPriority w:val="0"/>
  </w:style>
  <w:style w:type="paragraph" w:customStyle="1" w:styleId="36">
    <w:name w:val="15"/>
    <w:basedOn w:val="1"/>
    <w:autoRedefine/>
    <w:qFormat/>
    <w:uiPriority w:val="0"/>
  </w:style>
  <w:style w:type="table" w:customStyle="1" w:styleId="37">
    <w:name w:val="MsoNormalTable mce-item-table"/>
    <w:basedOn w:val="22"/>
    <w:autoRedefine/>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52</Pages>
  <Words>9987</Words>
  <Characters>12219</Characters>
  <Lines>1</Lines>
  <Paragraphs>1</Paragraphs>
  <TotalTime>22</TotalTime>
  <ScaleCrop>false</ScaleCrop>
  <LinksUpToDate>false</LinksUpToDate>
  <CharactersWithSpaces>13313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佳佳</cp:lastModifiedBy>
  <cp:lastPrinted>2021-04-16T00:45:00Z</cp:lastPrinted>
  <dcterms:modified xsi:type="dcterms:W3CDTF">2024-09-27T02:16:32Z</dcterms:modified>
  <dc:title>××年度××部门/单位</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01EF5D3EBDDC43DBA4708E093914F3A2_13</vt:lpwstr>
  </property>
</Properties>
</file>