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26158E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70" w:lineRule="exact"/>
        <w:jc w:val="center"/>
        <w:textAlignment w:val="auto"/>
        <w:rPr>
          <w:rFonts w:hint="default" w:ascii="Times New Roman" w:hAnsi="Times New Roman" w:eastAsia="黑体" w:cs="Times New Roman"/>
        </w:rPr>
      </w:pPr>
      <w:r>
        <w:rPr>
          <w:rFonts w:hint="default" w:ascii="Times New Roman" w:hAnsi="Times New Roman" w:cs="Times New Roman"/>
          <w:w w:val="90"/>
          <w:sz w:val="52"/>
          <w:szCs w:val="52"/>
          <w:lang w:eastAsia="zh-CN"/>
        </w:rPr>
        <w:t>茶</w:t>
      </w:r>
      <w:r>
        <w:rPr>
          <w:rFonts w:hint="default" w:ascii="Times New Roman" w:hAnsi="Times New Roman" w:cs="Times New Roman"/>
          <w:w w:val="90"/>
          <w:sz w:val="52"/>
          <w:szCs w:val="52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w w:val="90"/>
          <w:sz w:val="52"/>
          <w:szCs w:val="52"/>
          <w:lang w:eastAsia="zh-CN"/>
        </w:rPr>
        <w:t>地</w:t>
      </w:r>
      <w:r>
        <w:rPr>
          <w:rFonts w:hint="default" w:ascii="Times New Roman" w:hAnsi="Times New Roman" w:cs="Times New Roman"/>
          <w:w w:val="90"/>
          <w:sz w:val="52"/>
          <w:szCs w:val="52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w w:val="90"/>
          <w:sz w:val="52"/>
          <w:szCs w:val="52"/>
        </w:rPr>
        <w:t>镇</w:t>
      </w:r>
      <w:r>
        <w:rPr>
          <w:rFonts w:hint="default" w:ascii="Times New Roman" w:hAnsi="Times New Roman" w:cs="Times New Roman"/>
          <w:w w:val="90"/>
          <w:sz w:val="52"/>
          <w:szCs w:val="52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w w:val="90"/>
          <w:sz w:val="52"/>
          <w:szCs w:val="52"/>
          <w:lang w:eastAsia="zh-CN"/>
        </w:rPr>
        <w:t>竹</w:t>
      </w:r>
      <w:r>
        <w:rPr>
          <w:rFonts w:hint="default" w:ascii="Times New Roman" w:hAnsi="Times New Roman" w:cs="Times New Roman"/>
          <w:w w:val="90"/>
          <w:sz w:val="52"/>
          <w:szCs w:val="52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w w:val="90"/>
          <w:sz w:val="52"/>
          <w:szCs w:val="52"/>
          <w:lang w:eastAsia="zh-CN"/>
        </w:rPr>
        <w:t>马</w:t>
      </w:r>
      <w:r>
        <w:rPr>
          <w:rFonts w:hint="default" w:ascii="Times New Roman" w:hAnsi="Times New Roman" w:cs="Times New Roman"/>
          <w:w w:val="90"/>
          <w:sz w:val="52"/>
          <w:szCs w:val="52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w w:val="90"/>
          <w:sz w:val="52"/>
          <w:szCs w:val="52"/>
        </w:rPr>
        <w:t>村</w:t>
      </w:r>
      <w:r>
        <w:rPr>
          <w:rFonts w:hint="default" w:ascii="Times New Roman" w:hAnsi="Times New Roman" w:cs="Times New Roman"/>
          <w:w w:val="90"/>
          <w:sz w:val="52"/>
          <w:szCs w:val="52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w w:val="90"/>
          <w:sz w:val="52"/>
          <w:szCs w:val="52"/>
        </w:rPr>
        <w:t>党</w:t>
      </w:r>
      <w:r>
        <w:rPr>
          <w:rFonts w:hint="default" w:ascii="Times New Roman" w:hAnsi="Times New Roman" w:cs="Times New Roman"/>
          <w:w w:val="90"/>
          <w:sz w:val="52"/>
          <w:szCs w:val="52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w w:val="90"/>
          <w:sz w:val="52"/>
          <w:szCs w:val="52"/>
        </w:rPr>
        <w:t>支</w:t>
      </w:r>
      <w:r>
        <w:rPr>
          <w:rFonts w:hint="default" w:ascii="Times New Roman" w:hAnsi="Times New Roman" w:cs="Times New Roman"/>
          <w:w w:val="90"/>
          <w:sz w:val="52"/>
          <w:szCs w:val="52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w w:val="90"/>
          <w:sz w:val="52"/>
          <w:szCs w:val="52"/>
        </w:rPr>
        <w:t>部</w:t>
      </w:r>
      <w:r>
        <w:rPr>
          <w:rFonts w:hint="default" w:ascii="Times New Roman" w:hAnsi="Times New Roman" w:cs="Times New Roman"/>
          <w:w w:val="90"/>
          <w:sz w:val="52"/>
          <w:szCs w:val="52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w w:val="90"/>
          <w:sz w:val="52"/>
          <w:szCs w:val="52"/>
        </w:rPr>
        <w:t>文</w:t>
      </w:r>
      <w:r>
        <w:rPr>
          <w:rFonts w:hint="default" w:ascii="Times New Roman" w:hAnsi="Times New Roman" w:cs="Times New Roman"/>
          <w:w w:val="90"/>
          <w:sz w:val="52"/>
          <w:szCs w:val="52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w w:val="90"/>
          <w:sz w:val="52"/>
          <w:szCs w:val="52"/>
        </w:rPr>
        <w:t>件</w:t>
      </w:r>
    </w:p>
    <w:p w14:paraId="738E040B">
      <w:pPr>
        <w:keepNext w:val="0"/>
        <w:keepLines w:val="0"/>
        <w:pageBreakBefore w:val="0"/>
        <w:widowControl w:val="0"/>
        <w:pBdr>
          <w:top w:val="single" w:color="auto" w:sz="12" w:space="1"/>
        </w:pBdr>
        <w:kinsoku/>
        <w:overflowPunct/>
        <w:topLinePunct w:val="0"/>
        <w:autoSpaceDE/>
        <w:autoSpaceDN/>
        <w:bidi w:val="0"/>
        <w:adjustRightInd/>
        <w:snapToGrid/>
        <w:spacing w:line="570" w:lineRule="exact"/>
        <w:textAlignment w:val="auto"/>
        <w:rPr>
          <w:rFonts w:hint="default" w:ascii="Times New Roman" w:hAnsi="Times New Roman" w:cs="Times New Roman"/>
        </w:rPr>
      </w:pPr>
    </w:p>
    <w:p w14:paraId="1121F984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70" w:lineRule="exact"/>
        <w:ind w:left="18" w:hanging="17" w:hangingChars="4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lang w:eastAsia="zh-CN"/>
        </w:rPr>
        <w:t>茶地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镇</w:t>
      </w:r>
      <w:r>
        <w:rPr>
          <w:rFonts w:hint="default" w:ascii="Times New Roman" w:hAnsi="Times New Roman" w:eastAsia="方正小标宋简体" w:cs="Times New Roman"/>
          <w:sz w:val="44"/>
          <w:szCs w:val="44"/>
          <w:lang w:eastAsia="zh-CN"/>
        </w:rPr>
        <w:t>竹马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村党支部关于巡察反馈问题清单整改情况报告</w:t>
      </w:r>
    </w:p>
    <w:p w14:paraId="7E773A31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70" w:lineRule="exact"/>
        <w:ind w:firstLine="880" w:firstLineChars="200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</w:p>
    <w:p w14:paraId="25F61B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县委巡察反馈问题清单，指出了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个方面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共14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个问题，我村党支部针对反馈的问题制定整改措施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14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条，已完成整改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14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个问题，基本完成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个问题，未完成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个问题。现将整改落实情况报告如下：</w:t>
      </w:r>
    </w:p>
    <w:p w14:paraId="2202889F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left="0" w:leftChars="0" w:firstLine="643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</w:rPr>
        <w:t>1.关于宣传阵地建设管理存在漏洞的问题</w:t>
      </w:r>
    </w:p>
    <w:p w14:paraId="393CE4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b/>
          <w:sz w:val="32"/>
          <w:szCs w:val="32"/>
        </w:rPr>
        <w:t>反馈的问题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eastAsia="zh-CN"/>
        </w:rPr>
        <w:t>：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村级公共领域宣传栏管理不到位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。</w:t>
      </w:r>
    </w:p>
    <w:p w14:paraId="739140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</w:rPr>
        <w:t>整改情况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（已完成整改）：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对村级公共领域宣传栏逐处检查，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对宣传内容缺失、脱落问题进行清理整治。同时，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健全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日常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管理制度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，指定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村级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宣传委员负责宣传栏定期检查维护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修复脱落部分，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确保党的理论、政策宣传内容及时、完整，切实发挥宣传栏政策传递与思想引导作用。</w:t>
      </w:r>
    </w:p>
    <w:p w14:paraId="2609F5C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b/>
          <w:sz w:val="32"/>
          <w:szCs w:val="32"/>
        </w:rPr>
        <w:t>反馈的问题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eastAsia="zh-CN"/>
        </w:rPr>
        <w:t>：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村村响未做到物尽其用，部分村“两委”干部不会熟练使用村村响。</w:t>
      </w:r>
    </w:p>
    <w:p w14:paraId="4BF601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</w:rPr>
        <w:t>整改情况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（已完成整改）：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val="en-US" w:eastAsia="zh-CN"/>
        </w:rPr>
        <w:t>一是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于2025年9月12日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组织村“两委”干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部开展“村村响”操作培训，通过现场教学，确保每位村两委干部都能熟练操作。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二是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建立“村村响”日常管理机制，明确由当日值班人员负责播放，并指定专人管护，确保汛期、禁火令期间等特殊节点设备正常运行。</w:t>
      </w:r>
    </w:p>
    <w:p w14:paraId="4B54C58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  <w:lang w:val="en-US" w:eastAsia="zh-CN"/>
        </w:rPr>
        <w:t>（3）反馈的问题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eastAsia="zh-CN"/>
        </w:rPr>
        <w:t>：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新时代文明实践活动形式单一，群众参与度不高。</w:t>
      </w:r>
    </w:p>
    <w:p w14:paraId="7F507E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left="0" w:firstLine="643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</w:rPr>
        <w:t>整改情况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（已完成整改）：一是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广泛动员本村党员干部群众、青年团员、巾帼志愿者等群体，以现场宣讲、入户散发宣传单、文艺汇演、志愿帮扶服务等形式，常态化组织开展“文明实践+”宣传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普法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eastAsia="zh-CN"/>
        </w:rPr>
        <w:t>、帮扶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等内容丰富的新时代文明实践活动。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二是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加强与周边村联动，充分发挥本村木偶戏、汉剧等资源优势，结合翁基村烧架花等民俗活动，开展新时代文明实践活动。</w:t>
      </w:r>
    </w:p>
    <w:p w14:paraId="185BF13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left="630" w:leftChars="0"/>
        <w:textAlignment w:val="auto"/>
        <w:rPr>
          <w:rFonts w:hint="default" w:ascii="Times New Roman" w:hAnsi="Times New Roman" w:eastAsia="仿宋_GB2312" w:cs="Times New Roman"/>
          <w:b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  <w:lang w:val="en-US" w:eastAsia="zh-CN"/>
        </w:rPr>
        <w:t>（4）反馈的问题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eastAsia="zh-CN"/>
        </w:rPr>
        <w:t>：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图书未编码管理。</w:t>
      </w:r>
    </w:p>
    <w:p w14:paraId="4AFD66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</w:rPr>
        <w:t>整改情况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（已完成整改）：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指定专人负责图书管理，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对300余本图书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按类别编号放置方便管理、借阅，并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制定借阅登记制度，制作借阅登记本，避免图书丢失。</w:t>
      </w:r>
    </w:p>
    <w:p w14:paraId="64625BA8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left="0" w:leftChars="0" w:firstLine="643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b/>
          <w:sz w:val="32"/>
          <w:szCs w:val="32"/>
        </w:rPr>
        <w:t>.关于党内政治生活不严肃的问题</w:t>
      </w:r>
    </w:p>
    <w:p w14:paraId="1BBDA89E"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b/>
          <w:sz w:val="32"/>
          <w:szCs w:val="32"/>
        </w:rPr>
        <w:t>反馈的问题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eastAsia="zh-CN"/>
        </w:rPr>
        <w:t>：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eastAsia="zh-CN"/>
        </w:rPr>
        <w:t>2020-2022年无开展主题党日活动记录，2023年未记录参加人数，2020-2022年无支部书记上党课记录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。</w:t>
      </w:r>
    </w:p>
    <w:p w14:paraId="01A08B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</w:rPr>
        <w:t>整改情况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（已完成整改）：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坚持举一反三，切实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规范“三会一课”记录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指定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专人负责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活动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记录，详细记载活动内容、参加人员、讨论交流情况等，活动结束后及时整理归档。</w:t>
      </w:r>
      <w:r>
        <w:rPr>
          <w:rFonts w:hint="default" w:ascii="Times New Roman" w:hAnsi="Times New Roman" w:eastAsia="仿宋_GB2312" w:cs="Times New Roman"/>
          <w:b w:val="0"/>
          <w:bCs/>
          <w:kern w:val="2"/>
          <w:sz w:val="32"/>
          <w:szCs w:val="32"/>
          <w:lang w:val="en-US" w:eastAsia="zh-CN" w:bidi="ar-SA"/>
        </w:rPr>
        <w:t>2024年至今开展的主题党日活动、党课记录均较为完整。</w:t>
      </w:r>
    </w:p>
    <w:p w14:paraId="6722ED0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b/>
          <w:sz w:val="32"/>
          <w:szCs w:val="32"/>
        </w:rPr>
        <w:t>反馈的问题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eastAsia="zh-CN"/>
        </w:rPr>
        <w:t>：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2020年度无开展组织生活会会议记录，主题教育期间未按要求开展集中交流研讨。</w:t>
      </w:r>
    </w:p>
    <w:p w14:paraId="550B14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  <w:lang w:val="en-US" w:eastAsia="zh-CN"/>
        </w:rPr>
        <w:t>整改情况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（已完成整改）：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规范组织生活会会议记录，严格按照要求组织集中交流研讨，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于2025年6月26日开展党内政治生活制度培训会，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明确要求党员充分准备发言材料，在研讨过程中积极交流思想、分享体会，并做好研讨记录。</w:t>
      </w:r>
    </w:p>
    <w:p w14:paraId="14F1D8D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  <w:lang w:val="en-US" w:eastAsia="zh-CN"/>
        </w:rPr>
        <w:t>（7）反馈的问题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eastAsia="zh-CN"/>
        </w:rPr>
        <w:t>：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理论学习不到位。</w:t>
      </w:r>
    </w:p>
    <w:p w14:paraId="7D5CCBB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  <w:lang w:val="en-US" w:eastAsia="zh-CN"/>
        </w:rPr>
        <w:t>整改情况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（已完成整改）：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val="en-US" w:eastAsia="zh-CN"/>
        </w:rPr>
        <w:t>一是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修改2022年抓基层党建述职报告，删除错误表述。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val="en-US" w:eastAsia="zh-CN"/>
        </w:rPr>
        <w:t>二是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严肃党员干部理论学习，建立报告审核机制，确保表述准确。</w:t>
      </w:r>
    </w:p>
    <w:p w14:paraId="25E79149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left="0" w:leftChars="0" w:firstLine="643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b/>
          <w:sz w:val="32"/>
          <w:szCs w:val="32"/>
        </w:rPr>
        <w:t>.关于发展党员工作不规范的问题</w:t>
      </w:r>
    </w:p>
    <w:p w14:paraId="6DA090DC"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val="en-US" w:eastAsia="zh-CN"/>
        </w:rPr>
        <w:t>8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b/>
          <w:sz w:val="32"/>
          <w:szCs w:val="32"/>
        </w:rPr>
        <w:t>反馈的问题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eastAsia="zh-CN"/>
        </w:rPr>
        <w:t>：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对入党材料审核把关不严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。</w:t>
      </w:r>
    </w:p>
    <w:p w14:paraId="096887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</w:rPr>
        <w:t>整改情况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（已完成整改）：</w:t>
      </w:r>
      <w:r>
        <w:rPr>
          <w:rFonts w:hint="default" w:ascii="Times New Roman" w:hAnsi="Times New Roman" w:eastAsia="仿宋_GB2312" w:cs="Times New Roman"/>
          <w:b/>
          <w:sz w:val="32"/>
          <w:szCs w:val="32"/>
        </w:rPr>
        <w:t>一是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材料审核整改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对现有入党积极分子和预备党员的考察表等材料进行全面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复核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，查漏补缺，纠正理论学习内容表述。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eastAsia="zh-CN"/>
        </w:rPr>
        <w:t>二是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建立入党材料审核机制，对新提交的入党材料进行严格审核，确保材料规范、完整。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val="en-US" w:eastAsia="zh-CN"/>
        </w:rPr>
        <w:t>三是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highlight w:val="none"/>
        </w:rPr>
        <w:t>组织开展发展党员业务培训，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eastAsia="zh-CN"/>
        </w:rPr>
        <w:t>重新学习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会议记录规范要求，确保今后发展党员程序严谨、记录完整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。在讨论确定胡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某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同志为发展对象的会议中，严格落实支委逐一发言和支部书记末位表态制度。</w:t>
      </w:r>
    </w:p>
    <w:p w14:paraId="00614ECA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left="0" w:leftChars="0" w:firstLine="643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b/>
          <w:sz w:val="32"/>
          <w:szCs w:val="32"/>
        </w:rPr>
        <w:t>.关于村集体经济缺乏“造血”功能的问题</w:t>
      </w:r>
    </w:p>
    <w:p w14:paraId="33CC84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val="en-US" w:eastAsia="zh-CN"/>
        </w:rPr>
        <w:t>9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b/>
          <w:sz w:val="32"/>
          <w:szCs w:val="32"/>
        </w:rPr>
        <w:t>反馈的问题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eastAsia="zh-CN"/>
        </w:rPr>
        <w:t>：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村级集体经济收入薄弱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。</w:t>
      </w:r>
    </w:p>
    <w:p w14:paraId="2D1C13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  <w:lang w:val="en-US" w:eastAsia="zh-CN"/>
        </w:rPr>
        <w:t>整改情况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（已完成整改）：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全面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摸清村级产业基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础和发展优势，梳理租赁合同，大力发展香菇种植，动员扩大食用菌种植规模，积极谋划扩大香菇销售渠道和深加工产业，提高产品附加值，增加村级集体经济收入。2025年8月15日，竹马村被认定为2025年市级“一村一品”专业村。</w:t>
      </w:r>
    </w:p>
    <w:p w14:paraId="4E33450E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left="0" w:leftChars="0" w:firstLine="643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b/>
          <w:sz w:val="32"/>
          <w:szCs w:val="32"/>
        </w:rPr>
        <w:t>.关于财经制度执行不严格的问题</w:t>
      </w:r>
    </w:p>
    <w:p w14:paraId="5DC9724B"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val="en-US" w:eastAsia="zh-CN"/>
        </w:rPr>
        <w:t>10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b/>
          <w:sz w:val="32"/>
          <w:szCs w:val="32"/>
        </w:rPr>
        <w:t>反馈的问题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eastAsia="zh-CN"/>
        </w:rPr>
        <w:t>：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巡察期间无法提供完整财务资料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。</w:t>
      </w:r>
    </w:p>
    <w:p w14:paraId="7E4C83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</w:rPr>
        <w:t>整改情况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（已完成整改）：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eastAsia="zh-CN"/>
        </w:rPr>
        <w:t>一是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严格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执行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财务资料保管制度，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建立规范的财务档案，组织村干部到财政所学习相关财务档案管理业务。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eastAsia="zh-CN"/>
        </w:rPr>
        <w:t>二是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按年度认真梳理、打印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总账、明细账、资产负债表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，确保账目清晰、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eastAsia="zh-CN"/>
        </w:rPr>
        <w:t>财务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资料完整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eastAsia="zh-CN"/>
        </w:rPr>
        <w:t>。</w:t>
      </w:r>
    </w:p>
    <w:p w14:paraId="388D8AD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val="en-US" w:eastAsia="zh-CN"/>
        </w:rPr>
        <w:t>11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b/>
          <w:sz w:val="32"/>
          <w:szCs w:val="32"/>
        </w:rPr>
        <w:t>反馈的问题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eastAsia="zh-CN"/>
        </w:rPr>
        <w:t>：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未登记银行日记账、部分凭证中原始凭证入账不完整，未附银行回单。</w:t>
      </w:r>
    </w:p>
    <w:p w14:paraId="3DA911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  <w:lang w:val="en-US" w:eastAsia="zh-CN"/>
        </w:rPr>
        <w:t>整改情况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（已完成整改）：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val="en-US" w:eastAsia="zh-CN"/>
        </w:rPr>
        <w:t>一是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对银行日记账进行全面清查补登，确保账目准确。</w:t>
      </w:r>
      <w:r>
        <w:rPr>
          <w:rFonts w:hint="default" w:ascii="Times New Roman" w:hAnsi="Times New Roman" w:eastAsia="仿宋_GB2312" w:cs="Times New Roman"/>
          <w:b/>
          <w:bCs/>
          <w:kern w:val="2"/>
          <w:sz w:val="32"/>
          <w:szCs w:val="32"/>
          <w:lang w:val="en-US" w:eastAsia="zh-CN" w:bidi="ar-SA"/>
        </w:rPr>
        <w:t>二是</w:t>
      </w:r>
      <w:r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 w:bidi="ar-SA"/>
        </w:rPr>
        <w:t>梳理2025年以来账目，及时、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完整登记银行日记账，确保凭证入账完整，并附齐银行回单等相关凭证。</w:t>
      </w:r>
    </w:p>
    <w:p w14:paraId="03C70D4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  <w:lang w:val="en-US" w:eastAsia="zh-CN"/>
        </w:rPr>
        <w:t>（12）反馈的问题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eastAsia="zh-CN"/>
        </w:rPr>
        <w:t>：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往来款长期挂账未处理。</w:t>
      </w:r>
    </w:p>
    <w:p w14:paraId="52105E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  <w:lang w:val="en-US" w:eastAsia="zh-CN"/>
        </w:rPr>
        <w:t>整改情况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（已完成整改）：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val="en-US" w:eastAsia="zh-CN"/>
        </w:rPr>
        <w:t>一是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对长期挂账的往来款项进行逐一梳理，分类制定有针对性的整改清理措施，对暂无法处理的挂账问题建立台账，有计划地逐年清理。</w:t>
      </w:r>
      <w:r>
        <w:rPr>
          <w:rFonts w:hint="default" w:ascii="Times New Roman" w:hAnsi="Times New Roman" w:eastAsia="仿宋_GB2312" w:cs="Times New Roman"/>
          <w:b/>
          <w:bCs w:val="0"/>
          <w:sz w:val="32"/>
          <w:szCs w:val="32"/>
          <w:lang w:val="en-US" w:eastAsia="zh-CN"/>
        </w:rPr>
        <w:t>二是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积极争取上级经济政策支持，避免新增挂账问题，及时对往来款项进行销号。</w:t>
      </w:r>
    </w:p>
    <w:p w14:paraId="0574ABC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  <w:lang w:val="en-US" w:eastAsia="zh-CN"/>
        </w:rPr>
        <w:t>（13）反馈的问题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eastAsia="zh-CN"/>
        </w:rPr>
        <w:t>：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审核把关不严谨。</w:t>
      </w:r>
    </w:p>
    <w:p w14:paraId="28E4EC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  <w:lang w:val="en-US" w:eastAsia="zh-CN"/>
        </w:rPr>
        <w:t>整改情况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（已完成整改）：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一是</w:t>
      </w:r>
      <w:r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 w:bidi="ar-SA"/>
        </w:rPr>
        <w:t>全数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追</w:t>
      </w:r>
      <w:r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 w:bidi="ar-SA"/>
        </w:rPr>
        <w:t>回2022年违规发放给7名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选举委员会成员</w:t>
      </w:r>
      <w:r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 w:bidi="ar-SA"/>
        </w:rPr>
        <w:t>的误工补贴共计1400元。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二是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加强对财务工作的监督与管理，严格津补贴发放审核，对各项津补贴支出进行严格审核，坚决杜绝违规发放误工补贴。</w:t>
      </w:r>
    </w:p>
    <w:p w14:paraId="33B6397C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left="0" w:leftChars="0" w:firstLine="643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b/>
          <w:sz w:val="32"/>
          <w:szCs w:val="32"/>
        </w:rPr>
        <w:t>.关于工程建设项目管理不规范，存在廉政风险的问题</w:t>
      </w:r>
    </w:p>
    <w:p w14:paraId="7DC5A7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val="en-US" w:eastAsia="zh-CN"/>
        </w:rPr>
        <w:t>14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b/>
          <w:sz w:val="32"/>
          <w:szCs w:val="32"/>
        </w:rPr>
        <w:t>反馈的问题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eastAsia="zh-CN"/>
        </w:rPr>
        <w:t>：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存在工程发包给无资质人个人实施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。</w:t>
      </w:r>
    </w:p>
    <w:p w14:paraId="33D1A497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7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  <w:lang w:val="en-US" w:eastAsia="zh-CN"/>
        </w:rPr>
        <w:t>整改情况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（已完成整改）：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eastAsia="zh-CN"/>
        </w:rPr>
        <w:t>一是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认真对照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2020年竹马村公共厕所建设工程合同条款、验收材料，走访调查工程逾期原因，梳理前因后果和法律事实，并就逾期原因补充书面说明。经核查，该工程因竹马村提供地块有纠纷导致重新选址开工，从而耽误了工期，按合同中关于工期延误的相关条款约定，可以顺延工期，无需按违约条款扣款。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eastAsia="zh-CN"/>
        </w:rPr>
        <w:t>二是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eastAsia="zh-CN"/>
        </w:rPr>
        <w:t>由工程主管部门、包村工作队等人员组成联合组，现场对照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竹马村2022年护岸工程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eastAsia="zh-CN"/>
        </w:rPr>
        <w:t>施工图纸、合同清单、签证单、验收记录等资料，逐项复核工程量，明确虚增的具体部位、数量及涉及金额，形成虚增工程量核查清单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项目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  <w:t>工程款已追回并对相关人员予以处理</w:t>
      </w:r>
      <w:r>
        <w:rPr>
          <w:rFonts w:hint="default" w:ascii="Times New Roman" w:hAnsi="Times New Roman" w:eastAsia="仿宋_GB2312" w:cs="Times New Roman"/>
          <w:bCs/>
          <w:sz w:val="32"/>
          <w:szCs w:val="32"/>
        </w:rPr>
        <w:t>。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eastAsia="zh-CN"/>
        </w:rPr>
        <w:t>三是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对建设工程明确分项工程的计量方，实行“计量-签证-验收”三级复核制，即施工单位申报后，监理单位现场实测并签字确认，建设单位派驻工程师复核，关键分项需留存影像记录，验收时邀请第三方机构参与，确保数据客观准确。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eastAsia="zh-CN"/>
        </w:rPr>
        <w:t>在施工合同中增设“虚增工程量追责条款”，增加施工方违约成本，确保工程保质保量完成。</w:t>
      </w:r>
    </w:p>
    <w:p w14:paraId="08874B2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570" w:lineRule="exact"/>
        <w:textAlignment w:val="auto"/>
        <w:rPr>
          <w:rFonts w:hint="default" w:ascii="Times New Roman" w:hAnsi="Times New Roman" w:eastAsia="仿宋_GB2312" w:cs="Times New Roman"/>
          <w:b/>
          <w:sz w:val="32"/>
          <w:szCs w:val="32"/>
          <w:lang w:val="en-US" w:eastAsia="zh-CN"/>
        </w:rPr>
      </w:pPr>
    </w:p>
    <w:p w14:paraId="0A40AC7C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70" w:lineRule="exact"/>
        <w:textAlignment w:val="auto"/>
        <w:rPr>
          <w:rFonts w:hint="default" w:ascii="Times New Roman" w:hAnsi="Times New Roman" w:eastAsia="仿宋_GB2312" w:cs="Times New Roman"/>
          <w:b/>
          <w:sz w:val="32"/>
          <w:szCs w:val="32"/>
        </w:rPr>
      </w:pPr>
    </w:p>
    <w:p w14:paraId="48EF2F80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70" w:lineRule="exact"/>
        <w:ind w:firstLine="4000" w:firstLineChars="1250"/>
        <w:jc w:val="righ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茶地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镇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竹马村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党支部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  </w:t>
      </w:r>
    </w:p>
    <w:p w14:paraId="02C8F94A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70" w:lineRule="exact"/>
        <w:jc w:val="righ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2025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9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12日    </w:t>
      </w:r>
    </w:p>
    <w:p w14:paraId="4DCBE8E2">
      <w:bookmarkStart w:id="0" w:name="_GoBack"/>
      <w:bookmarkEnd w:id="0"/>
    </w:p>
    <w:sectPr>
      <w:footerReference r:id="rId3" w:type="default"/>
      <w:pgSz w:w="11906" w:h="16838"/>
      <w:pgMar w:top="1928" w:right="1474" w:bottom="1701" w:left="1588" w:header="851" w:footer="992" w:gutter="113"/>
      <w:pgNumType w:fmt="decimal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C43868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12BDD52D">
                          <w:pPr>
                            <w:pStyle w:val="2"/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10G3Y3AgAAb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d0tK4+VP0F&#10;TKFlYat3lsc0USpvV8cAaTvFo0C9KuhU3GAOu54NbyYO+p/7LurxP7H8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C9dBt2NwIAAG8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2BDD52D">
                    <w:pPr>
                      <w:pStyle w:val="2"/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4026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2026-01-08T13:54:53Z</dcterms:created>
  <dc:creator>Lenovo</dc:creator>
  <cp:lastModifiedBy>佳佳</cp:lastModifiedBy>
  <dcterms:modified xsi:type="dcterms:W3CDTF">2026-01-08T13:54:57Z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eyJoZGlkIjoiOWQ2ZWExMDIwMTAyNTlkY2I3MDQ0MGE2NzkwYzQ5NGQiLCJ1c2VySWQiOiIyNDUyNzQ3MjQifQ==</vt:lpwstr>
  </property>
  <property fmtid="{D5CDD505-2E9C-101B-9397-08002B2CF9AE}" pid="4" name="ICV">
    <vt:lpwstr>F06302B190C7484580E7A83B0EA9DE70_12</vt:lpwstr>
  </property>
</Properties>
</file>