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sz w:val="32"/>
          <w:szCs w:val="32"/>
        </w:rPr>
      </w:pPr>
      <w:bookmarkStart w:id="0" w:name="_GoBack"/>
      <w:bookmarkEnd w:id="0"/>
      <w:r>
        <w:rPr>
          <w:rFonts w:hint="eastAsia"/>
          <w:sz w:val="32"/>
          <w:szCs w:val="32"/>
        </w:rPr>
        <w:t>附件2：</w:t>
      </w:r>
    </w:p>
    <w:p>
      <w:pPr>
        <w:widowControl/>
        <w:rPr>
          <w:sz w:val="32"/>
          <w:szCs w:val="32"/>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2021年度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福建省上杭县商务局预算</w:t>
      </w:r>
    </w:p>
    <w:p>
      <w:pPr>
        <w:widowControl/>
        <w:rPr>
          <w:sz w:val="84"/>
          <w:szCs w:val="84"/>
        </w:rPr>
      </w:pPr>
      <w:r>
        <w:rPr>
          <w:sz w:val="84"/>
          <w:szCs w:val="84"/>
        </w:rPr>
        <w:br w:type="page"/>
      </w:r>
    </w:p>
    <w:p>
      <w:pPr>
        <w:pStyle w:val="3"/>
        <w:jc w:val="center"/>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目  录</w:t>
      </w:r>
    </w:p>
    <w:p>
      <w:pPr>
        <w:pStyle w:val="3"/>
        <w:rPr>
          <w:rFonts w:asciiTheme="majorEastAsia" w:hAnsiTheme="majorEastAsia" w:eastAsiaTheme="majorEastAsia"/>
          <w:sz w:val="36"/>
          <w:lang w:eastAsia="zh-CN"/>
        </w:rPr>
      </w:pPr>
    </w:p>
    <w:p>
      <w:pPr>
        <w:pStyle w:val="3"/>
        <w:rPr>
          <w:rFonts w:asciiTheme="majorEastAsia" w:hAnsiTheme="majorEastAsia" w:eastAsiaTheme="majorEastAsia"/>
          <w:b w:val="0"/>
          <w:bCs/>
          <w:sz w:val="36"/>
          <w:lang w:eastAsia="zh-CN"/>
        </w:rPr>
      </w:pPr>
      <w:r>
        <w:rPr>
          <w:rFonts w:hint="eastAsia" w:asciiTheme="majorEastAsia" w:hAnsiTheme="majorEastAsia" w:eastAsiaTheme="majorEastAsia"/>
          <w:b/>
          <w:sz w:val="36"/>
          <w:lang w:eastAsia="zh-CN"/>
        </w:rPr>
        <w:t>第一部分 部门概况</w:t>
      </w:r>
      <w:r>
        <w:rPr>
          <w:rFonts w:asciiTheme="majorEastAsia" w:hAnsiTheme="majorEastAsia" w:eastAsiaTheme="majorEastAsia"/>
          <w:b/>
          <w:sz w:val="36"/>
          <w:lang w:eastAsia="zh-CN"/>
        </w:rPr>
        <w:t>…………………………………</w:t>
      </w:r>
      <w:r>
        <w:rPr>
          <w:rFonts w:hint="eastAsia" w:asciiTheme="majorEastAsia" w:hAnsiTheme="majorEastAsia" w:eastAsiaTheme="majorEastAsia"/>
          <w:b w:val="0"/>
          <w:bCs/>
          <w:sz w:val="36"/>
          <w:lang w:eastAsia="zh-CN"/>
        </w:rPr>
        <w:t>4</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一、部门主要职责</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4</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二、部门预算单位构成</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7</w:t>
      </w:r>
    </w:p>
    <w:p>
      <w:pPr>
        <w:pStyle w:val="3"/>
        <w:rPr>
          <w:rFonts w:asciiTheme="majorEastAsia" w:hAnsiTheme="majorEastAsia" w:eastAsiaTheme="majorEastAsia"/>
          <w:b/>
          <w:sz w:val="36"/>
          <w:lang w:eastAsia="zh-CN"/>
        </w:rPr>
      </w:pPr>
      <w:r>
        <w:rPr>
          <w:rFonts w:hint="eastAsia" w:asciiTheme="majorEastAsia" w:hAnsiTheme="majorEastAsia" w:eastAsiaTheme="majorEastAsia"/>
          <w:sz w:val="36"/>
          <w:lang w:eastAsia="zh-CN"/>
        </w:rPr>
        <w:t>三、部门主要工作任务</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8</w:t>
      </w:r>
      <w:r>
        <w:rPr>
          <w:rFonts w:hint="eastAsia" w:asciiTheme="majorEastAsia" w:hAnsiTheme="majorEastAsia" w:eastAsiaTheme="majorEastAsia"/>
          <w:b/>
          <w:sz w:val="36"/>
          <w:lang w:eastAsia="zh-CN"/>
        </w:rPr>
        <w:t xml:space="preserve">第二部分 </w:t>
      </w:r>
      <w:r>
        <w:rPr>
          <w:rFonts w:hint="eastAsia" w:ascii="仿宋" w:hAnsi="仿宋" w:eastAsia="仿宋" w:cs="仿宋_GB2312"/>
          <w:sz w:val="32"/>
          <w:szCs w:val="32"/>
          <w:lang w:eastAsia="zh-CN"/>
        </w:rPr>
        <w:t>2021</w:t>
      </w:r>
      <w:r>
        <w:rPr>
          <w:rFonts w:hint="eastAsia" w:asciiTheme="majorEastAsia" w:hAnsiTheme="majorEastAsia" w:eastAsiaTheme="majorEastAsia"/>
          <w:b/>
          <w:sz w:val="36"/>
          <w:lang w:eastAsia="zh-CN"/>
        </w:rPr>
        <w:t>年度部门预算表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10</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11</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二、收入预算总表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11</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三、支出预算总表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12四、财政拨款收支预算总表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12</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五、一般公共预算拨款支出预算表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13</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六、政府性基金拨款支出预算表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13</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七、一般公共预算支出经济分类情况表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14</w:t>
      </w:r>
    </w:p>
    <w:p>
      <w:pPr>
        <w:pStyle w:val="3"/>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八、一般公共预算基本支出经济分类情况表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14九、一般公共预算“三公”经费支出预算表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18</w:t>
      </w:r>
    </w:p>
    <w:p>
      <w:pPr>
        <w:widowControl/>
        <w:rPr>
          <w:rFonts w:asciiTheme="majorEastAsia" w:hAnsiTheme="majorEastAsia" w:eastAsiaTheme="majorEastAsia"/>
          <w:b/>
          <w:sz w:val="40"/>
        </w:rPr>
      </w:pPr>
      <w:r>
        <w:rPr>
          <w:rFonts w:hint="eastAsia" w:asciiTheme="majorEastAsia" w:hAnsiTheme="majorEastAsia" w:eastAsiaTheme="majorEastAsia"/>
          <w:b/>
          <w:sz w:val="40"/>
        </w:rPr>
        <w:t xml:space="preserve">第三部分 </w:t>
      </w:r>
      <w:r>
        <w:rPr>
          <w:rFonts w:hint="eastAsia" w:ascii="仿宋" w:hAnsi="仿宋" w:eastAsia="仿宋" w:cs="仿宋_GB2312"/>
          <w:kern w:val="0"/>
          <w:sz w:val="32"/>
          <w:szCs w:val="32"/>
        </w:rPr>
        <w:t>2021</w:t>
      </w:r>
      <w:r>
        <w:rPr>
          <w:rFonts w:hint="eastAsia" w:asciiTheme="majorEastAsia" w:hAnsiTheme="majorEastAsia" w:eastAsiaTheme="majorEastAsia"/>
          <w:b/>
          <w:sz w:val="40"/>
        </w:rPr>
        <w:t>年度部门预算情况说明</w:t>
      </w:r>
      <w:r>
        <w:rPr>
          <w:rFonts w:asciiTheme="majorEastAsia" w:hAnsiTheme="majorEastAsia" w:eastAsiaTheme="majorEastAsia"/>
          <w:sz w:val="36"/>
        </w:rPr>
        <w:t>…………</w:t>
      </w:r>
      <w:r>
        <w:rPr>
          <w:rFonts w:hint="eastAsia" w:asciiTheme="majorEastAsia" w:hAnsiTheme="majorEastAsia" w:eastAsiaTheme="majorEastAsia"/>
          <w:sz w:val="36"/>
        </w:rPr>
        <w:t>18</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一、预算收支总体情况</w:t>
      </w:r>
      <w:r>
        <w:rPr>
          <w:rFonts w:asciiTheme="majorEastAsia" w:hAnsiTheme="majorEastAsia" w:eastAsiaTheme="majorEastAsia"/>
          <w:sz w:val="36"/>
        </w:rPr>
        <w:t>………………………………</w:t>
      </w:r>
      <w:r>
        <w:rPr>
          <w:rFonts w:hint="eastAsia" w:asciiTheme="majorEastAsia" w:hAnsiTheme="majorEastAsia" w:eastAsiaTheme="majorEastAsia"/>
          <w:sz w:val="36"/>
        </w:rPr>
        <w:t>18</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二、一般公共预算拨款支出情况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19</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三、政府性基金预算拨款支出情况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19</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四、财政拨款预算基本支出情况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20</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五、一般公共预算“三公”经费支出情况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20</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六、预算绩效目标情况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21</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七、其他重要事项说明</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25</w:t>
      </w:r>
    </w:p>
    <w:p>
      <w:pPr>
        <w:pStyle w:val="3"/>
        <w:spacing w:before="3"/>
        <w:rPr>
          <w:rFonts w:eastAsiaTheme="minorEastAsia"/>
          <w:sz w:val="26"/>
          <w:lang w:eastAsia="zh-CN"/>
        </w:rPr>
      </w:pPr>
      <w:r>
        <w:rPr>
          <w:rFonts w:hint="eastAsia" w:asciiTheme="majorEastAsia" w:hAnsiTheme="majorEastAsia" w:eastAsiaTheme="majorEastAsia"/>
          <w:b/>
          <w:sz w:val="40"/>
          <w:lang w:eastAsia="zh-CN"/>
        </w:rPr>
        <w:t>第四部分 名词解释</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26</w:t>
      </w:r>
    </w:p>
    <w:p>
      <w:pPr>
        <w:widowControl/>
      </w:pPr>
      <w:r>
        <w:tab/>
      </w:r>
    </w:p>
    <w:p>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pPr>
        <w:pStyle w:val="3"/>
        <w:jc w:val="center"/>
        <w:rPr>
          <w:rFonts w:ascii="黑体" w:hAnsi="黑体" w:eastAsia="黑体"/>
          <w:sz w:val="36"/>
          <w:szCs w:val="36"/>
          <w:lang w:eastAsia="zh-CN"/>
        </w:rPr>
      </w:pPr>
      <w:r>
        <w:rPr>
          <w:rFonts w:hint="eastAsia" w:ascii="黑体" w:hAnsi="黑体" w:eastAsia="黑体"/>
          <w:sz w:val="36"/>
          <w:szCs w:val="36"/>
          <w:lang w:eastAsia="zh-CN"/>
        </w:rPr>
        <w:t>第一部分 部门概况</w:t>
      </w:r>
    </w:p>
    <w:p>
      <w:pPr>
        <w:pStyle w:val="3"/>
        <w:rPr>
          <w:rFonts w:ascii="黑体" w:hAnsi="黑体" w:eastAsia="黑体"/>
          <w:sz w:val="36"/>
          <w:szCs w:val="36"/>
          <w:lang w:eastAsia="zh-CN"/>
        </w:rPr>
      </w:pPr>
    </w:p>
    <w:p>
      <w:pPr>
        <w:pStyle w:val="3"/>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一、部门主要职责</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根据《关于印发上杭县商务局主要职责内设机构和人员编制规定的通知》（杭政办〔2015〕143号），我单位的主要职责是： </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贯彻执行国家、省、市关于商务领域改革发展的方针政策、法律法规；组织拟订全县商务领域发展规划、政策并组织实施；统筹协调商务领域改革，监测分析商务运行状况，研究商务体制和商务运行中的重大问题并提出建议。</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（二）负责流通行业管理、促进工作，拟订流通业发展规划，推进流通体制改革、流通产业结构调整；推动流通标准化和连锁经营、商业特许经营、物流配送、电子商务等现代流通方式的发</w:t>
      </w:r>
      <w:r>
        <w:rPr>
          <w:rFonts w:ascii="Times New Roman" w:hAnsi="Times New Roman" w:eastAsia="仿宋" w:cs="Times New Roman"/>
          <w:sz w:val="32"/>
          <w:szCs w:val="32"/>
        </w:rPr>
        <w:t>展；按规定对拍卖、旧货流通、再生资源流通、汽车（新车、二</w:t>
      </w:r>
      <w:r>
        <w:rPr>
          <w:rFonts w:ascii="Times New Roman" w:hAnsi="Times New Roman" w:eastAsia="仿宋_GB2312" w:cs="Times New Roman"/>
          <w:color w:val="000000"/>
          <w:sz w:val="32"/>
          <w:szCs w:val="32"/>
        </w:rPr>
        <w:t>手车）流通、原油成品油流通以及酒类流通、药品流通等特殊流通领域的行业管理；指导工业品流通服务体系建设、流通行业科技进步等工作。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三）负责研究提出引导国内外资金投向市场体系建设的政策措施，促进城乡市场发展；参与协调大宗产品批发市场规划和城市商业网点规划、商业体系建设工作；促进农村市场体系建设和改造升级，组织实施农村现代流通网络工程。</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四）负责商品市场运行调控，建立健全生活必需品市场供应应急管理机制；监测分析市场运行、商品供求状况；按规定负责重要消费品储备管理、市场调控和重要生产资料流通管理工作；负责城市副食品基地建设。</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五）负责组织开展商务领域综合行政执法；牵头协调整顿和规范市场经济秩序工作，打击侵权和假冒伪劣商品；拟订规范市场运行、流通秩序的政策；推动商贸行业文明建设和商务领域信用建设，指导商业信用销售，建立市场诚信公共服务平台；对直销进行监督管理。</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（六）拟订并组织实施我县电子商务发展规划和促进政策，建立适应电子商务发展的管理体制；推动电子商务示范体系建设，建立电子商务公共服务体系和信用体系，拓展电子商务应用。</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七）执行进出口商品、加工贸易管理办法和进出口商品、技术目录、进出口商品配额招标政策；拟订促进外贸发展方式转变的政策措施；负责国家、省、市下达的重要工业品、原材料及重要农产品进出口计划的实施；指导、协调全县各类进出口企业的进出口业务和加工贸易业；推进出口品牌和出口基地建设，指导贸易促进活动和外贸促进体系建设。</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八）执行对外技术贸易、进出口管制以及鼓励技术和成套设备出口的政策，推进进出口贸易标准化工作，依法监督技术引进、设备进口、国家限制出口技术工作；牵头拟订全县服务贸易发展规划，会同有关部门制定促进服务出口和服务外包发展的政策措施并组织实施，推动服务外包平台建设；负责商贸服务业（含餐饮业、住宿业及有关生活服务业）和会展业管理促进工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（九）组织协调涉及我县的反倾销、反补贴和保障措施及其他与进出口公平贸易相关工作；建立进出口公平贸易预警机制；协助市商务局组织开展对外贸易调查和产业损害调查；参与开展反垄断调查。</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指导、管理外商投资工作，拟订外商投资政策并组织实施，在授权范围内，依法核准外商投资企业的设立、变更及相关事项，依法核准外商投资项目的合同章程及法律规定的变更事项，依法监督检查外商投资企业执行有关法律法规、规章、合同章程等情况并协调解决有关问题；按权限核准和审核外国投资者并购县内企业；指导投资促进和外商投资企业审批工作，规范对外招商引资活动；负责外商投资有关统计工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一）负责全县对外经济合作工作，拟订和执行促进对外经济合作的政策措施，按规定负责对外承包工程、对外劳务合作等对外经济合作业务的相关工作；按规定负责外派劳务和境外就业人员的权益保护工作；负责全县对外援助项目和接受多(双)边对我县的无偿援助及赠款。</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二）贯彻执行国家对台湾地区和香港、澳门特别行政区的经贸规划、政策，指导我县对香港、澳门特别行政区及台湾地区贸易工作，协调港、澳、台商投资管理工作，组织对香港、澳门特别行政区和台湾地区的经济交流与合作活动。</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三）负责组织参与商务部、省政府举办的内外贸易促销活动和对外经济技术合作活动；负责组织、指导、协调全县招商引资工作以及合同外资、到位外资、外商投资企业生产经营、外贸进出口、外经合作等统计工作和信息发布；参与境内外重大商务活动、招商活动的组织协调工作；按照授权，协助办理外国商务人员来访邀请和商务系统人员因公出国（境）等相关事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（十四）参与拟订工业园区（开发区）发展规划和促进政策，负责全县工业园区（开发区）的综合协调、指导等相关工作，承担工业园区（开发区）的设立、撤销、扩区、区位调整及升级的审核转报工作。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（十五）负责指导和联系全县内外贸行业商会、协会、学会等社团组织的工作。</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（十六）承办县委、县政府交办的其他事项。</w:t>
      </w:r>
    </w:p>
    <w:p>
      <w:pPr>
        <w:pStyle w:val="3"/>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二、部门预算单位构成</w:t>
      </w:r>
    </w:p>
    <w:p>
      <w:pPr>
        <w:spacing w:line="560" w:lineRule="exact"/>
        <w:ind w:firstLine="640" w:firstLineChars="200"/>
        <w:rPr>
          <w:rFonts w:ascii="仿宋" w:hAnsi="仿宋" w:eastAsia="仿宋"/>
          <w:sz w:val="32"/>
          <w:szCs w:val="32"/>
        </w:rPr>
      </w:pPr>
      <w:r>
        <w:rPr>
          <w:rFonts w:ascii="Times New Roman" w:hAnsi="Times New Roman" w:eastAsia="仿宋_GB2312" w:cs="Times New Roman"/>
          <w:color w:val="000000"/>
          <w:sz w:val="32"/>
          <w:szCs w:val="32"/>
        </w:rPr>
        <w:t>从预算单位构成看，我单位包括5个机关行政处（科）室及</w:t>
      </w:r>
      <w:r>
        <w:rPr>
          <w:rFonts w:hint="eastAsia" w:ascii="Times New Roman" w:hAnsi="Times New Roman" w:eastAsia="仿宋_GB2312" w:cs="Times New Roman"/>
          <w:color w:val="000000"/>
          <w:sz w:val="32"/>
          <w:szCs w:val="32"/>
        </w:rPr>
        <w:t>2</w:t>
      </w:r>
      <w:r>
        <w:rPr>
          <w:rFonts w:ascii="Times New Roman" w:hAnsi="Times New Roman" w:eastAsia="仿宋_GB2312" w:cs="Times New Roman"/>
          <w:color w:val="000000"/>
          <w:sz w:val="32"/>
          <w:szCs w:val="32"/>
        </w:rPr>
        <w:t>个下属单位，其中：列入2</w:t>
      </w:r>
      <w:r>
        <w:rPr>
          <w:rFonts w:hint="eastAsia" w:ascii="Times New Roman" w:hAnsi="Times New Roman" w:eastAsia="仿宋_GB2312" w:cs="Times New Roman"/>
          <w:color w:val="000000"/>
          <w:sz w:val="32"/>
          <w:szCs w:val="32"/>
        </w:rPr>
        <w:t>021</w:t>
      </w:r>
      <w:r>
        <w:rPr>
          <w:rFonts w:ascii="Times New Roman" w:hAnsi="Times New Roman" w:eastAsia="仿宋_GB2312" w:cs="Times New Roman"/>
          <w:color w:val="000000"/>
          <w:sz w:val="32"/>
          <w:szCs w:val="32"/>
        </w:rPr>
        <w:t>年部门预算编制范围的单位详细情况见下表:</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1949"/>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949"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人员编制数</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上杭县商务局</w:t>
            </w:r>
          </w:p>
        </w:tc>
        <w:tc>
          <w:tcPr>
            <w:tcW w:w="1949"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财政拨款</w:t>
            </w:r>
          </w:p>
        </w:tc>
        <w:tc>
          <w:tcPr>
            <w:tcW w:w="213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hint="eastAsia" w:ascii="Times New Roman" w:hAnsi="Times New Roman" w:eastAsia="仿宋_GB2312" w:cs="Times New Roman"/>
                <w:kern w:val="0"/>
                <w:sz w:val="32"/>
                <w:szCs w:val="32"/>
              </w:rPr>
              <w:t>6</w:t>
            </w:r>
          </w:p>
        </w:tc>
        <w:tc>
          <w:tcPr>
            <w:tcW w:w="2131" w:type="dxa"/>
            <w:shd w:val="clear" w:color="auto" w:fill="auto"/>
          </w:tcPr>
          <w:p>
            <w:pPr>
              <w:widowControl/>
              <w:adjustRightInd w:val="0"/>
              <w:spacing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上杭县招商局</w:t>
            </w:r>
          </w:p>
        </w:tc>
        <w:tc>
          <w:tcPr>
            <w:tcW w:w="1949"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财政拨款</w:t>
            </w:r>
          </w:p>
        </w:tc>
        <w:tc>
          <w:tcPr>
            <w:tcW w:w="213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9</w:t>
            </w:r>
          </w:p>
        </w:tc>
        <w:tc>
          <w:tcPr>
            <w:tcW w:w="2131" w:type="dxa"/>
            <w:shd w:val="clear" w:color="auto" w:fill="auto"/>
          </w:tcPr>
          <w:p>
            <w:pPr>
              <w:widowControl/>
              <w:adjustRightInd w:val="0"/>
              <w:spacing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上杭县商务执法大队</w:t>
            </w:r>
          </w:p>
        </w:tc>
        <w:tc>
          <w:tcPr>
            <w:tcW w:w="1949"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财政拨款</w:t>
            </w:r>
          </w:p>
        </w:tc>
        <w:tc>
          <w:tcPr>
            <w:tcW w:w="2131" w:type="dxa"/>
            <w:shd w:val="clear" w:color="auto" w:fill="auto"/>
            <w:vAlign w:val="center"/>
          </w:tcPr>
          <w:p>
            <w:pPr>
              <w:widowControl/>
              <w:adjustRightInd w:val="0"/>
              <w:spacing w:line="560" w:lineRule="exact"/>
              <w:jc w:val="center"/>
              <w:rPr>
                <w:rFonts w:ascii="Times New Roman" w:hAnsi="Times New Roman" w:eastAsia="仿宋" w:cs="Times New Roman"/>
                <w:sz w:val="32"/>
                <w:szCs w:val="32"/>
              </w:rPr>
            </w:pPr>
            <w:r>
              <w:rPr>
                <w:rFonts w:ascii="Times New Roman" w:hAnsi="Times New Roman" w:eastAsia="仿宋_GB2312" w:cs="Times New Roman"/>
                <w:kern w:val="0"/>
                <w:sz w:val="32"/>
                <w:szCs w:val="32"/>
              </w:rPr>
              <w:t>6</w:t>
            </w:r>
          </w:p>
        </w:tc>
        <w:tc>
          <w:tcPr>
            <w:tcW w:w="2131" w:type="dxa"/>
            <w:shd w:val="clear" w:color="auto" w:fill="auto"/>
            <w:vAlign w:val="center"/>
          </w:tcPr>
          <w:p>
            <w:pPr>
              <w:widowControl/>
              <w:adjustRightInd w:val="0"/>
              <w:spacing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上杭县国际贸易促进会</w:t>
            </w:r>
          </w:p>
        </w:tc>
        <w:tc>
          <w:tcPr>
            <w:tcW w:w="1949" w:type="dxa"/>
            <w:shd w:val="clear" w:color="auto" w:fill="auto"/>
          </w:tcPr>
          <w:p>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sz w:val="32"/>
                <w:szCs w:val="32"/>
              </w:rPr>
              <w:t>财政拨款</w:t>
            </w:r>
          </w:p>
        </w:tc>
        <w:tc>
          <w:tcPr>
            <w:tcW w:w="2131" w:type="dxa"/>
            <w:shd w:val="clear" w:color="auto" w:fill="auto"/>
            <w:vAlign w:val="center"/>
          </w:tcPr>
          <w:p>
            <w:pPr>
              <w:widowControl/>
              <w:adjustRightInd w:val="0"/>
              <w:spacing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w:t>
            </w:r>
          </w:p>
        </w:tc>
        <w:tc>
          <w:tcPr>
            <w:tcW w:w="2131" w:type="dxa"/>
            <w:shd w:val="clear" w:color="auto" w:fill="auto"/>
            <w:vAlign w:val="center"/>
          </w:tcPr>
          <w:p>
            <w:pPr>
              <w:widowControl/>
              <w:adjustRightInd w:val="0"/>
              <w:spacing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w:t>
            </w: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三、部门主要工作任务</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Times New Roman" w:hAnsi="Times New Roman" w:eastAsia="仿宋_GB2312" w:cs="Times New Roman"/>
          <w:kern w:val="0"/>
          <w:sz w:val="32"/>
          <w:szCs w:val="32"/>
        </w:rPr>
        <w:t>2021</w:t>
      </w:r>
      <w:r>
        <w:rPr>
          <w:rFonts w:hint="eastAsia" w:ascii="仿宋" w:hAnsi="仿宋" w:eastAsia="仿宋"/>
          <w:sz w:val="32"/>
          <w:szCs w:val="32"/>
        </w:rPr>
        <w:t>年，上杭县商务局主要任务是：</w:t>
      </w:r>
    </w:p>
    <w:p>
      <w:pPr>
        <w:pBdr>
          <w:bottom w:val="single" w:color="FFFFFF" w:sz="4" w:space="30"/>
        </w:pBdr>
        <w:tabs>
          <w:tab w:val="left" w:pos="1440"/>
        </w:tabs>
        <w:autoSpaceDN w:val="0"/>
        <w:adjustRightInd w:val="0"/>
        <w:snapToGrid w:val="0"/>
        <w:spacing w:line="560" w:lineRule="exact"/>
        <w:ind w:firstLine="643" w:firstLineChars="200"/>
        <w:rPr>
          <w:rFonts w:ascii="Times New Roman" w:hAnsi="Times New Roman" w:eastAsia="楷体_GB2312" w:cs="Times New Roman"/>
          <w:color w:val="000000"/>
          <w:sz w:val="32"/>
          <w:szCs w:val="32"/>
        </w:rPr>
      </w:pPr>
      <w:r>
        <w:rPr>
          <w:rFonts w:ascii="Times New Roman" w:hAnsi="Times New Roman" w:eastAsia="楷体_GB2312" w:cs="Times New Roman"/>
          <w:b/>
          <w:bCs/>
          <w:color w:val="000000"/>
          <w:sz w:val="32"/>
          <w:szCs w:val="32"/>
        </w:rPr>
        <w:t>（一）全力抓好招商引资工作</w:t>
      </w:r>
    </w:p>
    <w:p>
      <w:pPr>
        <w:pBdr>
          <w:bottom w:val="single" w:color="FFFFFF" w:sz="4" w:space="30"/>
        </w:pBdr>
        <w:tabs>
          <w:tab w:val="left" w:pos="1440"/>
        </w:tabs>
        <w:autoSpaceDN w:val="0"/>
        <w:adjustRightInd w:val="0"/>
        <w:snapToGrid w:val="0"/>
        <w:spacing w:line="560" w:lineRule="exact"/>
        <w:rPr>
          <w:rFonts w:ascii="Times New Roman" w:hAnsi="Times New Roman" w:eastAsia="仿宋_GB2312" w:cs="Times New Roman"/>
          <w:bCs/>
          <w:kern w:val="0"/>
          <w:sz w:val="32"/>
          <w:szCs w:val="32"/>
        </w:rPr>
      </w:pPr>
      <w:r>
        <w:rPr>
          <w:rFonts w:ascii="Times New Roman" w:hAnsi="Times New Roman" w:eastAsia="仿宋_GB2312" w:cs="Times New Roman"/>
          <w:b/>
          <w:bCs/>
          <w:kern w:val="0"/>
          <w:sz w:val="32"/>
          <w:szCs w:val="32"/>
        </w:rPr>
        <w:t xml:space="preserve">    </w:t>
      </w:r>
      <w:r>
        <w:rPr>
          <w:rFonts w:ascii="Times New Roman" w:hAnsi="Times New Roman" w:eastAsia="仿宋_GB2312" w:cs="Times New Roman"/>
          <w:b/>
          <w:kern w:val="0"/>
          <w:sz w:val="32"/>
          <w:szCs w:val="32"/>
        </w:rPr>
        <w:t>1.精准推进产业招商。</w:t>
      </w:r>
      <w:r>
        <w:rPr>
          <w:rFonts w:ascii="Times New Roman" w:hAnsi="Times New Roman" w:eastAsia="仿宋_GB2312" w:cs="Times New Roman"/>
          <w:bCs/>
          <w:color w:val="000000"/>
          <w:kern w:val="0"/>
          <w:sz w:val="32"/>
          <w:szCs w:val="32"/>
        </w:rPr>
        <w:t>好产业扶持政策、产业图谱，拓展延伸产业链条。重点扶持常青新能源、时代思康、天甫电子等企业做大做强，盯紧临门一脚的招商引资项目。大力</w:t>
      </w:r>
      <w:r>
        <w:rPr>
          <w:rFonts w:ascii="Times New Roman" w:hAnsi="Times New Roman" w:eastAsia="仿宋_GB2312" w:cs="Times New Roman"/>
          <w:bCs/>
          <w:kern w:val="0"/>
          <w:sz w:val="32"/>
          <w:szCs w:val="32"/>
        </w:rPr>
        <w:t>推进白砂新材料科创谷项目建设。</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bCs/>
          <w:color w:val="000000"/>
          <w:kern w:val="0"/>
          <w:sz w:val="32"/>
          <w:szCs w:val="32"/>
        </w:rPr>
      </w:pPr>
      <w:r>
        <w:rPr>
          <w:rFonts w:ascii="Times New Roman" w:hAnsi="Times New Roman" w:eastAsia="仿宋_GB2312" w:cs="Times New Roman"/>
          <w:b/>
          <w:kern w:val="0"/>
          <w:sz w:val="32"/>
          <w:szCs w:val="32"/>
        </w:rPr>
        <w:t>2.持续做好以商招商。</w:t>
      </w:r>
      <w:r>
        <w:rPr>
          <w:rFonts w:ascii="Times New Roman" w:hAnsi="Times New Roman" w:eastAsia="仿宋_GB2312" w:cs="Times New Roman"/>
          <w:sz w:val="32"/>
          <w:szCs w:val="32"/>
        </w:rPr>
        <w:t>利用我县投资客商的信息渠道、商务渠道、人脉资源，紧盯现有产业上下游加工环节，依托县内外企业家、商会和企业驻外招商人员，精准捕获招商资讯，吸引企业上下游户和配套企业落户。依托</w:t>
      </w:r>
      <w:r>
        <w:rPr>
          <w:rFonts w:ascii="Times New Roman" w:hAnsi="Times New Roman" w:eastAsia="仿宋_GB2312" w:cs="Times New Roman"/>
          <w:bCs/>
          <w:color w:val="000000"/>
          <w:kern w:val="0"/>
          <w:sz w:val="32"/>
          <w:szCs w:val="32"/>
        </w:rPr>
        <w:t>紫金矿业、常青新能源、天甫电子、时代思康等龙头企业，积极引进上下游相关配套项目。</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b/>
          <w:kern w:val="0"/>
          <w:sz w:val="32"/>
          <w:szCs w:val="32"/>
        </w:rPr>
        <w:t>3.园区建设和环保工作。</w:t>
      </w:r>
      <w:r>
        <w:rPr>
          <w:rFonts w:ascii="Times New Roman" w:hAnsi="Times New Roman" w:eastAsia="仿宋_GB2312" w:cs="Times New Roman"/>
          <w:bCs/>
          <w:kern w:val="0"/>
          <w:sz w:val="32"/>
          <w:szCs w:val="32"/>
        </w:rPr>
        <w:t>督促园区做好基础设施建设，加快</w:t>
      </w:r>
      <w:r>
        <w:rPr>
          <w:rFonts w:ascii="Times New Roman" w:hAnsi="Times New Roman" w:eastAsia="仿宋_GB2312" w:cs="Times New Roman"/>
          <w:sz w:val="32"/>
          <w:szCs w:val="32"/>
        </w:rPr>
        <w:t>标准化厂房建设工作，争取二期厂房2021年底建成。加快园区的用地报批工作，新增一批工业熟地</w:t>
      </w:r>
      <w:r>
        <w:rPr>
          <w:rFonts w:ascii="Times New Roman" w:hAnsi="Times New Roman" w:eastAsia="仿宋_GB2312" w:cs="Times New Roman"/>
          <w:bCs/>
          <w:kern w:val="0"/>
          <w:sz w:val="32"/>
          <w:szCs w:val="32"/>
        </w:rPr>
        <w:t>。</w:t>
      </w:r>
      <w:r>
        <w:rPr>
          <w:rFonts w:ascii="Times New Roman" w:hAnsi="Times New Roman" w:eastAsia="仿宋_GB2312" w:cs="Times New Roman"/>
          <w:bCs/>
          <w:sz w:val="32"/>
          <w:szCs w:val="32"/>
        </w:rPr>
        <w:t>督促县工业园区加强环保工作</w:t>
      </w:r>
      <w:r>
        <w:rPr>
          <w:rFonts w:ascii="Times New Roman" w:hAnsi="Times New Roman" w:eastAsia="仿宋_GB2312" w:cs="Times New Roman"/>
          <w:sz w:val="32"/>
          <w:szCs w:val="32"/>
        </w:rPr>
        <w:t>，及时协调解决发现的环境问题，把好招商引资项目的环境准入关，把不符合环保要求的项目拒绝在准入阶段。</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楷体_GB2312" w:cs="Times New Roman"/>
          <w:b/>
          <w:bCs/>
          <w:color w:val="000000"/>
          <w:sz w:val="32"/>
          <w:szCs w:val="32"/>
        </w:rPr>
      </w:pPr>
      <w:r>
        <w:rPr>
          <w:rFonts w:ascii="Times New Roman" w:hAnsi="Times New Roman" w:eastAsia="楷体_GB2312" w:cs="Times New Roman"/>
          <w:b/>
          <w:bCs/>
          <w:color w:val="000000"/>
          <w:sz w:val="32"/>
          <w:szCs w:val="32"/>
        </w:rPr>
        <w:t>（二）稳步促进商贸服务发展</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1.抓培育入库。</w:t>
      </w:r>
      <w:r>
        <w:rPr>
          <w:rFonts w:ascii="Times New Roman" w:hAnsi="Times New Roman" w:eastAsia="仿宋_GB2312" w:cs="Times New Roman"/>
          <w:sz w:val="32"/>
          <w:szCs w:val="32"/>
        </w:rPr>
        <w:t>加强与市场监管、税务等部门的沟通协作，进一步摸排县域内有规模、有质量、有潜力的商贸流通个体、法人企业，加强企业经营者的沟通联系，打好感情牌，用好政策牌，建立落实挂钩帮扶机制，动员有条件的个体注册成立法人企业，有条件的法人企业尽快申报入库出数。</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2.抓应统尽统。</w:t>
      </w:r>
      <w:r>
        <w:rPr>
          <w:rFonts w:ascii="Times New Roman" w:hAnsi="Times New Roman" w:eastAsia="仿宋_GB2312" w:cs="Times New Roman"/>
          <w:sz w:val="32"/>
          <w:szCs w:val="32"/>
        </w:rPr>
        <w:t>进一步落实会商研判机制，指定专人定时跟踪批零住餐指标情况及限上个体数据报送情况，力争实现指标提升进位。对冠超市、永辉超市、中化石油等一批销售额数据体量大、符合限上企业入库标准的产业活动单位，联合市场监管、税务等相关部门，靠前服务、一企一策，动员经营业主在我县注册独立法人企业，争取营业数据纳入县内统计，精准反映全县批零住餐行业发展情况。</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3.抓基层基础。</w:t>
      </w:r>
      <w:r>
        <w:rPr>
          <w:rFonts w:ascii="Times New Roman" w:hAnsi="Times New Roman" w:eastAsia="仿宋_GB2312" w:cs="Times New Roman"/>
          <w:sz w:val="32"/>
          <w:szCs w:val="32"/>
        </w:rPr>
        <w:t>进一步落实乡镇挂钩帮扶责任，帮助限上企业完善统计台账，继续开展限上企业统计台账佐证资料完善指导工作，协助企业规范完善统计台账，做到随时可以应对检查，切实消除企业顾虑。</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4.抓行业发展。一是</w:t>
      </w:r>
      <w:r>
        <w:rPr>
          <w:rFonts w:ascii="Times New Roman" w:hAnsi="Times New Roman" w:eastAsia="仿宋_GB2312" w:cs="Times New Roman"/>
          <w:sz w:val="32"/>
          <w:szCs w:val="32"/>
        </w:rPr>
        <w:t>举办美食展活动，通过美食展搭建交流平台，推进上杭美食文化传承。</w:t>
      </w: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举办竞赛活动，通过竞赛提升从业人员的知识水平、职业技能及综合素质，推动行业进一步发展。</w:t>
      </w: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着力提升行业水平。加强从业人员职业化建设，利用好现有相关行业发展政策，积极引导就业。</w:t>
      </w:r>
    </w:p>
    <w:p>
      <w:pPr>
        <w:pBdr>
          <w:bottom w:val="single" w:color="FFFFFF" w:sz="4" w:space="30"/>
        </w:pBdr>
        <w:tabs>
          <w:tab w:val="left" w:pos="1440"/>
        </w:tabs>
        <w:autoSpaceDN w:val="0"/>
        <w:adjustRightInd w:val="0"/>
        <w:snapToGrid w:val="0"/>
        <w:spacing w:line="560" w:lineRule="exact"/>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 xml:space="preserve">   </w:t>
      </w:r>
      <w:r>
        <w:rPr>
          <w:rFonts w:ascii="Times New Roman" w:hAnsi="Times New Roman" w:eastAsia="楷体_GB2312" w:cs="Times New Roman"/>
          <w:b/>
          <w:bCs/>
          <w:color w:val="000000"/>
          <w:sz w:val="32"/>
          <w:szCs w:val="32"/>
        </w:rPr>
        <w:t>（三）持续推动外经外贸增长</w:t>
      </w:r>
    </w:p>
    <w:p>
      <w:pPr>
        <w:pBdr>
          <w:bottom w:val="single" w:color="FFFFFF" w:sz="4" w:space="30"/>
        </w:pBdr>
        <w:tabs>
          <w:tab w:val="left" w:pos="1440"/>
        </w:tabs>
        <w:autoSpaceDN w:val="0"/>
        <w:adjustRightInd w:val="0"/>
        <w:snapToGrid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围绕促进进出口业务稳定增长，加强与龙岩海关沟通，扶持中小进出口企业，努力克服疫情影响。</w:t>
      </w:r>
      <w:r>
        <w:rPr>
          <w:rFonts w:ascii="Times New Roman" w:hAnsi="Times New Roman" w:eastAsia="仿宋_GB2312" w:cs="Times New Roman"/>
          <w:b/>
          <w:bCs/>
          <w:sz w:val="32"/>
          <w:szCs w:val="32"/>
        </w:rPr>
        <w:t>一是培育外贸新主体。</w:t>
      </w:r>
      <w:r>
        <w:rPr>
          <w:rFonts w:ascii="Times New Roman" w:hAnsi="Times New Roman" w:eastAsia="仿宋_GB2312" w:cs="Times New Roman"/>
          <w:sz w:val="32"/>
          <w:szCs w:val="32"/>
        </w:rPr>
        <w:t>继续支持紫金黄金冶炼公司做实黄金加工贸易，培育紫金佳博公司开展黄金深加工贸易业务，服务常青新能源公司做好钴矿进口业务。</w:t>
      </w:r>
      <w:r>
        <w:rPr>
          <w:rFonts w:ascii="Times New Roman" w:hAnsi="Times New Roman" w:eastAsia="仿宋_GB2312" w:cs="Times New Roman"/>
          <w:b/>
          <w:bCs/>
          <w:sz w:val="32"/>
          <w:szCs w:val="32"/>
        </w:rPr>
        <w:t>二是扩大增长新渠道。</w:t>
      </w:r>
      <w:r>
        <w:rPr>
          <w:rFonts w:ascii="Times New Roman" w:hAnsi="Times New Roman" w:eastAsia="仿宋_GB2312" w:cs="Times New Roman"/>
          <w:sz w:val="32"/>
          <w:szCs w:val="32"/>
        </w:rPr>
        <w:t xml:space="preserve">继续做好促进外贸发展政策的宣讲工作，鼓励企业提振进出口信心，充分利用外贸展会平台载体作用，参加广交会、华交会等重点出口展会，扩大进出口总量。落实“两个同等待遇”，深化对外开放，切实围绕金铜产业及新材料产业延伸拓展进出口贸易，加大利用外资水平。  </w:t>
      </w:r>
    </w:p>
    <w:p>
      <w:pPr>
        <w:pBdr>
          <w:bottom w:val="single" w:color="FFFFFF" w:sz="4" w:space="30"/>
        </w:pBdr>
        <w:tabs>
          <w:tab w:val="left" w:pos="1440"/>
        </w:tabs>
        <w:autoSpaceDN w:val="0"/>
        <w:adjustRightInd w:val="0"/>
        <w:snapToGrid w:val="0"/>
        <w:spacing w:line="560" w:lineRule="exact"/>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 xml:space="preserve">   </w:t>
      </w:r>
      <w:r>
        <w:rPr>
          <w:rFonts w:ascii="Times New Roman" w:hAnsi="Times New Roman" w:eastAsia="楷体_GB2312" w:cs="Times New Roman"/>
          <w:b/>
          <w:bCs/>
          <w:color w:val="000000"/>
          <w:sz w:val="32"/>
          <w:szCs w:val="32"/>
        </w:rPr>
        <w:t>（四）加速推进流通领域建设</w:t>
      </w:r>
    </w:p>
    <w:p>
      <w:pPr>
        <w:pBdr>
          <w:bottom w:val="single" w:color="FFFFFF" w:sz="4" w:space="30"/>
        </w:pBdr>
        <w:tabs>
          <w:tab w:val="left" w:pos="1440"/>
        </w:tabs>
        <w:autoSpaceDN w:val="0"/>
        <w:adjustRightInd w:val="0"/>
        <w:snapToGrid w:val="0"/>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1.抓好“菜篮子”工程建设。</w:t>
      </w:r>
      <w:r>
        <w:rPr>
          <w:rFonts w:ascii="Times New Roman" w:hAnsi="Times New Roman" w:eastAsia="仿宋_GB2312" w:cs="Times New Roman"/>
          <w:sz w:val="32"/>
          <w:szCs w:val="32"/>
        </w:rPr>
        <w:t>进一步落实《“菜篮子”工程建设实施方案》精神，做好常年蔬菜基地保护区管理，抓好副食品调控基地的建设，继续做好生猪活体、禽蛋、蔬菜、生活必需品应急储备的管理和推进工作，进一步稳定市场价格，提高应对突发事件的能力。</w:t>
      </w:r>
    </w:p>
    <w:p>
      <w:pPr>
        <w:pBdr>
          <w:bottom w:val="single" w:color="FFFFFF" w:sz="4" w:space="30"/>
        </w:pBdr>
        <w:tabs>
          <w:tab w:val="left" w:pos="1440"/>
        </w:tabs>
        <w:autoSpaceDN w:val="0"/>
        <w:adjustRightInd w:val="0"/>
        <w:snapToGrid w:val="0"/>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2.推进全县城乡农贸市场体系和冷链物流项目建设。</w:t>
      </w:r>
      <w:r>
        <w:rPr>
          <w:rFonts w:ascii="Times New Roman" w:hAnsi="Times New Roman" w:eastAsia="仿宋_GB2312" w:cs="Times New Roman"/>
          <w:sz w:val="32"/>
          <w:szCs w:val="32"/>
        </w:rPr>
        <w:t>全力推进我县农贸市场新、改扩建工作，积极向上争取农贸市场补助资金，进一步搞活市场流通。</w:t>
      </w:r>
    </w:p>
    <w:p>
      <w:pPr>
        <w:pBdr>
          <w:bottom w:val="single" w:color="FFFFFF" w:sz="4" w:space="30"/>
        </w:pBdr>
        <w:tabs>
          <w:tab w:val="left" w:pos="1440"/>
        </w:tabs>
        <w:autoSpaceDN w:val="0"/>
        <w:adjustRightInd w:val="0"/>
        <w:snapToGrid w:val="0"/>
        <w:spacing w:line="560" w:lineRule="exact"/>
        <w:ind w:firstLine="643" w:firstLineChars="200"/>
        <w:rPr>
          <w:rFonts w:ascii="仿宋" w:hAnsi="仿宋" w:eastAsia="仿宋" w:cs="仿宋_GB2312"/>
          <w:sz w:val="32"/>
          <w:szCs w:val="32"/>
        </w:rPr>
      </w:pPr>
      <w:r>
        <w:rPr>
          <w:rFonts w:ascii="Times New Roman" w:hAnsi="Times New Roman" w:eastAsia="仿宋_GB2312" w:cs="Times New Roman"/>
          <w:b/>
          <w:bCs/>
          <w:sz w:val="32"/>
          <w:szCs w:val="32"/>
        </w:rPr>
        <w:t>3.有序开展肉品可追溯体系建设和食品安全工作。</w:t>
      </w:r>
      <w:r>
        <w:rPr>
          <w:rFonts w:ascii="Times New Roman" w:hAnsi="Times New Roman" w:eastAsia="仿宋_GB2312" w:cs="Times New Roman"/>
          <w:sz w:val="32"/>
          <w:szCs w:val="32"/>
        </w:rPr>
        <w:t>持续做好上杭县肉品质量安全可追溯体系项目建设，不断推动系统升级改造，让上杭县城区老百姓吃上“放心肉”。同时，把上杭县肉品质量安全可追溯体系项目建设延伸至各乡镇，让上杭县老百姓都能吃上“放心肉”。</w:t>
      </w:r>
    </w:p>
    <w:p>
      <w:pPr>
        <w:pStyle w:val="3"/>
        <w:jc w:val="center"/>
        <w:rPr>
          <w:rFonts w:ascii="黑体" w:hAnsi="黑体" w:eastAsia="黑体"/>
          <w:sz w:val="36"/>
          <w:szCs w:val="36"/>
          <w:lang w:eastAsia="zh-CN"/>
        </w:rPr>
      </w:pPr>
      <w:r>
        <w:rPr>
          <w:rFonts w:hint="eastAsia" w:ascii="黑体" w:hAnsi="黑体" w:eastAsia="黑体"/>
          <w:sz w:val="36"/>
          <w:szCs w:val="36"/>
          <w:lang w:eastAsia="zh-CN"/>
        </w:rPr>
        <w:t>第二部分 2021年度部门预算表</w:t>
      </w:r>
    </w:p>
    <w:p>
      <w:pPr>
        <w:pStyle w:val="3"/>
        <w:rPr>
          <w:rFonts w:asciiTheme="majorEastAsia" w:hAnsiTheme="majorEastAsia" w:eastAsiaTheme="majorEastAsia"/>
          <w:sz w:val="36"/>
          <w:lang w:eastAsia="zh-CN"/>
        </w:rPr>
      </w:pPr>
    </w:p>
    <w:p>
      <w:pPr>
        <w:pStyle w:val="3"/>
        <w:rPr>
          <w:rFonts w:asciiTheme="majorEastAsia" w:hAnsiTheme="majorEastAsia" w:eastAsiaTheme="majorEastAsia"/>
          <w:sz w:val="36"/>
          <w:lang w:eastAsia="zh-CN"/>
        </w:rPr>
      </w:pPr>
    </w:p>
    <w:p>
      <w:pPr>
        <w:pStyle w:val="3"/>
        <w:rPr>
          <w:rFonts w:asciiTheme="majorEastAsia" w:hAnsiTheme="majorEastAsia" w:eastAsiaTheme="majorEastAsia"/>
          <w:sz w:val="36"/>
          <w:lang w:eastAsia="zh-CN"/>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w:t>
      </w:r>
      <w:r>
        <w:rPr>
          <w:rFonts w:hint="eastAsia" w:ascii="仿宋_GB2312" w:hAnsi="仿宋_GB2312" w:eastAsia="仿宋_GB2312" w:cs="仿宋_GB2312"/>
          <w:sz w:val="32"/>
          <w:szCs w:val="32"/>
        </w:rPr>
        <w:t>收支预算总表</w:t>
      </w:r>
    </w:p>
    <w:tbl>
      <w:tblPr>
        <w:tblStyle w:val="6"/>
        <w:tblW w:w="8305" w:type="dxa"/>
        <w:tblInd w:w="0" w:type="dxa"/>
        <w:tblLayout w:type="fixed"/>
        <w:tblCellMar>
          <w:top w:w="0" w:type="dxa"/>
          <w:left w:w="0" w:type="dxa"/>
          <w:bottom w:w="0" w:type="dxa"/>
          <w:right w:w="0" w:type="dxa"/>
        </w:tblCellMar>
      </w:tblPr>
      <w:tblGrid>
        <w:gridCol w:w="2485"/>
        <w:gridCol w:w="1284"/>
        <w:gridCol w:w="192"/>
        <w:gridCol w:w="2796"/>
        <w:gridCol w:w="1548"/>
      </w:tblGrid>
      <w:tr>
        <w:tblPrEx>
          <w:tblCellMar>
            <w:top w:w="0" w:type="dxa"/>
            <w:left w:w="0" w:type="dxa"/>
            <w:bottom w:w="0" w:type="dxa"/>
            <w:right w:w="0" w:type="dxa"/>
          </w:tblCellMar>
        </w:tblPrEx>
        <w:trPr>
          <w:trHeight w:val="312" w:hRule="atLeast"/>
        </w:trPr>
        <w:tc>
          <w:tcPr>
            <w:tcW w:w="2485"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附表3-1</w:t>
            </w:r>
          </w:p>
        </w:tc>
        <w:tc>
          <w:tcPr>
            <w:tcW w:w="1284" w:type="dxa"/>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2988"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548" w:type="dxa"/>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8" w:hRule="atLeast"/>
        </w:trPr>
        <w:tc>
          <w:tcPr>
            <w:tcW w:w="8305" w:type="dxa"/>
            <w:gridSpan w:val="5"/>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2021年度收支预算总表</w:t>
            </w:r>
          </w:p>
        </w:tc>
      </w:tr>
      <w:tr>
        <w:tblPrEx>
          <w:tblCellMar>
            <w:top w:w="0" w:type="dxa"/>
            <w:left w:w="0" w:type="dxa"/>
            <w:bottom w:w="0" w:type="dxa"/>
            <w:right w:w="0" w:type="dxa"/>
          </w:tblCellMar>
        </w:tblPrEx>
        <w:trPr>
          <w:trHeight w:val="312" w:hRule="atLeast"/>
        </w:trPr>
        <w:tc>
          <w:tcPr>
            <w:tcW w:w="2485" w:type="dxa"/>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1284" w:type="dxa"/>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2988" w:type="dxa"/>
            <w:gridSpan w:val="2"/>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1548" w:type="dxa"/>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单位：万元</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b/>
                <w:color w:val="000000"/>
                <w:sz w:val="22"/>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收入项目类别</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支出项目类别</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一、一般公共预算拨款</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1,670.94 </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一、基本支出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218.94 </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二、基金预算财政拨款</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人员支出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149.45 </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三、财政专户拨款</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对个人和家庭补助支出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0.94 </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四、单位其他收入</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公用支出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68.55 </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五、单位结余结转资金</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二、项目支出</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1,452.00 </w:t>
            </w:r>
          </w:p>
        </w:tc>
      </w:tr>
      <w:tr>
        <w:tblPrEx>
          <w:tblCellMar>
            <w:top w:w="0" w:type="dxa"/>
            <w:left w:w="0" w:type="dxa"/>
            <w:bottom w:w="0" w:type="dxa"/>
            <w:right w:w="0" w:type="dxa"/>
          </w:tblCellMar>
        </w:tblPrEx>
        <w:trPr>
          <w:trHeight w:val="405" w:hRule="atLeast"/>
        </w:trPr>
        <w:tc>
          <w:tcPr>
            <w:tcW w:w="248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收入合计</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1,670.94</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支出合计</w:t>
            </w:r>
          </w:p>
        </w:tc>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1,670.94 </w:t>
            </w:r>
          </w:p>
        </w:tc>
      </w:tr>
    </w:tbl>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二、</w:t>
      </w:r>
      <w:r>
        <w:rPr>
          <w:rFonts w:hint="eastAsia" w:ascii="仿宋_GB2312" w:hAnsi="仿宋_GB2312" w:eastAsia="仿宋_GB2312" w:cs="仿宋_GB2312"/>
          <w:sz w:val="32"/>
          <w:szCs w:val="32"/>
        </w:rPr>
        <w:t>收入预算总表</w:t>
      </w:r>
    </w:p>
    <w:tbl>
      <w:tblPr>
        <w:tblStyle w:val="6"/>
        <w:tblW w:w="8317" w:type="dxa"/>
        <w:tblInd w:w="0" w:type="dxa"/>
        <w:tblLayout w:type="fixed"/>
        <w:tblCellMar>
          <w:top w:w="0" w:type="dxa"/>
          <w:left w:w="0" w:type="dxa"/>
          <w:bottom w:w="0" w:type="dxa"/>
          <w:right w:w="0" w:type="dxa"/>
        </w:tblCellMar>
      </w:tblPr>
      <w:tblGrid>
        <w:gridCol w:w="972"/>
        <w:gridCol w:w="1752"/>
        <w:gridCol w:w="984"/>
        <w:gridCol w:w="1129"/>
        <w:gridCol w:w="839"/>
        <w:gridCol w:w="805"/>
        <w:gridCol w:w="960"/>
        <w:gridCol w:w="876"/>
      </w:tblGrid>
      <w:tr>
        <w:tblPrEx>
          <w:tblCellMar>
            <w:top w:w="0" w:type="dxa"/>
            <w:left w:w="0" w:type="dxa"/>
            <w:bottom w:w="0" w:type="dxa"/>
            <w:right w:w="0" w:type="dxa"/>
          </w:tblCellMar>
        </w:tblPrEx>
        <w:trPr>
          <w:trHeight w:val="312" w:hRule="atLeast"/>
        </w:trPr>
        <w:tc>
          <w:tcPr>
            <w:tcW w:w="972" w:type="dxa"/>
            <w:tcBorders>
              <w:top w:val="nil"/>
              <w:left w:val="nil"/>
              <w:bottom w:val="nil"/>
              <w:right w:val="nil"/>
            </w:tcBorders>
            <w:shd w:val="clear" w:color="auto" w:fill="auto"/>
            <w:noWrap/>
            <w:tcMar>
              <w:top w:w="12" w:type="dxa"/>
              <w:left w:w="12" w:type="dxa"/>
              <w:right w:w="12" w:type="dxa"/>
            </w:tcMar>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附表3-2</w:t>
            </w:r>
          </w:p>
        </w:tc>
        <w:tc>
          <w:tcPr>
            <w:tcW w:w="1752" w:type="dxa"/>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0"/>
                <w:szCs w:val="20"/>
              </w:rPr>
            </w:pPr>
          </w:p>
        </w:tc>
        <w:tc>
          <w:tcPr>
            <w:tcW w:w="984" w:type="dxa"/>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0"/>
                <w:szCs w:val="20"/>
              </w:rPr>
            </w:pPr>
          </w:p>
        </w:tc>
        <w:tc>
          <w:tcPr>
            <w:tcW w:w="1129" w:type="dxa"/>
            <w:tcBorders>
              <w:top w:val="nil"/>
              <w:left w:val="nil"/>
              <w:bottom w:val="nil"/>
              <w:right w:val="nil"/>
            </w:tcBorders>
            <w:shd w:val="clear" w:color="auto" w:fill="auto"/>
            <w:tcMar>
              <w:top w:w="12" w:type="dxa"/>
              <w:left w:w="12" w:type="dxa"/>
              <w:right w:w="12" w:type="dxa"/>
            </w:tcMar>
            <w:vAlign w:val="center"/>
          </w:tcPr>
          <w:p>
            <w:pPr>
              <w:jc w:val="center"/>
              <w:rPr>
                <w:rFonts w:ascii="宋体" w:hAnsi="宋体" w:eastAsia="宋体" w:cs="宋体"/>
                <w:color w:val="000000"/>
                <w:sz w:val="20"/>
                <w:szCs w:val="20"/>
              </w:rPr>
            </w:pPr>
          </w:p>
        </w:tc>
        <w:tc>
          <w:tcPr>
            <w:tcW w:w="839" w:type="dxa"/>
            <w:tcBorders>
              <w:top w:val="nil"/>
              <w:left w:val="nil"/>
              <w:bottom w:val="nil"/>
              <w:right w:val="nil"/>
            </w:tcBorders>
            <w:shd w:val="clear" w:color="auto" w:fill="auto"/>
            <w:tcMar>
              <w:top w:w="12" w:type="dxa"/>
              <w:left w:w="12" w:type="dxa"/>
              <w:right w:w="12" w:type="dxa"/>
            </w:tcMar>
            <w:vAlign w:val="center"/>
          </w:tcPr>
          <w:p>
            <w:pPr>
              <w:jc w:val="center"/>
              <w:rPr>
                <w:rFonts w:ascii="宋体" w:hAnsi="宋体" w:eastAsia="宋体" w:cs="宋体"/>
                <w:color w:val="000000"/>
                <w:sz w:val="20"/>
                <w:szCs w:val="20"/>
              </w:rPr>
            </w:pPr>
          </w:p>
        </w:tc>
        <w:tc>
          <w:tcPr>
            <w:tcW w:w="805" w:type="dxa"/>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0"/>
                <w:szCs w:val="20"/>
              </w:rPr>
            </w:pPr>
          </w:p>
        </w:tc>
        <w:tc>
          <w:tcPr>
            <w:tcW w:w="960" w:type="dxa"/>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0"/>
                <w:szCs w:val="20"/>
              </w:rPr>
            </w:pPr>
          </w:p>
        </w:tc>
        <w:tc>
          <w:tcPr>
            <w:tcW w:w="876" w:type="dxa"/>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0"/>
                <w:szCs w:val="20"/>
              </w:rPr>
            </w:pPr>
          </w:p>
        </w:tc>
      </w:tr>
      <w:tr>
        <w:tblPrEx>
          <w:tblCellMar>
            <w:top w:w="0" w:type="dxa"/>
            <w:left w:w="0" w:type="dxa"/>
            <w:bottom w:w="0" w:type="dxa"/>
            <w:right w:w="0" w:type="dxa"/>
          </w:tblCellMar>
        </w:tblPrEx>
        <w:trPr>
          <w:trHeight w:val="582" w:hRule="atLeast"/>
        </w:trPr>
        <w:tc>
          <w:tcPr>
            <w:tcW w:w="8317" w:type="dxa"/>
            <w:gridSpan w:val="8"/>
            <w:tcBorders>
              <w:top w:val="nil"/>
              <w:left w:val="nil"/>
              <w:bottom w:val="nil"/>
              <w:right w:val="nil"/>
            </w:tcBorders>
            <w:shd w:val="clear" w:color="auto" w:fill="auto"/>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2021年度收入预算总表</w:t>
            </w:r>
          </w:p>
        </w:tc>
      </w:tr>
      <w:tr>
        <w:tblPrEx>
          <w:tblCellMar>
            <w:top w:w="0" w:type="dxa"/>
            <w:left w:w="0" w:type="dxa"/>
            <w:bottom w:w="0" w:type="dxa"/>
            <w:right w:w="0" w:type="dxa"/>
          </w:tblCellMar>
        </w:tblPrEx>
        <w:trPr>
          <w:trHeight w:val="516" w:hRule="atLeast"/>
        </w:trPr>
        <w:tc>
          <w:tcPr>
            <w:tcW w:w="972" w:type="dxa"/>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1752" w:type="dxa"/>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984" w:type="dxa"/>
            <w:tcBorders>
              <w:top w:val="nil"/>
              <w:left w:val="nil"/>
              <w:bottom w:val="nil"/>
              <w:right w:val="nil"/>
            </w:tcBorders>
            <w:shd w:val="clear" w:color="auto" w:fill="auto"/>
            <w:tcMar>
              <w:top w:w="12" w:type="dxa"/>
              <w:left w:w="12" w:type="dxa"/>
              <w:right w:w="12" w:type="dxa"/>
            </w:tcMar>
            <w:vAlign w:val="center"/>
          </w:tcPr>
          <w:p>
            <w:pPr>
              <w:jc w:val="center"/>
              <w:rPr>
                <w:rFonts w:ascii="黑体" w:hAnsi="宋体" w:eastAsia="黑体" w:cs="黑体"/>
                <w:color w:val="000000"/>
                <w:sz w:val="40"/>
                <w:szCs w:val="40"/>
              </w:rPr>
            </w:pPr>
          </w:p>
        </w:tc>
        <w:tc>
          <w:tcPr>
            <w:tcW w:w="1129" w:type="dxa"/>
            <w:tcBorders>
              <w:top w:val="nil"/>
              <w:left w:val="nil"/>
              <w:bottom w:val="nil"/>
              <w:right w:val="nil"/>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nil"/>
              <w:left w:val="nil"/>
              <w:bottom w:val="nil"/>
              <w:right w:val="nil"/>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1836" w:type="dxa"/>
            <w:gridSpan w:val="2"/>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312"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175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w:t>
            </w:r>
          </w:p>
        </w:tc>
        <w:tc>
          <w:tcPr>
            <w:tcW w:w="5593"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资金来源</w:t>
            </w:r>
          </w:p>
        </w:tc>
      </w:tr>
      <w:tr>
        <w:tblPrEx>
          <w:tblCellMar>
            <w:top w:w="0" w:type="dxa"/>
            <w:left w:w="0" w:type="dxa"/>
            <w:bottom w:w="0" w:type="dxa"/>
            <w:right w:w="0" w:type="dxa"/>
          </w:tblCellMar>
        </w:tblPrEx>
        <w:trPr>
          <w:trHeight w:val="120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17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基金预算拨款</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财政专户拨款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单位结余结转资金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单位其它收入</w:t>
            </w: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601001</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上杭县商务局</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1,670.94</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1,670.94</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2"/>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color w:val="000000"/>
                <w:sz w:val="24"/>
                <w:szCs w:val="24"/>
              </w:rPr>
            </w:pPr>
          </w:p>
        </w:tc>
      </w:tr>
    </w:tbl>
    <w:p>
      <w:pPr>
        <w:numPr>
          <w:ilvl w:val="0"/>
          <w:numId w:val="1"/>
        </w:numPr>
        <w:tabs>
          <w:tab w:val="left" w:pos="7513"/>
        </w:tabs>
        <w:adjustRightInd w:val="0"/>
        <w:snapToGrid w:val="0"/>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支出预算总表</w:t>
      </w:r>
    </w:p>
    <w:tbl>
      <w:tblPr>
        <w:tblStyle w:val="6"/>
        <w:tblW w:w="0" w:type="auto"/>
        <w:tblInd w:w="0" w:type="dxa"/>
        <w:tblLayout w:type="fixed"/>
        <w:tblCellMar>
          <w:top w:w="0" w:type="dxa"/>
          <w:left w:w="0" w:type="dxa"/>
          <w:bottom w:w="0" w:type="dxa"/>
          <w:right w:w="0" w:type="dxa"/>
        </w:tblCellMar>
      </w:tblPr>
      <w:tblGrid>
        <w:gridCol w:w="529"/>
        <w:gridCol w:w="732"/>
        <w:gridCol w:w="468"/>
        <w:gridCol w:w="491"/>
        <w:gridCol w:w="160"/>
        <w:gridCol w:w="395"/>
        <w:gridCol w:w="200"/>
        <w:gridCol w:w="355"/>
        <w:gridCol w:w="240"/>
        <w:gridCol w:w="315"/>
        <w:gridCol w:w="280"/>
        <w:gridCol w:w="275"/>
        <w:gridCol w:w="320"/>
        <w:gridCol w:w="235"/>
        <w:gridCol w:w="360"/>
        <w:gridCol w:w="195"/>
        <w:gridCol w:w="400"/>
        <w:gridCol w:w="155"/>
        <w:gridCol w:w="440"/>
        <w:gridCol w:w="115"/>
        <w:gridCol w:w="480"/>
        <w:gridCol w:w="75"/>
        <w:gridCol w:w="520"/>
        <w:gridCol w:w="35"/>
        <w:gridCol w:w="560"/>
      </w:tblGrid>
      <w:tr>
        <w:tblPrEx>
          <w:tblCellMar>
            <w:top w:w="0" w:type="dxa"/>
            <w:left w:w="0" w:type="dxa"/>
            <w:bottom w:w="0" w:type="dxa"/>
            <w:right w:w="0" w:type="dxa"/>
          </w:tblCellMar>
        </w:tblPrEx>
        <w:trPr>
          <w:trHeight w:val="408" w:hRule="atLeast"/>
        </w:trPr>
        <w:tc>
          <w:tcPr>
            <w:tcW w:w="8330" w:type="dxa"/>
            <w:gridSpan w:val="25"/>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2021年度支出预算总表</w:t>
            </w:r>
          </w:p>
        </w:tc>
      </w:tr>
      <w:tr>
        <w:tblPrEx>
          <w:tblCellMar>
            <w:top w:w="0" w:type="dxa"/>
            <w:left w:w="0" w:type="dxa"/>
            <w:bottom w:w="0" w:type="dxa"/>
            <w:right w:w="0" w:type="dxa"/>
          </w:tblCellMar>
        </w:tblPrEx>
        <w:trPr>
          <w:trHeight w:val="312" w:hRule="atLeast"/>
        </w:trPr>
        <w:tc>
          <w:tcPr>
            <w:tcW w:w="529" w:type="dxa"/>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732" w:type="dxa"/>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468" w:type="dxa"/>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651"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595" w:type="dxa"/>
            <w:gridSpan w:val="2"/>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288" w:hRule="atLeast"/>
        </w:trPr>
        <w:tc>
          <w:tcPr>
            <w:tcW w:w="5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单位编码</w:t>
            </w:r>
          </w:p>
        </w:tc>
        <w:tc>
          <w:tcPr>
            <w:tcW w:w="73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单位名称</w:t>
            </w: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科目编码</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科目名称</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合计</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人员支出</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对个人和家庭的补助支出</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公用支出</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项目支出</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资金来源</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b/>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b/>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b/>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b/>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b/>
                <w:color w:val="000000"/>
                <w:sz w:val="11"/>
                <w:szCs w:val="11"/>
              </w:rPr>
            </w:pPr>
          </w:p>
        </w:tc>
      </w:tr>
      <w:tr>
        <w:tblPrEx>
          <w:tblCellMar>
            <w:top w:w="0" w:type="dxa"/>
            <w:left w:w="0" w:type="dxa"/>
            <w:bottom w:w="0" w:type="dxa"/>
            <w:right w:w="0" w:type="dxa"/>
          </w:tblCellMar>
        </w:tblPrEx>
        <w:trPr>
          <w:trHeight w:val="863" w:hRule="atLeast"/>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7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合计</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一般公共预算拨款</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基金预算拨款</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财政专户拨款</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单位结余结转资金</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1"/>
                <w:szCs w:val="11"/>
              </w:rPr>
            </w:pPr>
            <w:r>
              <w:rPr>
                <w:rFonts w:hint="eastAsia" w:ascii="宋体" w:hAnsi="宋体" w:eastAsia="宋体" w:cs="宋体"/>
                <w:b/>
                <w:color w:val="000000"/>
                <w:kern w:val="0"/>
                <w:sz w:val="11"/>
                <w:szCs w:val="11"/>
              </w:rPr>
              <w:t>单位其它收入</w:t>
            </w:r>
          </w:p>
        </w:tc>
      </w:tr>
      <w:tr>
        <w:tblPrEx>
          <w:tblCellMar>
            <w:top w:w="0" w:type="dxa"/>
            <w:left w:w="0" w:type="dxa"/>
            <w:bottom w:w="0" w:type="dxa"/>
            <w:right w:w="0" w:type="dxa"/>
          </w:tblCellMar>
        </w:tblPrEx>
        <w:trPr>
          <w:trHeight w:val="359" w:hRule="atLeast"/>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7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1"/>
                <w:szCs w:val="11"/>
              </w:rPr>
            </w:pPr>
          </w:p>
        </w:tc>
      </w:tr>
      <w:tr>
        <w:tblPrEx>
          <w:tblCellMar>
            <w:top w:w="0" w:type="dxa"/>
            <w:left w:w="0" w:type="dxa"/>
            <w:bottom w:w="0" w:type="dxa"/>
            <w:right w:w="0" w:type="dxa"/>
          </w:tblCellMar>
        </w:tblPrEx>
        <w:trPr>
          <w:trHeight w:val="402"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1</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3</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5</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7</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8</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9</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11</w:t>
            </w:r>
          </w:p>
        </w:tc>
      </w:tr>
      <w:tr>
        <w:tblPrEx>
          <w:tblCellMar>
            <w:top w:w="0" w:type="dxa"/>
            <w:left w:w="0" w:type="dxa"/>
            <w:bottom w:w="0" w:type="dxa"/>
            <w:right w:w="0" w:type="dxa"/>
          </w:tblCellMar>
        </w:tblPrEx>
        <w:trPr>
          <w:trHeight w:val="402"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601001</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上杭县商务局</w:t>
            </w: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2011301</w:t>
            </w: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行政运行</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218.94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149.45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0.94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68.55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218.94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218.94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r>
      <w:tr>
        <w:tblPrEx>
          <w:tblCellMar>
            <w:top w:w="0" w:type="dxa"/>
            <w:left w:w="0" w:type="dxa"/>
            <w:bottom w:w="0" w:type="dxa"/>
            <w:right w:w="0" w:type="dxa"/>
          </w:tblCellMar>
        </w:tblPrEx>
        <w:trPr>
          <w:trHeight w:val="402"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601001</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上杭县商务局</w:t>
            </w: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2011308</w:t>
            </w: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招商引资</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327.00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327.00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327.00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327.00</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11"/>
                <w:szCs w:val="11"/>
              </w:rPr>
            </w:pPr>
          </w:p>
        </w:tc>
      </w:tr>
      <w:tr>
        <w:tblPrEx>
          <w:tblCellMar>
            <w:top w:w="0" w:type="dxa"/>
            <w:left w:w="0" w:type="dxa"/>
            <w:bottom w:w="0" w:type="dxa"/>
            <w:right w:w="0" w:type="dxa"/>
          </w:tblCellMar>
        </w:tblPrEx>
        <w:trPr>
          <w:trHeight w:val="402"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601001</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上杭县商务局</w:t>
            </w: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2011399</w:t>
            </w: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其他商贸事务支出</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221.00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221.00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221.00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221.00</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r>
      <w:tr>
        <w:tblPrEx>
          <w:tblCellMar>
            <w:top w:w="0" w:type="dxa"/>
            <w:left w:w="0" w:type="dxa"/>
            <w:bottom w:w="0" w:type="dxa"/>
            <w:right w:w="0" w:type="dxa"/>
          </w:tblCellMar>
        </w:tblPrEx>
        <w:trPr>
          <w:trHeight w:val="1059"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601001</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上杭县商务局</w:t>
            </w: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2160699</w:t>
            </w: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其他涉外发展服务支出</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800.00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800.00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800.00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800.00</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r>
      <w:tr>
        <w:tblPrEx>
          <w:tblCellMar>
            <w:top w:w="0" w:type="dxa"/>
            <w:left w:w="0" w:type="dxa"/>
            <w:bottom w:w="0" w:type="dxa"/>
            <w:right w:w="0" w:type="dxa"/>
          </w:tblCellMar>
        </w:tblPrEx>
        <w:trPr>
          <w:trHeight w:val="402" w:hRule="atLeast"/>
        </w:trPr>
        <w:tc>
          <w:tcPr>
            <w:tcW w:w="5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601001</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上杭县商务局</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kern w:val="2"/>
                <w:sz w:val="11"/>
                <w:szCs w:val="11"/>
                <w:lang w:val="en-US" w:eastAsia="zh-CN" w:bidi="ar-SA"/>
              </w:rPr>
            </w:pPr>
            <w:r>
              <w:rPr>
                <w:rFonts w:hint="eastAsia" w:ascii="宋体" w:hAnsi="宋体" w:eastAsia="宋体" w:cs="宋体"/>
                <w:color w:val="000000"/>
                <w:kern w:val="0"/>
                <w:sz w:val="11"/>
                <w:szCs w:val="11"/>
              </w:rPr>
              <w:t>2011399</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kern w:val="2"/>
                <w:sz w:val="11"/>
                <w:szCs w:val="11"/>
                <w:lang w:val="en-US" w:eastAsia="zh-CN" w:bidi="ar-SA"/>
              </w:rPr>
            </w:pPr>
            <w:r>
              <w:rPr>
                <w:rFonts w:hint="eastAsia" w:ascii="宋体" w:hAnsi="宋体" w:eastAsia="宋体" w:cs="宋体"/>
                <w:color w:val="000000"/>
                <w:kern w:val="0"/>
                <w:sz w:val="11"/>
                <w:szCs w:val="11"/>
              </w:rPr>
              <w:t>其他商贸事务支出</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104.00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104.00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 xml:space="preserve">104.00 </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11"/>
                <w:szCs w:val="11"/>
              </w:rPr>
            </w:pPr>
            <w:r>
              <w:rPr>
                <w:rFonts w:hint="eastAsia" w:ascii="宋体" w:hAnsi="宋体" w:eastAsia="宋体" w:cs="宋体"/>
                <w:color w:val="000000"/>
                <w:kern w:val="0"/>
                <w:sz w:val="11"/>
                <w:szCs w:val="11"/>
              </w:rPr>
              <w:t>104.00</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r>
      <w:tr>
        <w:tblPrEx>
          <w:tblCellMar>
            <w:top w:w="0" w:type="dxa"/>
            <w:left w:w="0" w:type="dxa"/>
            <w:bottom w:w="0" w:type="dxa"/>
            <w:right w:w="0" w:type="dxa"/>
          </w:tblCellMar>
        </w:tblPrEx>
        <w:trPr>
          <w:trHeight w:val="402" w:hRule="atLeast"/>
        </w:trPr>
        <w:tc>
          <w:tcPr>
            <w:tcW w:w="222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lang w:val="en-US" w:eastAsia="zh-CN"/>
              </w:rPr>
              <w:t>合计</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hint="default"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lang w:val="en-US" w:eastAsia="zh-CN"/>
              </w:rPr>
              <w:t>1670.94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default" w:ascii="宋体" w:hAnsi="宋体" w:eastAsia="宋体" w:cs="宋体"/>
                <w:color w:val="000000"/>
                <w:sz w:val="11"/>
                <w:szCs w:val="11"/>
                <w:lang w:val="en-US" w:eastAsia="zh-CN"/>
              </w:rPr>
            </w:pPr>
            <w:r>
              <w:rPr>
                <w:rFonts w:hint="eastAsia" w:ascii="宋体" w:hAnsi="宋体" w:eastAsia="宋体" w:cs="宋体"/>
                <w:color w:val="000000"/>
                <w:sz w:val="11"/>
                <w:szCs w:val="11"/>
                <w:lang w:val="en-US" w:eastAsia="zh-CN"/>
              </w:rPr>
              <w:t>149.45</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default" w:ascii="宋体" w:hAnsi="宋体" w:eastAsia="宋体" w:cs="宋体"/>
                <w:color w:val="000000"/>
                <w:sz w:val="11"/>
                <w:szCs w:val="11"/>
                <w:lang w:val="en-US" w:eastAsia="zh-CN"/>
              </w:rPr>
            </w:pPr>
            <w:r>
              <w:rPr>
                <w:rFonts w:hint="eastAsia" w:ascii="宋体" w:hAnsi="宋体" w:eastAsia="宋体" w:cs="宋体"/>
                <w:color w:val="000000"/>
                <w:sz w:val="11"/>
                <w:szCs w:val="11"/>
                <w:lang w:val="en-US" w:eastAsia="zh-CN"/>
              </w:rPr>
              <w:t>0.94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default" w:ascii="宋体" w:hAnsi="宋体" w:eastAsia="宋体" w:cs="宋体"/>
                <w:color w:val="000000"/>
                <w:sz w:val="11"/>
                <w:szCs w:val="11"/>
                <w:lang w:val="en-US" w:eastAsia="zh-CN"/>
              </w:rPr>
            </w:pPr>
            <w:r>
              <w:rPr>
                <w:rFonts w:hint="eastAsia" w:ascii="宋体" w:hAnsi="宋体" w:eastAsia="宋体" w:cs="宋体"/>
                <w:color w:val="000000"/>
                <w:sz w:val="11"/>
                <w:szCs w:val="11"/>
                <w:lang w:val="en-US" w:eastAsia="zh-CN"/>
              </w:rPr>
              <w:t>68.55</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hint="default"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lang w:val="en-US" w:eastAsia="zh-CN"/>
              </w:rPr>
              <w:t>1452.00</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hint="default"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lang w:val="en-US" w:eastAsia="zh-CN"/>
              </w:rPr>
              <w:t>1670.94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hint="default"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lang w:val="en-US" w:eastAsia="zh-CN"/>
              </w:rPr>
              <w:t>1670.94</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11"/>
                <w:szCs w:val="11"/>
              </w:rPr>
            </w:pPr>
          </w:p>
        </w:tc>
      </w:tr>
    </w:tbl>
    <w:p>
      <w:pPr>
        <w:pStyle w:val="2"/>
        <w:rPr>
          <w:rFonts w:ascii="宋体" w:hAnsi="宋体" w:eastAsia="宋体" w:cs="宋体"/>
          <w:sz w:val="10"/>
          <w:szCs w:val="10"/>
        </w:rPr>
      </w:pPr>
    </w:p>
    <w:p>
      <w:pPr>
        <w:numPr>
          <w:ilvl w:val="0"/>
          <w:numId w:val="1"/>
        </w:numPr>
        <w:tabs>
          <w:tab w:val="left" w:pos="7513"/>
        </w:tabs>
        <w:adjustRightInd w:val="0"/>
        <w:snapToGrid w:val="0"/>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财政拨款收支预算总表</w:t>
      </w:r>
    </w:p>
    <w:tbl>
      <w:tblPr>
        <w:tblStyle w:val="6"/>
        <w:tblW w:w="4998" w:type="pct"/>
        <w:tblInd w:w="0" w:type="dxa"/>
        <w:tblLayout w:type="autofit"/>
        <w:tblCellMar>
          <w:top w:w="0" w:type="dxa"/>
          <w:left w:w="0" w:type="dxa"/>
          <w:bottom w:w="0" w:type="dxa"/>
          <w:right w:w="0" w:type="dxa"/>
        </w:tblCellMar>
      </w:tblPr>
      <w:tblGrid>
        <w:gridCol w:w="2714"/>
        <w:gridCol w:w="1101"/>
        <w:gridCol w:w="3253"/>
        <w:gridCol w:w="1259"/>
      </w:tblGrid>
      <w:tr>
        <w:tblPrEx>
          <w:tblCellMar>
            <w:top w:w="0" w:type="dxa"/>
            <w:left w:w="0" w:type="dxa"/>
            <w:bottom w:w="0" w:type="dxa"/>
            <w:right w:w="0" w:type="dxa"/>
          </w:tblCellMar>
        </w:tblPrEx>
        <w:trPr>
          <w:trHeight w:val="312" w:hRule="atLeast"/>
        </w:trPr>
        <w:tc>
          <w:tcPr>
            <w:tcW w:w="1630" w:type="pct"/>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附表3-4</w:t>
            </w:r>
          </w:p>
        </w:tc>
        <w:tc>
          <w:tcPr>
            <w:tcW w:w="661"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953"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753"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8" w:hRule="atLeast"/>
        </w:trPr>
        <w:tc>
          <w:tcPr>
            <w:tcW w:w="5000" w:type="pct"/>
            <w:gridSpan w:val="4"/>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2021年度财政拨款收支预算总表</w:t>
            </w:r>
          </w:p>
        </w:tc>
      </w:tr>
      <w:tr>
        <w:tblPrEx>
          <w:tblCellMar>
            <w:top w:w="0" w:type="dxa"/>
            <w:left w:w="0" w:type="dxa"/>
            <w:bottom w:w="0" w:type="dxa"/>
            <w:right w:w="0" w:type="dxa"/>
          </w:tblCellMar>
        </w:tblPrEx>
        <w:trPr>
          <w:trHeight w:val="312" w:hRule="atLeast"/>
        </w:trPr>
        <w:tc>
          <w:tcPr>
            <w:tcW w:w="1630"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661"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1953"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753" w:type="pct"/>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b/>
                <w:color w:val="000000"/>
                <w:sz w:val="22"/>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收入项目类别</w:t>
            </w:r>
          </w:p>
        </w:tc>
        <w:tc>
          <w:tcPr>
            <w:tcW w:w="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支出项目类别</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一、一般公共预算拨款</w:t>
            </w: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1,670.94 </w:t>
            </w: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一、基本支出</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218.94 </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二、基金预算财政拨款</w:t>
            </w: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人员支出</w:t>
            </w:r>
          </w:p>
        </w:tc>
        <w:tc>
          <w:tcPr>
            <w:tcW w:w="75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149.45 </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对个人和家庭补助支出</w:t>
            </w:r>
          </w:p>
        </w:tc>
        <w:tc>
          <w:tcPr>
            <w:tcW w:w="75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0.94 </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公用支出</w:t>
            </w:r>
          </w:p>
        </w:tc>
        <w:tc>
          <w:tcPr>
            <w:tcW w:w="75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68.55 </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ascii="宋体" w:hAnsi="宋体" w:eastAsia="宋体" w:cs="宋体"/>
                <w:color w:val="000000"/>
                <w:sz w:val="22"/>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二、项目支出</w:t>
            </w:r>
          </w:p>
        </w:tc>
        <w:tc>
          <w:tcPr>
            <w:tcW w:w="75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1,452.00</w:t>
            </w:r>
          </w:p>
        </w:tc>
      </w:tr>
      <w:tr>
        <w:tblPrEx>
          <w:tblCellMar>
            <w:top w:w="0" w:type="dxa"/>
            <w:left w:w="0" w:type="dxa"/>
            <w:bottom w:w="0" w:type="dxa"/>
            <w:right w:w="0" w:type="dxa"/>
          </w:tblCellMar>
        </w:tblPrEx>
        <w:trPr>
          <w:trHeight w:val="402" w:hRule="atLeast"/>
        </w:trPr>
        <w:tc>
          <w:tcPr>
            <w:tcW w:w="163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收入合计</w:t>
            </w:r>
          </w:p>
        </w:tc>
        <w:tc>
          <w:tcPr>
            <w:tcW w:w="66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1,670.94</w:t>
            </w:r>
          </w:p>
        </w:tc>
        <w:tc>
          <w:tcPr>
            <w:tcW w:w="195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支出合计</w:t>
            </w:r>
          </w:p>
        </w:tc>
        <w:tc>
          <w:tcPr>
            <w:tcW w:w="75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1,670.94 </w:t>
            </w:r>
          </w:p>
        </w:tc>
      </w:tr>
    </w:tbl>
    <w:p>
      <w:pPr>
        <w:pStyle w:val="2"/>
      </w:pPr>
    </w:p>
    <w:p>
      <w:pPr>
        <w:numPr>
          <w:ilvl w:val="0"/>
          <w:numId w:val="1"/>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一般公共预算拨款支出预算表</w:t>
      </w:r>
    </w:p>
    <w:tbl>
      <w:tblPr>
        <w:tblStyle w:val="6"/>
        <w:tblW w:w="4998" w:type="pct"/>
        <w:tblInd w:w="0" w:type="dxa"/>
        <w:tblLayout w:type="autofit"/>
        <w:tblCellMar>
          <w:top w:w="0" w:type="dxa"/>
          <w:left w:w="0" w:type="dxa"/>
          <w:bottom w:w="0" w:type="dxa"/>
          <w:right w:w="0" w:type="dxa"/>
        </w:tblCellMar>
      </w:tblPr>
      <w:tblGrid>
        <w:gridCol w:w="2019"/>
        <w:gridCol w:w="1784"/>
        <w:gridCol w:w="1321"/>
        <w:gridCol w:w="1499"/>
        <w:gridCol w:w="1704"/>
      </w:tblGrid>
      <w:tr>
        <w:tblPrEx>
          <w:tblCellMar>
            <w:top w:w="0" w:type="dxa"/>
            <w:left w:w="0" w:type="dxa"/>
            <w:bottom w:w="0" w:type="dxa"/>
            <w:right w:w="0" w:type="dxa"/>
          </w:tblCellMar>
        </w:tblPrEx>
        <w:trPr>
          <w:trHeight w:val="312" w:hRule="atLeast"/>
        </w:trPr>
        <w:tc>
          <w:tcPr>
            <w:tcW w:w="1213" w:type="pct"/>
            <w:tcBorders>
              <w:top w:val="nil"/>
              <w:left w:val="nil"/>
              <w:bottom w:val="nil"/>
              <w:right w:val="nil"/>
            </w:tcBorders>
            <w:shd w:val="clear" w:color="auto" w:fill="auto"/>
            <w:noWrap/>
            <w:tcMar>
              <w:top w:w="12" w:type="dxa"/>
              <w:left w:w="12" w:type="dxa"/>
              <w:right w:w="12" w:type="dxa"/>
            </w:tcMar>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附表3-5</w:t>
            </w:r>
          </w:p>
        </w:tc>
        <w:tc>
          <w:tcPr>
            <w:tcW w:w="1071"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793"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900"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16"/>
                <w:szCs w:val="16"/>
              </w:rPr>
            </w:pPr>
          </w:p>
        </w:tc>
        <w:tc>
          <w:tcPr>
            <w:tcW w:w="1021"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16"/>
                <w:szCs w:val="16"/>
              </w:rPr>
            </w:pPr>
          </w:p>
        </w:tc>
      </w:tr>
      <w:tr>
        <w:tblPrEx>
          <w:tblCellMar>
            <w:top w:w="0" w:type="dxa"/>
            <w:left w:w="0" w:type="dxa"/>
            <w:bottom w:w="0" w:type="dxa"/>
            <w:right w:w="0" w:type="dxa"/>
          </w:tblCellMar>
        </w:tblPrEx>
        <w:trPr>
          <w:trHeight w:val="408" w:hRule="atLeast"/>
        </w:trPr>
        <w:tc>
          <w:tcPr>
            <w:tcW w:w="5000" w:type="pct"/>
            <w:gridSpan w:val="5"/>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2021年度一般公共预算拨款支出预算表</w:t>
            </w:r>
          </w:p>
        </w:tc>
      </w:tr>
      <w:tr>
        <w:tblPrEx>
          <w:tblCellMar>
            <w:top w:w="0" w:type="dxa"/>
            <w:left w:w="0" w:type="dxa"/>
            <w:bottom w:w="0" w:type="dxa"/>
            <w:right w:w="0" w:type="dxa"/>
          </w:tblCellMar>
        </w:tblPrEx>
        <w:trPr>
          <w:trHeight w:val="312" w:hRule="atLeast"/>
        </w:trPr>
        <w:tc>
          <w:tcPr>
            <w:tcW w:w="1213"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071"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793"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900"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021" w:type="pct"/>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121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92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其中：</w:t>
            </w:r>
          </w:p>
        </w:tc>
      </w:tr>
      <w:tr>
        <w:tblPrEx>
          <w:tblCellMar>
            <w:top w:w="0" w:type="dxa"/>
            <w:left w:w="0" w:type="dxa"/>
            <w:bottom w:w="0" w:type="dxa"/>
            <w:right w:w="0" w:type="dxa"/>
          </w:tblCellMar>
        </w:tblPrEx>
        <w:trPr>
          <w:trHeight w:val="402" w:hRule="atLeast"/>
        </w:trPr>
        <w:tc>
          <w:tcPr>
            <w:tcW w:w="121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107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2</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2011301</w:t>
            </w:r>
          </w:p>
        </w:tc>
        <w:tc>
          <w:tcPr>
            <w:tcW w:w="107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218.94</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widowControl/>
              <w:jc w:val="right"/>
              <w:textAlignment w:val="bottom"/>
              <w:rPr>
                <w:rFonts w:ascii="宋体" w:hAnsi="宋体" w:eastAsia="宋体" w:cs="宋体"/>
                <w:color w:val="000000"/>
                <w:sz w:val="22"/>
              </w:rPr>
            </w:pPr>
            <w:r>
              <w:rPr>
                <w:rFonts w:hint="eastAsia" w:ascii="宋体" w:hAnsi="宋体" w:eastAsia="宋体" w:cs="宋体"/>
                <w:color w:val="000000"/>
                <w:kern w:val="0"/>
                <w:sz w:val="22"/>
              </w:rPr>
              <w:t>218.94</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2011308</w:t>
            </w:r>
          </w:p>
        </w:tc>
        <w:tc>
          <w:tcPr>
            <w:tcW w:w="107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招商引资</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rPr>
              <w:t>327</w:t>
            </w:r>
            <w:r>
              <w:rPr>
                <w:rFonts w:hint="eastAsia" w:ascii="宋体" w:hAnsi="宋体" w:eastAsia="宋体" w:cs="宋体"/>
                <w:color w:val="000000"/>
                <w:kern w:val="0"/>
                <w:sz w:val="22"/>
                <w:lang w:val="en-US" w:eastAsia="zh-CN"/>
              </w:rPr>
              <w:t>.00</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327.00</w:t>
            </w: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2011399</w:t>
            </w:r>
          </w:p>
        </w:tc>
        <w:tc>
          <w:tcPr>
            <w:tcW w:w="107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其他商贸事务支出</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rPr>
              <w:t>221</w:t>
            </w:r>
            <w:r>
              <w:rPr>
                <w:rFonts w:hint="eastAsia" w:ascii="宋体" w:hAnsi="宋体" w:eastAsia="宋体" w:cs="宋体"/>
                <w:color w:val="000000"/>
                <w:kern w:val="0"/>
                <w:sz w:val="22"/>
                <w:lang w:val="en-US" w:eastAsia="zh-CN"/>
              </w:rPr>
              <w:t>.00</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221.00</w:t>
            </w: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2160699</w:t>
            </w:r>
          </w:p>
        </w:tc>
        <w:tc>
          <w:tcPr>
            <w:tcW w:w="107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其他涉外发展服务支出</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rPr>
              <w:t>800</w:t>
            </w:r>
            <w:r>
              <w:rPr>
                <w:rFonts w:hint="eastAsia" w:ascii="宋体" w:hAnsi="宋体" w:eastAsia="宋体" w:cs="宋体"/>
                <w:color w:val="000000"/>
                <w:kern w:val="0"/>
                <w:sz w:val="22"/>
                <w:lang w:val="en-US" w:eastAsia="zh-CN"/>
              </w:rPr>
              <w:t>.00</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800.00</w:t>
            </w:r>
          </w:p>
        </w:tc>
      </w:tr>
      <w:tr>
        <w:tblPrEx>
          <w:tblCellMar>
            <w:top w:w="0" w:type="dxa"/>
            <w:left w:w="0" w:type="dxa"/>
            <w:bottom w:w="0" w:type="dxa"/>
            <w:right w:w="0" w:type="dxa"/>
          </w:tblCellMar>
        </w:tblPrEx>
        <w:trPr>
          <w:trHeight w:val="402" w:hRule="atLeast"/>
        </w:trPr>
        <w:tc>
          <w:tcPr>
            <w:tcW w:w="121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2011399</w:t>
            </w:r>
          </w:p>
        </w:tc>
        <w:tc>
          <w:tcPr>
            <w:tcW w:w="107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其他商贸事务支出</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rPr>
              <w:t>104</w:t>
            </w:r>
            <w:r>
              <w:rPr>
                <w:rFonts w:hint="eastAsia" w:ascii="宋体" w:hAnsi="宋体" w:eastAsia="宋体" w:cs="宋体"/>
                <w:color w:val="000000"/>
                <w:kern w:val="0"/>
                <w:sz w:val="22"/>
                <w:lang w:val="en-US" w:eastAsia="zh-CN"/>
              </w:rPr>
              <w:t>.00</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104.00</w:t>
            </w:r>
          </w:p>
        </w:tc>
      </w:tr>
      <w:tr>
        <w:tblPrEx>
          <w:tblCellMar>
            <w:top w:w="0" w:type="dxa"/>
            <w:left w:w="0" w:type="dxa"/>
            <w:bottom w:w="0" w:type="dxa"/>
            <w:right w:w="0" w:type="dxa"/>
          </w:tblCellMar>
        </w:tblPrEx>
        <w:trPr>
          <w:trHeight w:val="402" w:hRule="atLeast"/>
        </w:trPr>
        <w:tc>
          <w:tcPr>
            <w:tcW w:w="22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合计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1670.94</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218.94</w:t>
            </w:r>
          </w:p>
        </w:tc>
        <w:tc>
          <w:tcPr>
            <w:tcW w:w="102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righ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1452.00</w:t>
            </w:r>
          </w:p>
        </w:tc>
      </w:tr>
    </w:tbl>
    <w:p>
      <w:pPr>
        <w:pStyle w:val="2"/>
      </w:pPr>
    </w:p>
    <w:p>
      <w:pPr>
        <w:numPr>
          <w:ilvl w:val="0"/>
          <w:numId w:val="1"/>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政府性基金拨款支出预算表</w:t>
      </w:r>
    </w:p>
    <w:tbl>
      <w:tblPr>
        <w:tblStyle w:val="6"/>
        <w:tblW w:w="4998" w:type="pct"/>
        <w:tblInd w:w="0" w:type="dxa"/>
        <w:tblLayout w:type="autofit"/>
        <w:tblCellMar>
          <w:top w:w="0" w:type="dxa"/>
          <w:left w:w="0" w:type="dxa"/>
          <w:bottom w:w="0" w:type="dxa"/>
          <w:right w:w="0" w:type="dxa"/>
        </w:tblCellMar>
      </w:tblPr>
      <w:tblGrid>
        <w:gridCol w:w="1538"/>
        <w:gridCol w:w="2310"/>
        <w:gridCol w:w="1491"/>
        <w:gridCol w:w="1491"/>
        <w:gridCol w:w="1497"/>
      </w:tblGrid>
      <w:tr>
        <w:tblPrEx>
          <w:tblCellMar>
            <w:top w:w="0" w:type="dxa"/>
            <w:left w:w="0" w:type="dxa"/>
            <w:bottom w:w="0" w:type="dxa"/>
            <w:right w:w="0" w:type="dxa"/>
          </w:tblCellMar>
        </w:tblPrEx>
        <w:trPr>
          <w:trHeight w:val="492" w:hRule="atLeast"/>
        </w:trPr>
        <w:tc>
          <w:tcPr>
            <w:tcW w:w="924" w:type="pct"/>
            <w:tcBorders>
              <w:top w:val="nil"/>
              <w:left w:val="nil"/>
              <w:bottom w:val="nil"/>
              <w:right w:val="nil"/>
            </w:tcBorders>
            <w:shd w:val="clear" w:color="auto" w:fill="auto"/>
            <w:noWrap/>
            <w:tcMar>
              <w:top w:w="12" w:type="dxa"/>
              <w:left w:w="12" w:type="dxa"/>
              <w:right w:w="12" w:type="dxa"/>
            </w:tcMar>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附表3-6</w:t>
            </w:r>
          </w:p>
        </w:tc>
        <w:tc>
          <w:tcPr>
            <w:tcW w:w="1387"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895"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895"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16"/>
                <w:szCs w:val="16"/>
              </w:rPr>
            </w:pPr>
          </w:p>
        </w:tc>
        <w:tc>
          <w:tcPr>
            <w:tcW w:w="898"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16"/>
                <w:szCs w:val="16"/>
              </w:rPr>
            </w:pPr>
          </w:p>
        </w:tc>
      </w:tr>
      <w:tr>
        <w:tblPrEx>
          <w:tblCellMar>
            <w:top w:w="0" w:type="dxa"/>
            <w:left w:w="0" w:type="dxa"/>
            <w:bottom w:w="0" w:type="dxa"/>
            <w:right w:w="0" w:type="dxa"/>
          </w:tblCellMar>
        </w:tblPrEx>
        <w:trPr>
          <w:trHeight w:val="529" w:hRule="atLeast"/>
        </w:trPr>
        <w:tc>
          <w:tcPr>
            <w:tcW w:w="5000" w:type="pct"/>
            <w:gridSpan w:val="5"/>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2021年度政府性基金拨款支出预算表</w:t>
            </w:r>
          </w:p>
        </w:tc>
      </w:tr>
      <w:tr>
        <w:tblPrEx>
          <w:tblCellMar>
            <w:top w:w="0" w:type="dxa"/>
            <w:left w:w="0" w:type="dxa"/>
            <w:bottom w:w="0" w:type="dxa"/>
            <w:right w:w="0" w:type="dxa"/>
          </w:tblCellMar>
        </w:tblPrEx>
        <w:trPr>
          <w:trHeight w:val="312" w:hRule="atLeast"/>
        </w:trPr>
        <w:tc>
          <w:tcPr>
            <w:tcW w:w="924"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1387"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895"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895"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c>
          <w:tcPr>
            <w:tcW w:w="898" w:type="pct"/>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92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387"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89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93"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其中：</w:t>
            </w:r>
          </w:p>
        </w:tc>
      </w:tr>
      <w:tr>
        <w:tblPrEx>
          <w:tblCellMar>
            <w:top w:w="0" w:type="dxa"/>
            <w:left w:w="0" w:type="dxa"/>
            <w:bottom w:w="0" w:type="dxa"/>
            <w:right w:w="0" w:type="dxa"/>
          </w:tblCellMar>
        </w:tblPrEx>
        <w:trPr>
          <w:trHeight w:val="402" w:hRule="atLeast"/>
        </w:trPr>
        <w:tc>
          <w:tcPr>
            <w:tcW w:w="92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1387"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89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宋体" w:hAnsi="宋体" w:eastAsia="宋体" w:cs="宋体"/>
                <w:b/>
                <w:color w:val="000000"/>
                <w:sz w:val="22"/>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CellMar>
            <w:top w:w="0" w:type="dxa"/>
            <w:left w:w="0" w:type="dxa"/>
            <w:bottom w:w="0" w:type="dxa"/>
            <w:right w:w="0" w:type="dxa"/>
          </w:tblCellMar>
        </w:tblPrEx>
        <w:trPr>
          <w:trHeight w:val="402" w:hRule="atLeast"/>
        </w:trPr>
        <w:tc>
          <w:tcPr>
            <w:tcW w:w="92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138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2</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0" w:type="dxa"/>
            <w:bottom w:w="0" w:type="dxa"/>
            <w:right w:w="0" w:type="dxa"/>
          </w:tblCellMar>
        </w:tblPrEx>
        <w:trPr>
          <w:trHeight w:val="402" w:hRule="atLeast"/>
        </w:trPr>
        <w:tc>
          <w:tcPr>
            <w:tcW w:w="92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无</w:t>
            </w:r>
          </w:p>
        </w:tc>
        <w:tc>
          <w:tcPr>
            <w:tcW w:w="138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2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ascii="宋体" w:hAnsi="宋体" w:eastAsia="宋体" w:cs="宋体"/>
                <w:color w:val="000000"/>
                <w:sz w:val="22"/>
              </w:rPr>
            </w:pPr>
          </w:p>
        </w:tc>
        <w:tc>
          <w:tcPr>
            <w:tcW w:w="138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left"/>
              <w:rPr>
                <w:rFonts w:ascii="宋体" w:hAnsi="宋体" w:eastAsia="宋体" w:cs="宋体"/>
                <w:color w:val="000000"/>
                <w:sz w:val="22"/>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2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38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2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138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bottom"/>
          </w:tcPr>
          <w:p>
            <w:pPr>
              <w:rPr>
                <w:rFonts w:ascii="宋体" w:hAnsi="宋体" w:eastAsia="宋体" w:cs="宋体"/>
                <w:color w:val="000000"/>
                <w:sz w:val="22"/>
              </w:rPr>
            </w:pPr>
          </w:p>
        </w:tc>
      </w:tr>
    </w:tbl>
    <w:p>
      <w:pPr>
        <w:tabs>
          <w:tab w:val="left" w:pos="7513"/>
        </w:tabs>
        <w:adjustRightInd w:val="0"/>
        <w:snapToGrid w:val="0"/>
        <w:spacing w:line="24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说明：本单位20</w:t>
      </w:r>
      <w:r>
        <w:rPr>
          <w:rFonts w:hint="eastAsia" w:ascii="Times New Roman" w:hAnsi="Times New Roman" w:eastAsia="仿宋" w:cs="Times New Roman"/>
          <w:sz w:val="32"/>
          <w:szCs w:val="32"/>
          <w:lang w:val="en-US" w:eastAsia="zh-CN"/>
        </w:rPr>
        <w:t>21</w:t>
      </w:r>
      <w:r>
        <w:rPr>
          <w:rFonts w:hint="eastAsia" w:ascii="Times New Roman" w:hAnsi="Times New Roman" w:eastAsia="仿宋" w:cs="Times New Roman"/>
          <w:sz w:val="32"/>
          <w:szCs w:val="32"/>
        </w:rPr>
        <w:t>年度无政府性基金拨款支出</w:t>
      </w:r>
    </w:p>
    <w:p>
      <w:pPr>
        <w:pStyle w:val="2"/>
      </w:pPr>
    </w:p>
    <w:p>
      <w:pPr>
        <w:numPr>
          <w:ilvl w:val="0"/>
          <w:numId w:val="1"/>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一般公共预算支出经济分类情况表</w:t>
      </w:r>
    </w:p>
    <w:p>
      <w:pPr>
        <w:pStyle w:val="2"/>
      </w:pPr>
    </w:p>
    <w:p>
      <w:pPr>
        <w:pStyle w:val="2"/>
      </w:pPr>
    </w:p>
    <w:p>
      <w:pPr>
        <w:pStyle w:val="2"/>
      </w:pPr>
    </w:p>
    <w:p>
      <w:pPr>
        <w:pStyle w:val="2"/>
      </w:pPr>
    </w:p>
    <w:p>
      <w:pPr>
        <w:pStyle w:val="2"/>
      </w:pPr>
    </w:p>
    <w:tbl>
      <w:tblPr>
        <w:tblStyle w:val="6"/>
        <w:tblW w:w="4998" w:type="pct"/>
        <w:tblInd w:w="0" w:type="dxa"/>
        <w:tblLayout w:type="autofit"/>
        <w:tblCellMar>
          <w:top w:w="0" w:type="dxa"/>
          <w:left w:w="0" w:type="dxa"/>
          <w:bottom w:w="0" w:type="dxa"/>
          <w:right w:w="0" w:type="dxa"/>
        </w:tblCellMar>
      </w:tblPr>
      <w:tblGrid>
        <w:gridCol w:w="1695"/>
        <w:gridCol w:w="3596"/>
        <w:gridCol w:w="3036"/>
      </w:tblGrid>
      <w:tr>
        <w:tblPrEx>
          <w:tblCellMar>
            <w:top w:w="0" w:type="dxa"/>
            <w:left w:w="0" w:type="dxa"/>
            <w:bottom w:w="0" w:type="dxa"/>
            <w:right w:w="0" w:type="dxa"/>
          </w:tblCellMar>
        </w:tblPrEx>
        <w:trPr>
          <w:trHeight w:val="469" w:hRule="atLeast"/>
        </w:trPr>
        <w:tc>
          <w:tcPr>
            <w:tcW w:w="1018" w:type="pct"/>
            <w:tcBorders>
              <w:top w:val="nil"/>
              <w:left w:val="nil"/>
              <w:bottom w:val="nil"/>
              <w:right w:val="nil"/>
            </w:tcBorders>
            <w:shd w:val="clear" w:color="auto" w:fill="FFFFFF"/>
            <w:noWrap/>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附表3-7</w:t>
            </w:r>
          </w:p>
        </w:tc>
        <w:tc>
          <w:tcPr>
            <w:tcW w:w="2158"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c>
          <w:tcPr>
            <w:tcW w:w="1822" w:type="pct"/>
            <w:tcBorders>
              <w:top w:val="nil"/>
              <w:left w:val="nil"/>
              <w:bottom w:val="nil"/>
              <w:right w:val="nil"/>
            </w:tcBorders>
            <w:shd w:val="clear" w:color="auto" w:fill="auto"/>
            <w:noWrap/>
            <w:tcMar>
              <w:top w:w="12" w:type="dxa"/>
              <w:left w:w="12" w:type="dxa"/>
              <w:right w:w="12" w:type="dxa"/>
            </w:tcMar>
            <w:vAlign w:val="bottom"/>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743" w:hRule="atLeast"/>
        </w:trPr>
        <w:tc>
          <w:tcPr>
            <w:tcW w:w="5000" w:type="pct"/>
            <w:gridSpan w:val="3"/>
            <w:tcBorders>
              <w:top w:val="nil"/>
              <w:left w:val="nil"/>
              <w:bottom w:val="nil"/>
              <w:right w:val="nil"/>
            </w:tcBorders>
            <w:shd w:val="clear" w:color="auto" w:fill="FFFFFF"/>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2021年度一般公共预算支出经济分类情况表</w:t>
            </w:r>
          </w:p>
        </w:tc>
      </w:tr>
      <w:tr>
        <w:tblPrEx>
          <w:tblCellMar>
            <w:top w:w="0" w:type="dxa"/>
            <w:left w:w="0" w:type="dxa"/>
            <w:bottom w:w="0" w:type="dxa"/>
            <w:right w:w="0" w:type="dxa"/>
          </w:tblCellMar>
        </w:tblPrEx>
        <w:trPr>
          <w:trHeight w:val="360" w:hRule="atLeast"/>
        </w:trPr>
        <w:tc>
          <w:tcPr>
            <w:tcW w:w="1018" w:type="pct"/>
            <w:tcBorders>
              <w:top w:val="nil"/>
              <w:left w:val="nil"/>
              <w:bottom w:val="nil"/>
              <w:right w:val="nil"/>
            </w:tcBorders>
            <w:shd w:val="clear" w:color="auto" w:fill="FFFFFF"/>
            <w:noWrap/>
            <w:tcMar>
              <w:top w:w="12" w:type="dxa"/>
              <w:left w:w="12" w:type="dxa"/>
              <w:right w:w="12" w:type="dxa"/>
            </w:tcMar>
            <w:vAlign w:val="center"/>
          </w:tcPr>
          <w:p>
            <w:pPr>
              <w:jc w:val="left"/>
              <w:rPr>
                <w:rFonts w:ascii="宋体" w:hAnsi="宋体" w:eastAsia="宋体" w:cs="宋体"/>
                <w:color w:val="000000"/>
                <w:sz w:val="20"/>
                <w:szCs w:val="20"/>
              </w:rPr>
            </w:pPr>
          </w:p>
        </w:tc>
        <w:tc>
          <w:tcPr>
            <w:tcW w:w="2158" w:type="pct"/>
            <w:tcBorders>
              <w:top w:val="nil"/>
              <w:left w:val="nil"/>
              <w:bottom w:val="nil"/>
              <w:right w:val="nil"/>
            </w:tcBorders>
            <w:shd w:val="clear" w:color="auto" w:fill="auto"/>
            <w:noWrap/>
            <w:tcMar>
              <w:top w:w="12" w:type="dxa"/>
              <w:left w:w="12" w:type="dxa"/>
              <w:right w:w="12" w:type="dxa"/>
            </w:tcMar>
            <w:vAlign w:val="bottom"/>
          </w:tcPr>
          <w:p>
            <w:pPr>
              <w:jc w:val="right"/>
              <w:rPr>
                <w:rFonts w:ascii="宋体" w:hAnsi="宋体" w:eastAsia="宋体" w:cs="宋体"/>
                <w:color w:val="000000"/>
                <w:sz w:val="20"/>
                <w:szCs w:val="20"/>
              </w:rPr>
            </w:pPr>
          </w:p>
        </w:tc>
        <w:tc>
          <w:tcPr>
            <w:tcW w:w="1822" w:type="pct"/>
            <w:tcBorders>
              <w:top w:val="nil"/>
              <w:left w:val="nil"/>
              <w:bottom w:val="nil"/>
              <w:right w:val="nil"/>
            </w:tcBorders>
            <w:shd w:val="clear" w:color="auto" w:fill="FFFFFF"/>
            <w:noWrap/>
            <w:tcMar>
              <w:top w:w="12" w:type="dxa"/>
              <w:left w:w="12" w:type="dxa"/>
              <w:right w:w="12"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0" w:type="dxa"/>
            <w:bottom w:w="0" w:type="dxa"/>
            <w:right w:w="0" w:type="dxa"/>
          </w:tblCellMar>
        </w:tblPrEx>
        <w:trPr>
          <w:trHeight w:val="630"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215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1822" w:type="pct"/>
            <w:tcBorders>
              <w:top w:val="single" w:color="000000" w:sz="4" w:space="0"/>
              <w:left w:val="single" w:color="000000" w:sz="4" w:space="0"/>
              <w:bottom w:val="nil"/>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317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default" w:ascii="宋体" w:hAnsi="宋体" w:eastAsia="宋体" w:cs="宋体"/>
                <w:b/>
                <w:color w:val="000000"/>
                <w:sz w:val="22"/>
                <w:lang w:val="en-US" w:eastAsia="zh-CN"/>
              </w:rPr>
            </w:pPr>
            <w:r>
              <w:rPr>
                <w:rFonts w:hint="eastAsia" w:ascii="宋体" w:hAnsi="宋体" w:eastAsia="宋体" w:cs="宋体"/>
                <w:b/>
                <w:color w:val="000000"/>
                <w:sz w:val="22"/>
                <w:lang w:val="en-US" w:eastAsia="zh-CN"/>
              </w:rPr>
              <w:t>1670.94</w:t>
            </w: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工资福利支出</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149.45</w:t>
            </w: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商品和服务支出</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68.55</w:t>
            </w: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对个人和家庭的补助</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0.94</w:t>
            </w:r>
          </w:p>
        </w:tc>
      </w:tr>
      <w:tr>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债务利息及费用支出</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309</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资本性支出（基本建设）</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327.00</w:t>
            </w: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311</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对企业补助（基本建设）</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312</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对企业补助</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1125.00</w:t>
            </w: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313</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对社会保障基金补助</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101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w:t>
            </w:r>
          </w:p>
        </w:tc>
        <w:tc>
          <w:tcPr>
            <w:tcW w:w="215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其他支出</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r>
    </w:tbl>
    <w:p>
      <w:pPr>
        <w:tabs>
          <w:tab w:val="left" w:pos="7513"/>
        </w:tabs>
        <w:adjustRightInd w:val="0"/>
        <w:snapToGrid w:val="0"/>
        <w:spacing w:line="600" w:lineRule="exact"/>
        <w:rPr>
          <w:rFonts w:ascii="仿宋" w:hAnsi="仿宋" w:eastAsia="仿宋"/>
          <w:sz w:val="32"/>
          <w:szCs w:val="32"/>
        </w:rPr>
      </w:pPr>
    </w:p>
    <w:p>
      <w:pPr>
        <w:numPr>
          <w:ilvl w:val="0"/>
          <w:numId w:val="1"/>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一般公共预算基本支出经济分类情况表</w:t>
      </w:r>
    </w:p>
    <w:tbl>
      <w:tblPr>
        <w:tblStyle w:val="6"/>
        <w:tblpPr w:leftFromText="180" w:rightFromText="180" w:vertAnchor="text" w:horzAnchor="page" w:tblpX="1778" w:tblpY="594"/>
        <w:tblOverlap w:val="never"/>
        <w:tblW w:w="4999" w:type="pct"/>
        <w:tblInd w:w="0" w:type="dxa"/>
        <w:tblLayout w:type="autofit"/>
        <w:tblCellMar>
          <w:top w:w="0" w:type="dxa"/>
          <w:left w:w="0" w:type="dxa"/>
          <w:bottom w:w="0" w:type="dxa"/>
          <w:right w:w="0" w:type="dxa"/>
        </w:tblCellMar>
      </w:tblPr>
      <w:tblGrid>
        <w:gridCol w:w="1681"/>
        <w:gridCol w:w="3984"/>
        <w:gridCol w:w="2663"/>
      </w:tblGrid>
      <w:tr>
        <w:tblPrEx>
          <w:tblCellMar>
            <w:top w:w="0" w:type="dxa"/>
            <w:left w:w="0" w:type="dxa"/>
            <w:bottom w:w="0" w:type="dxa"/>
            <w:right w:w="0" w:type="dxa"/>
          </w:tblCellMar>
        </w:tblPrEx>
        <w:trPr>
          <w:trHeight w:val="518" w:hRule="atLeast"/>
        </w:trPr>
        <w:tc>
          <w:tcPr>
            <w:tcW w:w="1074" w:type="pct"/>
            <w:tcBorders>
              <w:top w:val="nil"/>
              <w:left w:val="nil"/>
              <w:bottom w:val="nil"/>
              <w:right w:val="nil"/>
            </w:tcBorders>
            <w:shd w:val="clear" w:color="auto" w:fill="auto"/>
            <w:noWrap/>
            <w:tcMar>
              <w:top w:w="12" w:type="dxa"/>
              <w:left w:w="12" w:type="dxa"/>
              <w:right w:w="12" w:type="dxa"/>
            </w:tcMar>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附表3-8</w:t>
            </w:r>
          </w:p>
        </w:tc>
        <w:tc>
          <w:tcPr>
            <w:tcW w:w="2263" w:type="pct"/>
            <w:tcBorders>
              <w:top w:val="nil"/>
              <w:left w:val="nil"/>
              <w:bottom w:val="nil"/>
              <w:right w:val="nil"/>
            </w:tcBorders>
            <w:shd w:val="clear" w:color="auto" w:fill="auto"/>
            <w:noWrap/>
            <w:tcMar>
              <w:top w:w="12" w:type="dxa"/>
              <w:left w:w="12" w:type="dxa"/>
              <w:right w:w="12" w:type="dxa"/>
            </w:tcMar>
            <w:vAlign w:val="bottom"/>
          </w:tcPr>
          <w:p>
            <w:pPr>
              <w:rPr>
                <w:rFonts w:ascii="Arial" w:hAnsi="Arial" w:eastAsia="宋体" w:cs="Arial"/>
                <w:color w:val="000000"/>
                <w:sz w:val="20"/>
                <w:szCs w:val="20"/>
              </w:rPr>
            </w:pPr>
          </w:p>
        </w:tc>
        <w:tc>
          <w:tcPr>
            <w:tcW w:w="1661" w:type="pct"/>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75" w:hRule="atLeast"/>
        </w:trPr>
        <w:tc>
          <w:tcPr>
            <w:tcW w:w="5000" w:type="pct"/>
            <w:gridSpan w:val="3"/>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2021年度一般公共预算基本支出经济分类情况表</w:t>
            </w:r>
          </w:p>
        </w:tc>
      </w:tr>
      <w:tr>
        <w:tblPrEx>
          <w:tblCellMar>
            <w:top w:w="0" w:type="dxa"/>
            <w:left w:w="0" w:type="dxa"/>
            <w:bottom w:w="0" w:type="dxa"/>
            <w:right w:w="0" w:type="dxa"/>
          </w:tblCellMar>
        </w:tblPrEx>
        <w:trPr>
          <w:trHeight w:val="420" w:hRule="atLeast"/>
        </w:trPr>
        <w:tc>
          <w:tcPr>
            <w:tcW w:w="1074" w:type="pct"/>
            <w:tcBorders>
              <w:top w:val="nil"/>
              <w:left w:val="nil"/>
              <w:bottom w:val="nil"/>
              <w:right w:val="nil"/>
            </w:tcBorders>
            <w:shd w:val="clear" w:color="auto" w:fill="auto"/>
            <w:noWrap/>
            <w:tcMar>
              <w:top w:w="12" w:type="dxa"/>
              <w:left w:w="12" w:type="dxa"/>
              <w:right w:w="12" w:type="dxa"/>
            </w:tcMar>
            <w:vAlign w:val="center"/>
          </w:tcPr>
          <w:p>
            <w:pPr>
              <w:rPr>
                <w:rFonts w:ascii="Arial" w:hAnsi="Arial" w:eastAsia="宋体" w:cs="Arial"/>
                <w:color w:val="000000"/>
                <w:sz w:val="20"/>
                <w:szCs w:val="20"/>
              </w:rPr>
            </w:pPr>
          </w:p>
        </w:tc>
        <w:tc>
          <w:tcPr>
            <w:tcW w:w="3925" w:type="pct"/>
            <w:gridSpan w:val="2"/>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 编码</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333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218.94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工资福利支出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149.45</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基本工资</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52.24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津贴补贴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32.78</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奖金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伙食补助费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绩效工资</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6.88</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14.71</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职业年金缴费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职工基本医疗保险缴费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7.35</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公务员医疗补助缴费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8.36</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其他社会保障缴费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11.03</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其他工资福利支出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15.36</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商品和服务支出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68.55</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印刷费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0.25</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咨询费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226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手续费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0.18</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电费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0.35</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邮电费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取暖费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物业管理费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差旅费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因公出国（境）费用</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维修(护)费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0.32</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租赁费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会议费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培训费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专用材料费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被装购置费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专用燃料费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劳务费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委托业务费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工会经费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福利费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其他交通费用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税金及附加费用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其他商品和服务支出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62.51</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对个人和家庭的补助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0.94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离休费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退休费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退职(役)费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生活补助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0.94</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救济费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医疗费补助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助学金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奖励金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个人农业生产补贴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其他对个人和家庭的补助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债务利息及费用支出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国内债务付息</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国外债务付息</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国内债务发行费用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国外债务发行费用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资本性支出（基本建设）</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房屋建筑物购建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办公设备购置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专用设备购置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大型修缮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信息网络及软件购置更新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物资储备</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30913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30919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其他交通工具购置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30921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文物和陈列品购置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30922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无形资产购置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其他基本建设支出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310</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资本性支出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房屋建筑物购建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办公设备购置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专用设备购置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大型修缮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信息网络及软件购置更新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物资储备</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土地补偿</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安置补助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地上附着物和青苗补偿</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226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拆迁补偿</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其他交通工具购置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文物和陈列品购置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无形资产购置</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其他资本性支出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对企业补助（基本建设）</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31101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资本金注入</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31199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其他对企业补助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对企业补助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31201</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资本金注入</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政府投资基金股权投资</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31204</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费用补贴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31205</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利息补贴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其他对企业补助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对社会保障基金补助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31302</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对社会保险基金补助</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31303</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补充全国社会保障基金</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其他支出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0</w:t>
            </w: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39906</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赠与</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国家赔偿费用支出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对民间非营利组织和群众性自治组织补贴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074"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226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bl>
    <w:p>
      <w:pPr>
        <w:pStyle w:val="2"/>
      </w:pPr>
    </w:p>
    <w:p>
      <w:pPr>
        <w:numPr>
          <w:ilvl w:val="0"/>
          <w:numId w:val="1"/>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一般公共预算“三公”经费支出预算表</w:t>
      </w:r>
    </w:p>
    <w:tbl>
      <w:tblPr>
        <w:tblStyle w:val="6"/>
        <w:tblW w:w="4999" w:type="pct"/>
        <w:tblInd w:w="0" w:type="dxa"/>
        <w:tblLayout w:type="autofit"/>
        <w:tblCellMar>
          <w:top w:w="0" w:type="dxa"/>
          <w:left w:w="0" w:type="dxa"/>
          <w:bottom w:w="0" w:type="dxa"/>
          <w:right w:w="0" w:type="dxa"/>
        </w:tblCellMar>
      </w:tblPr>
      <w:tblGrid>
        <w:gridCol w:w="5250"/>
        <w:gridCol w:w="3078"/>
      </w:tblGrid>
      <w:tr>
        <w:tblPrEx>
          <w:tblCellMar>
            <w:top w:w="0" w:type="dxa"/>
            <w:left w:w="0" w:type="dxa"/>
            <w:bottom w:w="0" w:type="dxa"/>
            <w:right w:w="0" w:type="dxa"/>
          </w:tblCellMar>
        </w:tblPrEx>
        <w:trPr>
          <w:trHeight w:val="312" w:hRule="atLeast"/>
        </w:trPr>
        <w:tc>
          <w:tcPr>
            <w:tcW w:w="3152" w:type="pct"/>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附表3-9</w:t>
            </w:r>
          </w:p>
        </w:tc>
        <w:tc>
          <w:tcPr>
            <w:tcW w:w="1847" w:type="pct"/>
            <w:tcBorders>
              <w:top w:val="nil"/>
              <w:left w:val="nil"/>
              <w:bottom w:val="nil"/>
              <w:right w:val="nil"/>
            </w:tcBorders>
            <w:shd w:val="clear" w:color="auto" w:fill="auto"/>
            <w:noWrap/>
            <w:tcMar>
              <w:top w:w="12" w:type="dxa"/>
              <w:left w:w="12" w:type="dxa"/>
              <w:right w:w="12" w:type="dxa"/>
            </w:tcMar>
            <w:vAlign w:val="bottom"/>
          </w:tcPr>
          <w:p>
            <w:pPr>
              <w:rPr>
                <w:rFonts w:ascii="Arial" w:hAnsi="Arial" w:eastAsia="宋体" w:cs="Arial"/>
                <w:color w:val="000000"/>
                <w:sz w:val="20"/>
                <w:szCs w:val="20"/>
              </w:rPr>
            </w:pPr>
          </w:p>
        </w:tc>
      </w:tr>
      <w:tr>
        <w:tblPrEx>
          <w:tblCellMar>
            <w:top w:w="0" w:type="dxa"/>
            <w:left w:w="0" w:type="dxa"/>
            <w:bottom w:w="0" w:type="dxa"/>
            <w:right w:w="0" w:type="dxa"/>
          </w:tblCellMar>
        </w:tblPrEx>
        <w:trPr>
          <w:trHeight w:val="570" w:hRule="atLeast"/>
        </w:trPr>
        <w:tc>
          <w:tcPr>
            <w:tcW w:w="5000" w:type="pct"/>
            <w:gridSpan w:val="2"/>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2021年度一般公共预算“三公”经费支出预算表</w:t>
            </w:r>
          </w:p>
        </w:tc>
      </w:tr>
      <w:tr>
        <w:tblPrEx>
          <w:tblCellMar>
            <w:top w:w="0" w:type="dxa"/>
            <w:left w:w="0" w:type="dxa"/>
            <w:bottom w:w="0" w:type="dxa"/>
            <w:right w:w="0" w:type="dxa"/>
          </w:tblCellMar>
        </w:tblPrEx>
        <w:trPr>
          <w:trHeight w:val="360" w:hRule="atLeast"/>
        </w:trPr>
        <w:tc>
          <w:tcPr>
            <w:tcW w:w="3152" w:type="pct"/>
            <w:tcBorders>
              <w:top w:val="nil"/>
              <w:left w:val="nil"/>
              <w:bottom w:val="nil"/>
              <w:right w:val="nil"/>
            </w:tcBorders>
            <w:shd w:val="clear" w:color="auto" w:fill="auto"/>
            <w:noWrap/>
            <w:tcMar>
              <w:top w:w="12" w:type="dxa"/>
              <w:left w:w="12" w:type="dxa"/>
              <w:right w:w="12" w:type="dxa"/>
            </w:tcMar>
            <w:vAlign w:val="center"/>
          </w:tcPr>
          <w:p>
            <w:pPr>
              <w:rPr>
                <w:rFonts w:ascii="楷体_GB2312" w:hAnsi="宋体" w:eastAsia="楷体_GB2312" w:cs="楷体_GB2312"/>
                <w:color w:val="000000"/>
                <w:sz w:val="24"/>
                <w:szCs w:val="24"/>
              </w:rPr>
            </w:pPr>
          </w:p>
        </w:tc>
        <w:tc>
          <w:tcPr>
            <w:tcW w:w="1847" w:type="pct"/>
            <w:tcBorders>
              <w:top w:val="nil"/>
              <w:left w:val="nil"/>
              <w:bottom w:val="nil"/>
              <w:right w:val="nil"/>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1、因公出国（境）费用</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ind w:firstLine="2860" w:firstLineChars="1300"/>
            </w:pPr>
            <w:r>
              <w:rPr>
                <w:rFonts w:hint="eastAsia" w:ascii="宋体" w:hAnsi="宋体" w:eastAsia="宋体" w:cs="宋体"/>
                <w:color w:val="000000"/>
                <w:sz w:val="22"/>
              </w:rPr>
              <w:t>0</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2、公务接待费</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0.7</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3、公务用车购置及运行费</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其中：（1）公务用车运行费</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3152"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（2）公务用车购置费</w:t>
            </w:r>
          </w:p>
        </w:tc>
        <w:tc>
          <w:tcPr>
            <w:tcW w:w="1847"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930" w:hRule="atLeast"/>
        </w:trPr>
        <w:tc>
          <w:tcPr>
            <w:tcW w:w="5000" w:type="pct"/>
            <w:gridSpan w:val="2"/>
            <w:tcBorders>
              <w:top w:val="single" w:color="000000" w:sz="4" w:space="0"/>
              <w:left w:val="nil"/>
              <w:bottom w:val="nil"/>
              <w:right w:val="nil"/>
            </w:tcBorders>
            <w:shd w:val="clear" w:color="auto" w:fill="auto"/>
            <w:tcMar>
              <w:top w:w="12" w:type="dxa"/>
              <w:left w:w="12" w:type="dxa"/>
              <w:right w:w="12" w:type="dxa"/>
            </w:tcMar>
            <w:vAlign w:val="center"/>
          </w:tcPr>
          <w:p>
            <w:pPr>
              <w:widowControl/>
              <w:jc w:val="left"/>
              <w:textAlignment w:val="center"/>
              <w:rPr>
                <w:rFonts w:ascii="华文楷体" w:hAnsi="华文楷体" w:eastAsia="华文楷体" w:cs="华文楷体"/>
                <w:color w:val="000000"/>
                <w:sz w:val="22"/>
              </w:rPr>
            </w:pPr>
          </w:p>
        </w:tc>
      </w:tr>
    </w:tbl>
    <w:p>
      <w:pPr>
        <w:pStyle w:val="2"/>
      </w:pPr>
    </w:p>
    <w:p>
      <w:pPr>
        <w:pStyle w:val="3"/>
        <w:jc w:val="center"/>
        <w:rPr>
          <w:rFonts w:ascii="黑体" w:hAnsi="黑体" w:eastAsia="黑体"/>
          <w:sz w:val="36"/>
          <w:szCs w:val="36"/>
          <w:lang w:eastAsia="zh-CN"/>
        </w:rPr>
      </w:pPr>
      <w:r>
        <w:rPr>
          <w:rFonts w:hint="eastAsia" w:ascii="黑体" w:hAnsi="黑体" w:eastAsia="黑体"/>
          <w:sz w:val="36"/>
          <w:szCs w:val="36"/>
          <w:lang w:eastAsia="zh-CN"/>
        </w:rPr>
        <w:t>第三部分 2021年度部门预算情况说明</w:t>
      </w:r>
    </w:p>
    <w:p>
      <w:pPr>
        <w:ind w:firstLine="640" w:firstLineChars="200"/>
        <w:rPr>
          <w:rFonts w:ascii="仿宋" w:hAnsi="仿宋" w:eastAsia="仿宋" w:cs="仿宋_GB2312"/>
          <w:sz w:val="32"/>
          <w:szCs w:val="32"/>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一、预算收支总体情况</w:t>
      </w:r>
    </w:p>
    <w:p>
      <w:pPr>
        <w:tabs>
          <w:tab w:val="left" w:pos="7513"/>
        </w:tabs>
        <w:adjustRightInd w:val="0"/>
        <w:snapToGrid w:val="0"/>
        <w:spacing w:line="600" w:lineRule="exact"/>
        <w:ind w:firstLine="640" w:firstLineChars="200"/>
        <w:rPr>
          <w:rFonts w:ascii="仿宋" w:hAnsi="仿宋" w:eastAsia="仿宋"/>
          <w:sz w:val="32"/>
          <w:szCs w:val="32"/>
        </w:rPr>
      </w:pPr>
      <w:r>
        <w:rPr>
          <w:rFonts w:ascii="Times New Roman" w:hAnsi="Times New Roman" w:eastAsia="仿宋" w:cs="Times New Roman"/>
          <w:sz w:val="32"/>
          <w:szCs w:val="32"/>
        </w:rPr>
        <w:t>按照综合预算的原则，部门所有收入和支出均纳入部门预算管理。</w:t>
      </w:r>
      <w:r>
        <w:rPr>
          <w:rFonts w:hint="eastAsia" w:ascii="Times New Roman" w:hAnsi="Times New Roman" w:eastAsia="仿宋" w:cs="Times New Roman"/>
          <w:sz w:val="32"/>
          <w:szCs w:val="32"/>
        </w:rPr>
        <w:t>2021</w:t>
      </w:r>
      <w:r>
        <w:rPr>
          <w:rFonts w:ascii="Times New Roman" w:hAnsi="Times New Roman" w:eastAsia="仿宋" w:cs="Times New Roman"/>
          <w:sz w:val="32"/>
          <w:szCs w:val="32"/>
        </w:rPr>
        <w:t>年,上杭县商务局收入预算为</w:t>
      </w:r>
      <w:r>
        <w:rPr>
          <w:rFonts w:hint="eastAsia" w:ascii="Times New Roman" w:hAnsi="Times New Roman" w:eastAsia="仿宋" w:cs="Times New Roman"/>
          <w:sz w:val="32"/>
          <w:szCs w:val="32"/>
        </w:rPr>
        <w:t>1670.94</w:t>
      </w:r>
      <w:r>
        <w:rPr>
          <w:rFonts w:ascii="Times New Roman" w:hAnsi="Times New Roman" w:eastAsia="仿宋" w:cs="Times New Roman"/>
          <w:sz w:val="32"/>
          <w:szCs w:val="32"/>
        </w:rPr>
        <w:t>万元，比上年</w:t>
      </w:r>
      <w:r>
        <w:rPr>
          <w:rFonts w:hint="eastAsia" w:ascii="Times New Roman" w:hAnsi="Times New Roman" w:eastAsia="仿宋" w:cs="Times New Roman"/>
          <w:sz w:val="32"/>
          <w:szCs w:val="32"/>
        </w:rPr>
        <w:t>增加了157.61</w:t>
      </w:r>
      <w:r>
        <w:rPr>
          <w:rFonts w:ascii="Times New Roman" w:hAnsi="Times New Roman" w:eastAsia="仿宋" w:cs="Times New Roman"/>
          <w:sz w:val="32"/>
          <w:szCs w:val="32"/>
        </w:rPr>
        <w:t>万元，主要原因是</w:t>
      </w:r>
      <w:r>
        <w:rPr>
          <w:rFonts w:hint="eastAsia" w:ascii="Times New Roman" w:hAnsi="Times New Roman" w:eastAsia="仿宋" w:cs="Times New Roman"/>
          <w:sz w:val="32"/>
          <w:szCs w:val="32"/>
        </w:rPr>
        <w:t>增加了招商引资专项经费和限上企业统计基础工作经费</w:t>
      </w:r>
      <w:r>
        <w:rPr>
          <w:rFonts w:ascii="Times New Roman" w:hAnsi="Times New Roman" w:eastAsia="仿宋" w:cs="Times New Roman"/>
          <w:sz w:val="32"/>
          <w:szCs w:val="32"/>
        </w:rPr>
        <w:t>。其中：一般公共预算拨款</w:t>
      </w:r>
      <w:r>
        <w:rPr>
          <w:rFonts w:hint="eastAsia" w:ascii="Times New Roman" w:hAnsi="Times New Roman" w:eastAsia="仿宋" w:cs="Times New Roman"/>
          <w:sz w:val="32"/>
          <w:szCs w:val="32"/>
        </w:rPr>
        <w:t>1670.94</w:t>
      </w:r>
      <w:r>
        <w:rPr>
          <w:rFonts w:ascii="Times New Roman" w:hAnsi="Times New Roman" w:eastAsia="仿宋" w:cs="Times New Roman"/>
          <w:sz w:val="32"/>
          <w:szCs w:val="32"/>
        </w:rPr>
        <w:t>万元，基金预算财政拨款0万元,财政专户拨款0万元,其他收入0万元,单位结余结转资金0万元。相应安排支出预算</w:t>
      </w:r>
      <w:r>
        <w:rPr>
          <w:rFonts w:hint="eastAsia" w:ascii="Times New Roman" w:hAnsi="Times New Roman" w:eastAsia="仿宋" w:cs="Times New Roman"/>
          <w:sz w:val="32"/>
          <w:szCs w:val="32"/>
        </w:rPr>
        <w:t>1670.94</w:t>
      </w:r>
      <w:r>
        <w:rPr>
          <w:rFonts w:ascii="Times New Roman" w:hAnsi="Times New Roman" w:eastAsia="仿宋" w:cs="Times New Roman"/>
          <w:sz w:val="32"/>
          <w:szCs w:val="32"/>
        </w:rPr>
        <w:t>万元，比上年</w:t>
      </w:r>
      <w:r>
        <w:rPr>
          <w:rFonts w:hint="eastAsia" w:ascii="Times New Roman" w:hAnsi="Times New Roman" w:eastAsia="仿宋" w:cs="Times New Roman"/>
          <w:sz w:val="32"/>
          <w:szCs w:val="32"/>
        </w:rPr>
        <w:t>增加了157.61</w:t>
      </w:r>
      <w:r>
        <w:rPr>
          <w:rFonts w:ascii="Times New Roman" w:hAnsi="Times New Roman" w:eastAsia="仿宋" w:cs="Times New Roman"/>
          <w:sz w:val="32"/>
          <w:szCs w:val="32"/>
        </w:rPr>
        <w:t>万元，其中：人员支出</w:t>
      </w:r>
      <w:r>
        <w:rPr>
          <w:rFonts w:hint="eastAsia" w:ascii="Times New Roman" w:hAnsi="Times New Roman" w:eastAsia="仿宋" w:cs="Times New Roman"/>
          <w:sz w:val="32"/>
          <w:szCs w:val="32"/>
        </w:rPr>
        <w:t>149.45</w:t>
      </w:r>
      <w:r>
        <w:rPr>
          <w:rFonts w:ascii="Times New Roman" w:hAnsi="Times New Roman" w:eastAsia="仿宋" w:cs="Times New Roman"/>
          <w:sz w:val="32"/>
          <w:szCs w:val="32"/>
        </w:rPr>
        <w:t>万元，对个人和家庭补助支出</w:t>
      </w:r>
      <w:r>
        <w:rPr>
          <w:rFonts w:hint="eastAsia" w:ascii="Times New Roman" w:hAnsi="Times New Roman" w:eastAsia="仿宋" w:cs="Times New Roman"/>
          <w:sz w:val="32"/>
          <w:szCs w:val="32"/>
        </w:rPr>
        <w:t>0.94</w:t>
      </w:r>
      <w:r>
        <w:rPr>
          <w:rFonts w:ascii="Times New Roman" w:hAnsi="Times New Roman" w:eastAsia="仿宋" w:cs="Times New Roman"/>
          <w:sz w:val="32"/>
          <w:szCs w:val="32"/>
        </w:rPr>
        <w:t>万元，公用支出</w:t>
      </w:r>
      <w:r>
        <w:rPr>
          <w:rFonts w:hint="eastAsia" w:ascii="Times New Roman" w:hAnsi="Times New Roman" w:eastAsia="仿宋" w:cs="Times New Roman"/>
          <w:sz w:val="32"/>
          <w:szCs w:val="32"/>
        </w:rPr>
        <w:t>68.55</w:t>
      </w:r>
      <w:r>
        <w:rPr>
          <w:rFonts w:ascii="Times New Roman" w:hAnsi="Times New Roman" w:eastAsia="仿宋" w:cs="Times New Roman"/>
          <w:sz w:val="32"/>
          <w:szCs w:val="32"/>
        </w:rPr>
        <w:t>万元，项目支出</w:t>
      </w:r>
      <w:r>
        <w:rPr>
          <w:rFonts w:hint="eastAsia" w:ascii="Times New Roman" w:hAnsi="Times New Roman" w:eastAsia="仿宋" w:cs="Times New Roman"/>
          <w:sz w:val="32"/>
          <w:szCs w:val="32"/>
        </w:rPr>
        <w:t>1452</w:t>
      </w:r>
      <w:r>
        <w:rPr>
          <w:rFonts w:ascii="Times New Roman" w:hAnsi="Times New Roman" w:eastAsia="仿宋" w:cs="Times New Roman"/>
          <w:sz w:val="32"/>
          <w:szCs w:val="32"/>
        </w:rPr>
        <w:t>万元。</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二、一般公共预算拨款支出情况</w:t>
      </w:r>
    </w:p>
    <w:p>
      <w:pPr>
        <w:tabs>
          <w:tab w:val="left" w:pos="7513"/>
        </w:tabs>
        <w:adjustRightInd w:val="0"/>
        <w:snapToGrid w:val="0"/>
        <w:spacing w:line="60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bCs/>
          <w:sz w:val="32"/>
          <w:szCs w:val="32"/>
        </w:rPr>
        <w:t>2021</w:t>
      </w:r>
      <w:r>
        <w:rPr>
          <w:rFonts w:ascii="Times New Roman" w:hAnsi="Times New Roman" w:eastAsia="仿宋" w:cs="Times New Roman"/>
          <w:sz w:val="32"/>
          <w:szCs w:val="32"/>
        </w:rPr>
        <w:t>年度一般公共预算拨款支出</w:t>
      </w:r>
      <w:r>
        <w:rPr>
          <w:rFonts w:hint="eastAsia" w:ascii="Times New Roman" w:hAnsi="Times New Roman" w:eastAsia="仿宋" w:cs="Times New Roman"/>
          <w:sz w:val="32"/>
          <w:szCs w:val="32"/>
        </w:rPr>
        <w:t>1670.94</w:t>
      </w:r>
      <w:r>
        <w:rPr>
          <w:rFonts w:ascii="Times New Roman" w:hAnsi="Times New Roman" w:eastAsia="仿宋" w:cs="Times New Roman"/>
          <w:sz w:val="32"/>
          <w:szCs w:val="32"/>
        </w:rPr>
        <w:t>万元，比上年</w:t>
      </w:r>
      <w:r>
        <w:rPr>
          <w:rFonts w:hint="eastAsia" w:ascii="Times New Roman" w:hAnsi="Times New Roman" w:eastAsia="仿宋" w:cs="Times New Roman"/>
          <w:sz w:val="32"/>
          <w:szCs w:val="32"/>
        </w:rPr>
        <w:t>增加了157.61</w:t>
      </w:r>
      <w:r>
        <w:rPr>
          <w:rFonts w:ascii="Times New Roman" w:hAnsi="Times New Roman" w:eastAsia="仿宋" w:cs="Times New Roman"/>
          <w:sz w:val="32"/>
          <w:szCs w:val="32"/>
        </w:rPr>
        <w:t>万元，主要原因是</w:t>
      </w:r>
      <w:r>
        <w:rPr>
          <w:rFonts w:hint="eastAsia" w:ascii="Times New Roman" w:hAnsi="Times New Roman" w:eastAsia="仿宋" w:cs="Times New Roman"/>
          <w:sz w:val="32"/>
          <w:szCs w:val="32"/>
        </w:rPr>
        <w:t>增加了招商引资专项经费和限上企业统计基础工作经费</w:t>
      </w:r>
      <w:r>
        <w:rPr>
          <w:rFonts w:ascii="Times New Roman" w:hAnsi="Times New Roman" w:eastAsia="仿宋" w:cs="Times New Roman"/>
          <w:sz w:val="32"/>
          <w:szCs w:val="32"/>
        </w:rPr>
        <w:t>，主要支出项目(按项级科目分类统计)包括：</w:t>
      </w:r>
    </w:p>
    <w:p>
      <w:pPr>
        <w:tabs>
          <w:tab w:val="left" w:pos="7513"/>
        </w:tabs>
        <w:adjustRightInd w:val="0"/>
        <w:snapToGrid w:val="0"/>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w:t>
      </w:r>
      <w:r>
        <w:rPr>
          <w:rFonts w:ascii="Times New Roman" w:hAnsi="Times New Roman" w:eastAsia="仿宋_GB2312" w:cs="Times New Roman"/>
          <w:color w:val="000000"/>
          <w:sz w:val="32"/>
          <w:szCs w:val="32"/>
        </w:rPr>
        <w:t>2011301行政运行（工资福利支出）</w:t>
      </w:r>
      <w:r>
        <w:rPr>
          <w:rFonts w:hint="eastAsia" w:ascii="Times New Roman" w:hAnsi="Times New Roman" w:eastAsia="仿宋_GB2312" w:cs="Times New Roman"/>
          <w:color w:val="000000"/>
          <w:sz w:val="32"/>
          <w:szCs w:val="32"/>
        </w:rPr>
        <w:t>150.39</w:t>
      </w:r>
      <w:r>
        <w:rPr>
          <w:rFonts w:ascii="Times New Roman" w:hAnsi="Times New Roman" w:eastAsia="仿宋" w:cs="Times New Roman"/>
          <w:sz w:val="32"/>
          <w:szCs w:val="32"/>
        </w:rPr>
        <w:t>万元。主要用于</w:t>
      </w:r>
      <w:r>
        <w:rPr>
          <w:rFonts w:ascii="Times New Roman" w:hAnsi="Times New Roman" w:eastAsia="仿宋_GB2312" w:cs="Times New Roman"/>
          <w:color w:val="000000"/>
          <w:sz w:val="32"/>
          <w:szCs w:val="32"/>
        </w:rPr>
        <w:t>人员工资、社会保障缴费、遗属补助支出</w:t>
      </w:r>
      <w:r>
        <w:rPr>
          <w:rFonts w:ascii="Times New Roman" w:hAnsi="Times New Roman" w:eastAsia="仿宋" w:cs="Times New Roman"/>
          <w:sz w:val="32"/>
          <w:szCs w:val="32"/>
        </w:rPr>
        <w:t>。</w:t>
      </w:r>
    </w:p>
    <w:p>
      <w:pPr>
        <w:tabs>
          <w:tab w:val="left" w:pos="7513"/>
        </w:tabs>
        <w:adjustRightInd w:val="0"/>
        <w:snapToGrid w:val="0"/>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w:t>
      </w:r>
      <w:r>
        <w:rPr>
          <w:rFonts w:ascii="Times New Roman" w:hAnsi="Times New Roman" w:eastAsia="仿宋_GB2312" w:cs="Times New Roman"/>
          <w:color w:val="000000"/>
          <w:sz w:val="32"/>
          <w:szCs w:val="32"/>
        </w:rPr>
        <w:t>2011301行政运行（商品和服务支出）</w:t>
      </w:r>
      <w:r>
        <w:rPr>
          <w:rFonts w:hint="eastAsia" w:ascii="Times New Roman" w:hAnsi="Times New Roman" w:eastAsia="仿宋" w:cs="Times New Roman"/>
          <w:sz w:val="32"/>
          <w:szCs w:val="32"/>
        </w:rPr>
        <w:t>68.55</w:t>
      </w:r>
      <w:r>
        <w:rPr>
          <w:rFonts w:ascii="Times New Roman" w:hAnsi="Times New Roman" w:eastAsia="仿宋" w:cs="Times New Roman"/>
          <w:sz w:val="32"/>
          <w:szCs w:val="32"/>
        </w:rPr>
        <w:t>万元。主要用于</w:t>
      </w:r>
      <w:r>
        <w:rPr>
          <w:rFonts w:ascii="Times New Roman" w:hAnsi="Times New Roman" w:eastAsia="仿宋_GB2312" w:cs="Times New Roman"/>
          <w:color w:val="000000"/>
          <w:sz w:val="32"/>
          <w:szCs w:val="32"/>
        </w:rPr>
        <w:t>人均经费、工会经费、车补及经常性业务费</w:t>
      </w:r>
      <w:r>
        <w:rPr>
          <w:rFonts w:ascii="Times New Roman" w:hAnsi="Times New Roman" w:eastAsia="仿宋" w:cs="Times New Roman"/>
          <w:sz w:val="32"/>
          <w:szCs w:val="32"/>
        </w:rPr>
        <w:t>支出。</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 w:cs="Times New Roman"/>
          <w:sz w:val="32"/>
          <w:szCs w:val="32"/>
        </w:rPr>
        <w:t>（三）</w:t>
      </w:r>
      <w:r>
        <w:rPr>
          <w:rFonts w:ascii="Times New Roman" w:hAnsi="Times New Roman" w:eastAsia="仿宋_GB2312" w:cs="Times New Roman"/>
          <w:color w:val="000000"/>
          <w:sz w:val="32"/>
          <w:szCs w:val="32"/>
        </w:rPr>
        <w:t>2011308招商引资</w:t>
      </w:r>
      <w:r>
        <w:rPr>
          <w:rFonts w:hint="eastAsia" w:ascii="Times New Roman" w:hAnsi="Times New Roman" w:eastAsia="仿宋_GB2312" w:cs="Times New Roman"/>
          <w:color w:val="000000"/>
          <w:sz w:val="32"/>
          <w:szCs w:val="32"/>
        </w:rPr>
        <w:t>327</w:t>
      </w:r>
      <w:r>
        <w:rPr>
          <w:rFonts w:ascii="Times New Roman" w:hAnsi="Times New Roman" w:eastAsia="仿宋_GB2312" w:cs="Times New Roman"/>
          <w:color w:val="000000"/>
          <w:sz w:val="32"/>
          <w:szCs w:val="32"/>
        </w:rPr>
        <w:t>万元。主要用于日常招商引资工作支出。</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（四）2011399 其他商贸事务支出221万元。主要用于“菜篮子”工程的补贴支出。</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（五）2160699其他涉外发展服务支出800万元。主要用于外贸出口以奖代补支出。</w:t>
      </w:r>
    </w:p>
    <w:p>
      <w:pPr>
        <w:pStyle w:val="2"/>
        <w:ind w:firstLine="640" w:firstLineChars="200"/>
        <w:rPr>
          <w:rFonts w:eastAsia="仿宋_GB2312"/>
        </w:rPr>
      </w:pPr>
      <w:r>
        <w:rPr>
          <w:rFonts w:hint="eastAsia" w:ascii="Times New Roman" w:hAnsi="Times New Roman" w:eastAsia="仿宋_GB2312" w:cs="Times New Roman"/>
          <w:color w:val="000000"/>
          <w:sz w:val="32"/>
          <w:szCs w:val="32"/>
        </w:rPr>
        <w:t>（六）</w:t>
      </w:r>
      <w:r>
        <w:rPr>
          <w:rFonts w:ascii="Times New Roman" w:hAnsi="Times New Roman" w:eastAsia="仿宋_GB2312" w:cs="Times New Roman"/>
          <w:color w:val="000000"/>
          <w:sz w:val="32"/>
          <w:szCs w:val="32"/>
        </w:rPr>
        <w:t>2011399 其他商贸事务支出</w:t>
      </w:r>
      <w:r>
        <w:rPr>
          <w:rFonts w:hint="eastAsia" w:ascii="Times New Roman" w:hAnsi="Times New Roman" w:eastAsia="仿宋_GB2312" w:cs="Times New Roman"/>
          <w:color w:val="000000"/>
          <w:sz w:val="32"/>
          <w:szCs w:val="32"/>
        </w:rPr>
        <w:t>限上企业统计基础工作经费104万元。主要用于限上企业统计基础工作支出。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三、政府性基金预算拨款支出情况</w:t>
      </w:r>
    </w:p>
    <w:p>
      <w:pPr>
        <w:tabs>
          <w:tab w:val="left" w:pos="7513"/>
        </w:tabs>
        <w:adjustRightInd w:val="0"/>
        <w:snapToGrid w:val="0"/>
        <w:spacing w:line="600" w:lineRule="exact"/>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本单位20</w:t>
      </w:r>
      <w:r>
        <w:rPr>
          <w:rFonts w:hint="eastAsia" w:ascii="Times New Roman" w:hAnsi="Times New Roman" w:eastAsia="楷体" w:cs="Times New Roman"/>
          <w:sz w:val="32"/>
          <w:szCs w:val="32"/>
        </w:rPr>
        <w:t>21</w:t>
      </w:r>
      <w:r>
        <w:rPr>
          <w:rFonts w:ascii="Times New Roman" w:hAnsi="Times New Roman" w:eastAsia="楷体" w:cs="Times New Roman"/>
          <w:sz w:val="32"/>
          <w:szCs w:val="32"/>
        </w:rPr>
        <w:t>年度没有使用政府性基金预算拨款安排的支出。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四、财政拨款预算基本支出情况</w:t>
      </w:r>
    </w:p>
    <w:p>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Times New Roman" w:hAnsi="Times New Roman" w:eastAsia="仿宋_GB2312" w:cs="Times New Roman"/>
          <w:kern w:val="0"/>
          <w:sz w:val="32"/>
          <w:szCs w:val="32"/>
        </w:rPr>
        <w:t>2021</w:t>
      </w:r>
      <w:r>
        <w:rPr>
          <w:rFonts w:hint="eastAsia" w:ascii="仿宋" w:hAnsi="仿宋" w:eastAsia="仿宋" w:cs="仿宋_GB2312"/>
          <w:sz w:val="32"/>
          <w:szCs w:val="32"/>
        </w:rPr>
        <w:t>年度财政拨款基本支出</w:t>
      </w:r>
      <w:r>
        <w:rPr>
          <w:rFonts w:hint="eastAsia" w:ascii="Times New Roman" w:hAnsi="Times New Roman" w:eastAsia="仿宋_GB2312" w:cs="Times New Roman"/>
          <w:kern w:val="0"/>
          <w:sz w:val="32"/>
          <w:szCs w:val="32"/>
        </w:rPr>
        <w:t>218.94</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Times New Roman" w:hAnsi="Times New Roman" w:eastAsia="仿宋_GB2312" w:cs="Times New Roman"/>
          <w:kern w:val="0"/>
          <w:sz w:val="32"/>
          <w:szCs w:val="32"/>
        </w:rPr>
        <w:t>150.39</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Times New Roman" w:hAnsi="Times New Roman" w:eastAsia="仿宋_GB2312" w:cs="Times New Roman"/>
          <w:kern w:val="0"/>
          <w:sz w:val="32"/>
          <w:szCs w:val="32"/>
        </w:rPr>
        <w:t>68.55</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pPr>
        <w:widowControl/>
        <w:adjustRightInd w:val="0"/>
        <w:snapToGrid w:val="0"/>
        <w:spacing w:line="600" w:lineRule="exact"/>
        <w:ind w:firstLine="660"/>
        <w:rPr>
          <w:rFonts w:ascii="Times New Roman" w:hAnsi="Times New Roman" w:eastAsia="楷体" w:cs="Times New Roman"/>
          <w:sz w:val="32"/>
          <w:szCs w:val="32"/>
        </w:rPr>
      </w:pPr>
      <w:r>
        <w:rPr>
          <w:rFonts w:ascii="Times New Roman" w:hAnsi="Times New Roman" w:eastAsia="仿宋" w:cs="Times New Roman"/>
          <w:kern w:val="0"/>
          <w:sz w:val="32"/>
          <w:szCs w:val="32"/>
        </w:rPr>
        <w:t>20</w:t>
      </w:r>
      <w:r>
        <w:rPr>
          <w:rFonts w:hint="eastAsia" w:ascii="Times New Roman" w:hAnsi="Times New Roman" w:eastAsia="仿宋" w:cs="Times New Roman"/>
          <w:kern w:val="0"/>
          <w:sz w:val="32"/>
          <w:szCs w:val="32"/>
        </w:rPr>
        <w:t>21</w:t>
      </w:r>
      <w:r>
        <w:rPr>
          <w:rFonts w:ascii="Times New Roman" w:hAnsi="Times New Roman" w:eastAsia="仿宋" w:cs="Times New Roman"/>
          <w:kern w:val="0"/>
          <w:sz w:val="32"/>
          <w:szCs w:val="32"/>
        </w:rPr>
        <w:t>年预算安排</w:t>
      </w:r>
      <w:r>
        <w:rPr>
          <w:rFonts w:hint="eastAsia" w:ascii="Times New Roman" w:hAnsi="Times New Roman" w:eastAsia="仿宋_GB2312" w:cs="Times New Roman"/>
          <w:kern w:val="0"/>
          <w:sz w:val="32"/>
          <w:szCs w:val="32"/>
        </w:rPr>
        <w:t>0</w:t>
      </w:r>
      <w:r>
        <w:rPr>
          <w:rFonts w:ascii="Times New Roman" w:hAnsi="Times New Roman" w:eastAsia="仿宋" w:cs="Times New Roman"/>
          <w:kern w:val="0"/>
          <w:sz w:val="32"/>
          <w:szCs w:val="32"/>
        </w:rPr>
        <w:t>万元。</w:t>
      </w:r>
      <w:r>
        <w:rPr>
          <w:rFonts w:ascii="Times New Roman" w:hAnsi="Times New Roman" w:eastAsia="楷体" w:cs="Times New Roman"/>
          <w:sz w:val="32"/>
          <w:szCs w:val="32"/>
        </w:rPr>
        <w:t>与上年持平</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pPr>
        <w:widowControl/>
        <w:adjustRightInd w:val="0"/>
        <w:snapToGrid w:val="0"/>
        <w:spacing w:line="600" w:lineRule="exact"/>
        <w:ind w:firstLine="660"/>
        <w:rPr>
          <w:rFonts w:ascii="仿宋" w:hAnsi="仿宋" w:eastAsia="仿宋" w:cs="仿宋_GB2312"/>
          <w:sz w:val="32"/>
          <w:szCs w:val="32"/>
        </w:rPr>
      </w:pPr>
      <w:r>
        <w:rPr>
          <w:rFonts w:hint="eastAsia" w:ascii="Times New Roman" w:hAnsi="Times New Roman" w:eastAsia="仿宋" w:cs="Times New Roman"/>
          <w:kern w:val="0"/>
          <w:sz w:val="32"/>
          <w:szCs w:val="32"/>
        </w:rPr>
        <w:t>2021</w:t>
      </w:r>
      <w:r>
        <w:rPr>
          <w:rFonts w:hint="eastAsia" w:ascii="仿宋" w:hAnsi="仿宋" w:eastAsia="仿宋" w:cs="宋体"/>
          <w:kern w:val="0"/>
          <w:sz w:val="32"/>
          <w:szCs w:val="32"/>
        </w:rPr>
        <w:t>年预算安排</w:t>
      </w:r>
      <w:r>
        <w:rPr>
          <w:rFonts w:hint="eastAsia" w:ascii="Times New Roman" w:hAnsi="Times New Roman" w:eastAsia="仿宋_GB2312" w:cs="Times New Roman"/>
          <w:kern w:val="0"/>
          <w:sz w:val="32"/>
          <w:szCs w:val="32"/>
        </w:rPr>
        <w:t>0.7</w:t>
      </w:r>
      <w:r>
        <w:rPr>
          <w:rFonts w:hint="eastAsia" w:ascii="仿宋" w:hAnsi="仿宋" w:eastAsia="仿宋" w:cs="宋体"/>
          <w:kern w:val="0"/>
          <w:sz w:val="32"/>
          <w:szCs w:val="32"/>
        </w:rPr>
        <w:t>万元。主要用于</w:t>
      </w:r>
      <w:r>
        <w:rPr>
          <w:rFonts w:hint="eastAsia" w:ascii="仿宋" w:hAnsi="仿宋" w:eastAsia="仿宋" w:cs="仿宋_GB2312"/>
          <w:kern w:val="0"/>
          <w:sz w:val="32"/>
          <w:szCs w:val="32"/>
        </w:rPr>
        <w:t>公务</w:t>
      </w:r>
      <w:r>
        <w:rPr>
          <w:rFonts w:hint="eastAsia" w:ascii="仿宋" w:hAnsi="仿宋" w:eastAsia="仿宋" w:cs="宋体"/>
          <w:kern w:val="0"/>
          <w:sz w:val="32"/>
          <w:szCs w:val="32"/>
        </w:rPr>
        <w:t>等方面的接待活动。</w:t>
      </w:r>
      <w:r>
        <w:rPr>
          <w:rFonts w:hint="eastAsia" w:ascii="Times New Roman" w:hAnsi="Times New Roman" w:eastAsia="楷体" w:cs="Times New Roman"/>
          <w:sz w:val="32"/>
          <w:szCs w:val="32"/>
        </w:rPr>
        <w:t>与上年持平</w:t>
      </w:r>
    </w:p>
    <w:p>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rPr>
        <w:t xml:space="preserve"> </w:t>
      </w:r>
      <w:r>
        <w:rPr>
          <w:rFonts w:hint="eastAsia" w:ascii="Times New Roman" w:hAnsi="Times New Roman" w:eastAsia="仿宋" w:cs="Times New Roman"/>
          <w:kern w:val="0"/>
          <w:sz w:val="32"/>
          <w:szCs w:val="32"/>
        </w:rPr>
        <w:t>2</w:t>
      </w:r>
      <w:r>
        <w:rPr>
          <w:rFonts w:hint="eastAsia" w:ascii="Times New Roman" w:hAnsi="Times New Roman" w:eastAsia="仿宋" w:cs="Times New Roman"/>
          <w:kern w:val="0"/>
          <w:sz w:val="32"/>
          <w:szCs w:val="32"/>
          <w:lang w:val="en-US" w:eastAsia="zh-CN"/>
        </w:rPr>
        <w:t>0</w:t>
      </w:r>
      <w:r>
        <w:rPr>
          <w:rFonts w:hint="eastAsia" w:ascii="Times New Roman" w:hAnsi="Times New Roman" w:eastAsia="仿宋" w:cs="Times New Roman"/>
          <w:kern w:val="0"/>
          <w:sz w:val="32"/>
          <w:szCs w:val="32"/>
        </w:rPr>
        <w:t>21</w:t>
      </w:r>
      <w:r>
        <w:rPr>
          <w:rFonts w:ascii="Times New Roman" w:hAnsi="Times New Roman" w:eastAsia="仿宋" w:cs="Times New Roman"/>
          <w:kern w:val="0"/>
          <w:sz w:val="32"/>
          <w:szCs w:val="32"/>
        </w:rPr>
        <w:t>年预算安排</w:t>
      </w:r>
      <w:r>
        <w:rPr>
          <w:rFonts w:hint="eastAsia" w:ascii="Times New Roman" w:hAnsi="Times New Roman" w:eastAsia="仿宋_GB2312" w:cs="Times New Roman"/>
          <w:kern w:val="0"/>
          <w:sz w:val="32"/>
          <w:szCs w:val="32"/>
        </w:rPr>
        <w:t>0</w:t>
      </w:r>
      <w:r>
        <w:rPr>
          <w:rFonts w:ascii="Times New Roman" w:hAnsi="Times New Roman" w:eastAsia="仿宋" w:cs="Times New Roman"/>
          <w:kern w:val="0"/>
          <w:sz w:val="32"/>
          <w:szCs w:val="32"/>
        </w:rPr>
        <w:t>万元，</w:t>
      </w:r>
      <w:r>
        <w:rPr>
          <w:rFonts w:ascii="Times New Roman" w:hAnsi="Times New Roman" w:eastAsia="楷体" w:cs="Times New Roman"/>
          <w:sz w:val="32"/>
          <w:szCs w:val="32"/>
        </w:rPr>
        <w:t>与上年持平。</w:t>
      </w:r>
    </w:p>
    <w:p>
      <w:pPr>
        <w:spacing w:line="600" w:lineRule="exact"/>
        <w:rPr>
          <w:rFonts w:ascii="仿宋" w:hAnsi="仿宋" w:eastAsia="仿宋"/>
          <w:b/>
          <w:sz w:val="32"/>
          <w:szCs w:val="32"/>
        </w:rPr>
      </w:pPr>
      <w:r>
        <w:rPr>
          <w:rFonts w:hint="eastAsia" w:ascii="仿宋" w:hAnsi="仿宋" w:eastAsia="仿宋"/>
          <w:b/>
          <w:sz w:val="32"/>
          <w:szCs w:val="32"/>
        </w:rPr>
        <w:t>六、预算绩效目标情况</w:t>
      </w:r>
    </w:p>
    <w:p>
      <w:pPr>
        <w:spacing w:line="60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pPr>
        <w:spacing w:line="600" w:lineRule="exact"/>
        <w:ind w:firstLine="627" w:firstLineChars="196"/>
        <w:rPr>
          <w:rFonts w:ascii="仿宋" w:hAnsi="仿宋" w:eastAsia="仿宋" w:cs="仿宋_GB2312"/>
          <w:kern w:val="0"/>
          <w:sz w:val="32"/>
          <w:szCs w:val="32"/>
        </w:rPr>
      </w:pPr>
      <w:r>
        <w:rPr>
          <w:rFonts w:hint="eastAsia" w:ascii="Times New Roman" w:hAnsi="Times New Roman" w:eastAsia="仿宋" w:cs="Times New Roman"/>
          <w:kern w:val="0"/>
          <w:sz w:val="32"/>
          <w:szCs w:val="32"/>
        </w:rPr>
        <w:t>2021</w:t>
      </w:r>
      <w:r>
        <w:rPr>
          <w:rFonts w:ascii="Times New Roman" w:hAnsi="Times New Roman" w:eastAsia="仿宋" w:cs="Times New Roman"/>
          <w:kern w:val="0"/>
          <w:sz w:val="32"/>
          <w:szCs w:val="32"/>
        </w:rPr>
        <w:t>年上杭县商务局共设置</w:t>
      </w: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个项目绩效目标（注：包括部门业务费绩效目标和专项资金绩效目标），分别是招商引资专项、“菜篮子”工程补助、外贸出口以奖代补项目</w:t>
      </w:r>
      <w:r>
        <w:rPr>
          <w:rFonts w:hint="eastAsia" w:ascii="Times New Roman" w:hAnsi="Times New Roman" w:eastAsia="仿宋" w:cs="Times New Roman"/>
          <w:kern w:val="0"/>
          <w:sz w:val="32"/>
          <w:szCs w:val="32"/>
        </w:rPr>
        <w:t>、限上企业统计基础工作经费</w:t>
      </w:r>
      <w:r>
        <w:rPr>
          <w:rFonts w:ascii="Times New Roman" w:hAnsi="Times New Roman" w:eastAsia="仿宋" w:cs="Times New Roman"/>
          <w:kern w:val="0"/>
          <w:sz w:val="32"/>
          <w:szCs w:val="32"/>
        </w:rPr>
        <w:t>，共涉及财政拨款资金</w:t>
      </w:r>
      <w:r>
        <w:rPr>
          <w:rFonts w:hint="eastAsia" w:ascii="Times New Roman" w:hAnsi="Times New Roman" w:eastAsia="仿宋" w:cs="Times New Roman"/>
          <w:kern w:val="0"/>
          <w:sz w:val="32"/>
          <w:szCs w:val="32"/>
        </w:rPr>
        <w:t>1452</w:t>
      </w:r>
      <w:r>
        <w:rPr>
          <w:rFonts w:ascii="Times New Roman" w:hAnsi="Times New Roman" w:eastAsia="仿宋" w:cs="Times New Roman"/>
          <w:kern w:val="0"/>
          <w:sz w:val="32"/>
          <w:szCs w:val="32"/>
        </w:rPr>
        <w:t>万元。</w:t>
      </w:r>
    </w:p>
    <w:p>
      <w:pPr>
        <w:spacing w:line="60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1.部门业务费绩效目标表</w:t>
      </w:r>
    </w:p>
    <w:tbl>
      <w:tblPr>
        <w:tblStyle w:val="6"/>
        <w:tblW w:w="4998" w:type="pct"/>
        <w:tblInd w:w="0" w:type="dxa"/>
        <w:shd w:val="clear" w:color="auto" w:fill="auto"/>
        <w:tblLayout w:type="autofit"/>
        <w:tblCellMar>
          <w:top w:w="0" w:type="dxa"/>
          <w:left w:w="0" w:type="dxa"/>
          <w:bottom w:w="0" w:type="dxa"/>
          <w:right w:w="0" w:type="dxa"/>
        </w:tblCellMar>
      </w:tblPr>
      <w:tblGrid>
        <w:gridCol w:w="1116"/>
        <w:gridCol w:w="1157"/>
        <w:gridCol w:w="2957"/>
        <w:gridCol w:w="3103"/>
      </w:tblGrid>
      <w:tr>
        <w:tblPrEx>
          <w:shd w:val="clear" w:color="auto" w:fill="auto"/>
          <w:tblCellMar>
            <w:top w:w="0" w:type="dxa"/>
            <w:left w:w="0" w:type="dxa"/>
            <w:bottom w:w="0" w:type="dxa"/>
            <w:right w:w="0" w:type="dxa"/>
          </w:tblCellMar>
        </w:tblPrEx>
        <w:trPr>
          <w:trHeight w:val="698" w:hRule="atLeast"/>
        </w:trPr>
        <w:tc>
          <w:tcPr>
            <w:tcW w:w="5000" w:type="pct"/>
            <w:gridSpan w:val="4"/>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32"/>
                <w:szCs w:val="32"/>
                <w:u w:val="none"/>
              </w:rPr>
            </w:pPr>
            <w:r>
              <w:rPr>
                <w:rFonts w:hint="default" w:ascii="方正小标宋_GBK" w:hAnsi="方正小标宋_GBK" w:eastAsia="方正小标宋_GBK" w:cs="方正小标宋_GBK"/>
                <w:i w:val="0"/>
                <w:color w:val="000000"/>
                <w:kern w:val="0"/>
                <w:sz w:val="32"/>
                <w:szCs w:val="32"/>
                <w:u w:val="none"/>
                <w:lang w:val="en-US" w:eastAsia="zh-CN" w:bidi="ar"/>
              </w:rPr>
              <w:t>2021年度部门业务费绩效目标表</w:t>
            </w:r>
          </w:p>
        </w:tc>
      </w:tr>
      <w:tr>
        <w:tblPrEx>
          <w:shd w:val="clear" w:color="auto" w:fill="auto"/>
          <w:tblCellMar>
            <w:top w:w="0" w:type="dxa"/>
            <w:left w:w="0" w:type="dxa"/>
            <w:bottom w:w="0" w:type="dxa"/>
            <w:right w:w="0" w:type="dxa"/>
          </w:tblCellMar>
        </w:tblPrEx>
        <w:trPr>
          <w:trHeight w:val="1725" w:hRule="atLeast"/>
        </w:trPr>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总体目标</w:t>
            </w:r>
          </w:p>
        </w:tc>
        <w:tc>
          <w:tcPr>
            <w:tcW w:w="432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无</w:t>
            </w:r>
          </w:p>
        </w:tc>
      </w:tr>
      <w:tr>
        <w:tblPrEx>
          <w:shd w:val="clear" w:color="auto" w:fill="auto"/>
          <w:tblCellMar>
            <w:top w:w="0" w:type="dxa"/>
            <w:left w:w="0" w:type="dxa"/>
            <w:bottom w:w="0" w:type="dxa"/>
            <w:right w:w="0" w:type="dxa"/>
          </w:tblCellMar>
        </w:tblPrEx>
        <w:trPr>
          <w:trHeight w:val="402" w:hRule="atLeast"/>
        </w:trPr>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绩效目标  </w:t>
            </w:r>
          </w:p>
        </w:tc>
        <w:tc>
          <w:tcPr>
            <w:tcW w:w="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w:t>
            </w: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绩效内容</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全年绩效目标值</w:t>
            </w: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投入 </w:t>
            </w: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目标2：</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w:t>
            </w: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目标2：</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w:t>
            </w: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目标2：</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2" w:hRule="atLeast"/>
        </w:trPr>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numPr>
          <w:ilvl w:val="0"/>
          <w:numId w:val="0"/>
        </w:numPr>
        <w:spacing w:line="600" w:lineRule="exact"/>
        <w:ind w:firstLine="640" w:firstLineChars="200"/>
        <w:rPr>
          <w:rFonts w:hint="eastAsia" w:ascii="仿宋" w:hAnsi="仿宋" w:eastAsia="仿宋"/>
          <w:sz w:val="32"/>
          <w:szCs w:val="32"/>
          <w:lang w:val="en-US" w:eastAsia="zh-CN"/>
        </w:rPr>
      </w:pPr>
    </w:p>
    <w:p>
      <w:pPr>
        <w:numPr>
          <w:ilvl w:val="0"/>
          <w:numId w:val="0"/>
        </w:numPr>
        <w:spacing w:line="600" w:lineRule="exact"/>
        <w:ind w:firstLine="640" w:firstLineChars="200"/>
        <w:rPr>
          <w:rFonts w:hint="eastAsia" w:ascii="仿宋" w:hAnsi="仿宋" w:eastAsia="仿宋"/>
          <w:sz w:val="32"/>
          <w:szCs w:val="32"/>
          <w:lang w:val="en-US" w:eastAsia="zh-CN"/>
        </w:rPr>
      </w:pPr>
    </w:p>
    <w:p>
      <w:pPr>
        <w:pStyle w:val="2"/>
        <w:rPr>
          <w:rFonts w:hint="eastAsia"/>
          <w:lang w:val="en-US" w:eastAsia="zh-CN"/>
        </w:rPr>
      </w:pPr>
    </w:p>
    <w:p>
      <w:pPr>
        <w:numPr>
          <w:ilvl w:val="0"/>
          <w:numId w:val="0"/>
        </w:numPr>
        <w:spacing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部门专项资金绩效目标表</w:t>
      </w:r>
    </w:p>
    <w:p>
      <w:pPr>
        <w:pStyle w:val="2"/>
      </w:pPr>
    </w:p>
    <w:tbl>
      <w:tblPr>
        <w:tblStyle w:val="6"/>
        <w:tblW w:w="4998" w:type="pct"/>
        <w:tblInd w:w="0" w:type="dxa"/>
        <w:tblLayout w:type="autofit"/>
        <w:tblCellMar>
          <w:top w:w="0" w:type="dxa"/>
          <w:left w:w="0" w:type="dxa"/>
          <w:bottom w:w="0" w:type="dxa"/>
          <w:right w:w="0" w:type="dxa"/>
        </w:tblCellMar>
      </w:tblPr>
      <w:tblGrid>
        <w:gridCol w:w="1400"/>
        <w:gridCol w:w="1391"/>
        <w:gridCol w:w="2923"/>
        <w:gridCol w:w="2613"/>
      </w:tblGrid>
      <w:tr>
        <w:tblPrEx>
          <w:tblCellMar>
            <w:top w:w="0" w:type="dxa"/>
            <w:left w:w="0" w:type="dxa"/>
            <w:bottom w:w="0" w:type="dxa"/>
            <w:right w:w="0" w:type="dxa"/>
          </w:tblCellMar>
        </w:tblPrEx>
        <w:trPr>
          <w:trHeight w:val="803" w:hRule="atLeast"/>
        </w:trPr>
        <w:tc>
          <w:tcPr>
            <w:tcW w:w="5000" w:type="pct"/>
            <w:gridSpan w:val="4"/>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2021年度专项资金绩效目标表</w:t>
            </w:r>
          </w:p>
        </w:tc>
      </w:tr>
      <w:tr>
        <w:tblPrEx>
          <w:tblCellMar>
            <w:top w:w="0" w:type="dxa"/>
            <w:left w:w="0" w:type="dxa"/>
            <w:bottom w:w="0" w:type="dxa"/>
            <w:right w:w="0" w:type="dxa"/>
          </w:tblCellMar>
        </w:tblPrEx>
        <w:trPr>
          <w:trHeight w:val="405"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立项项目名称</w:t>
            </w:r>
          </w:p>
        </w:tc>
        <w:tc>
          <w:tcPr>
            <w:tcW w:w="4158"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widowControl/>
              <w:jc w:val="center"/>
              <w:textAlignment w:val="top"/>
              <w:rPr>
                <w:rFonts w:ascii="方正小标宋简体" w:hAnsi="方正小标宋简体" w:eastAsia="方正小标宋简体" w:cs="方正小标宋简体"/>
                <w:color w:val="000000"/>
                <w:sz w:val="22"/>
              </w:rPr>
            </w:pPr>
            <w:r>
              <w:rPr>
                <w:rFonts w:ascii="方正小标宋简体" w:hAnsi="方正小标宋简体" w:eastAsia="方正小标宋简体" w:cs="方正小标宋简体"/>
                <w:color w:val="000000"/>
                <w:kern w:val="0"/>
                <w:sz w:val="22"/>
              </w:rPr>
              <w:t>招商引资专项</w:t>
            </w:r>
          </w:p>
        </w:tc>
      </w:tr>
      <w:tr>
        <w:tblPrEx>
          <w:tblCellMar>
            <w:top w:w="0" w:type="dxa"/>
            <w:left w:w="0" w:type="dxa"/>
            <w:bottom w:w="0" w:type="dxa"/>
            <w:right w:w="0" w:type="dxa"/>
          </w:tblCellMar>
        </w:tblPrEx>
        <w:trPr>
          <w:trHeight w:val="1755"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概况</w:t>
            </w:r>
          </w:p>
        </w:tc>
        <w:tc>
          <w:tcPr>
            <w:tcW w:w="4158"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该项目的时间为2021年1月1日至2021年12月31日，资金预算为327万元，主要工作任务：1.全县来杭客商考察及项目洽谈用餐等接待工作费用共计57万元；2.全县招商引资宣传片拍摄及宣传册印刷费用共计20万元；3.组织参加省、市全年安排的招商活动，小分队外出招商活动共计180万元；4.福州招商组经费30万；5.委托商会招商费用共计40万元。</w:t>
            </w:r>
          </w:p>
        </w:tc>
      </w:tr>
      <w:tr>
        <w:tblPrEx>
          <w:tblCellMar>
            <w:top w:w="0" w:type="dxa"/>
            <w:left w:w="0" w:type="dxa"/>
            <w:bottom w:w="0" w:type="dxa"/>
            <w:right w:w="0" w:type="dxa"/>
          </w:tblCellMar>
        </w:tblPrEx>
        <w:trPr>
          <w:trHeight w:val="469" w:hRule="atLeast"/>
        </w:trPr>
        <w:tc>
          <w:tcPr>
            <w:tcW w:w="841"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绩效目标  </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指标</w:t>
            </w: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绩效内容</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全年绩效目标值</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产出</w:t>
            </w: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新签约；新开工</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56家；45家</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项目竣工</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5个以上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项目完成时间</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2021年1-12月100%拨付</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招商引资专项资金</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效益</w:t>
            </w: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就业率</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30人以上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内联引资</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同比增长6%以上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投资意愿</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2次以上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外出招商次数</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5次以上</w:t>
            </w:r>
          </w:p>
        </w:tc>
      </w:tr>
      <w:tr>
        <w:tblPrEx>
          <w:tblCellMar>
            <w:top w:w="0" w:type="dxa"/>
            <w:left w:w="0" w:type="dxa"/>
            <w:bottom w:w="0" w:type="dxa"/>
            <w:right w:w="0" w:type="dxa"/>
          </w:tblCellMar>
        </w:tblPrEx>
        <w:trPr>
          <w:trHeight w:val="469" w:hRule="atLeast"/>
        </w:trPr>
        <w:tc>
          <w:tcPr>
            <w:tcW w:w="8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满意度指标</w:t>
            </w:r>
          </w:p>
        </w:tc>
        <w:tc>
          <w:tcPr>
            <w:tcW w:w="175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受惠企业满意度</w:t>
            </w:r>
          </w:p>
        </w:tc>
        <w:tc>
          <w:tcPr>
            <w:tcW w:w="156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95%</w:t>
            </w:r>
          </w:p>
        </w:tc>
      </w:tr>
    </w:tbl>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tbl>
      <w:tblPr>
        <w:tblStyle w:val="6"/>
        <w:tblW w:w="5000" w:type="pct"/>
        <w:tblInd w:w="0" w:type="dxa"/>
        <w:tblLayout w:type="autofit"/>
        <w:tblCellMar>
          <w:top w:w="0" w:type="dxa"/>
          <w:left w:w="0" w:type="dxa"/>
          <w:bottom w:w="0" w:type="dxa"/>
          <w:right w:w="0" w:type="dxa"/>
        </w:tblCellMar>
      </w:tblPr>
      <w:tblGrid>
        <w:gridCol w:w="1408"/>
        <w:gridCol w:w="1394"/>
        <w:gridCol w:w="2925"/>
        <w:gridCol w:w="2603"/>
      </w:tblGrid>
      <w:tr>
        <w:tblPrEx>
          <w:tblCellMar>
            <w:top w:w="0" w:type="dxa"/>
            <w:left w:w="0" w:type="dxa"/>
            <w:bottom w:w="0" w:type="dxa"/>
            <w:right w:w="0" w:type="dxa"/>
          </w:tblCellMar>
        </w:tblPrEx>
        <w:trPr>
          <w:trHeight w:val="803" w:hRule="atLeast"/>
        </w:trPr>
        <w:tc>
          <w:tcPr>
            <w:tcW w:w="5000" w:type="pct"/>
            <w:gridSpan w:val="4"/>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2021年度专项资金绩效目标表</w:t>
            </w:r>
          </w:p>
        </w:tc>
      </w:tr>
      <w:tr>
        <w:tblPrEx>
          <w:tblCellMar>
            <w:top w:w="0" w:type="dxa"/>
            <w:left w:w="0" w:type="dxa"/>
            <w:bottom w:w="0" w:type="dxa"/>
            <w:right w:w="0" w:type="dxa"/>
          </w:tblCellMar>
        </w:tblPrEx>
        <w:trPr>
          <w:trHeight w:val="40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立项项目名称</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widowControl/>
              <w:jc w:val="center"/>
              <w:textAlignment w:val="top"/>
              <w:rPr>
                <w:rFonts w:ascii="方正小标宋简体" w:hAnsi="方正小标宋简体" w:eastAsia="方正小标宋简体" w:cs="方正小标宋简体"/>
                <w:color w:val="000000"/>
                <w:sz w:val="22"/>
              </w:rPr>
            </w:pPr>
            <w:r>
              <w:rPr>
                <w:rFonts w:ascii="方正小标宋简体" w:hAnsi="方正小标宋简体" w:eastAsia="方正小标宋简体" w:cs="方正小标宋简体"/>
                <w:color w:val="000000"/>
                <w:kern w:val="0"/>
                <w:sz w:val="22"/>
              </w:rPr>
              <w:t>“菜篮子”工程补助</w:t>
            </w:r>
          </w:p>
        </w:tc>
      </w:tr>
      <w:tr>
        <w:tblPrEx>
          <w:tblCellMar>
            <w:top w:w="0" w:type="dxa"/>
            <w:left w:w="0" w:type="dxa"/>
            <w:bottom w:w="0" w:type="dxa"/>
            <w:right w:w="0" w:type="dxa"/>
          </w:tblCellMar>
        </w:tblPrEx>
        <w:trPr>
          <w:trHeight w:val="175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概况</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该项目的时间为2021年1月1日至2021年12月31日，资金预算为221万元，主要工作任务：1.抓好常年蔬菜基地保护区的管理；2.抓好县副食品调控基地建设；3.抓好蔬菜设备设施建设；4.发展畜禽水产品生产；5.搞活市场流通。</w:t>
            </w:r>
          </w:p>
        </w:tc>
      </w:tr>
      <w:tr>
        <w:tblPrEx>
          <w:tblCellMar>
            <w:top w:w="0" w:type="dxa"/>
            <w:left w:w="0" w:type="dxa"/>
            <w:bottom w:w="0" w:type="dxa"/>
            <w:right w:w="0" w:type="dxa"/>
          </w:tblCellMar>
        </w:tblPrEx>
        <w:trPr>
          <w:trHeight w:val="469" w:hRule="atLeast"/>
        </w:trPr>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绩效目标  </w:t>
            </w: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绩效内容</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全年绩效目标值</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产出</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生猪、蛋禽、蔬菜储备</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储备生猪1120头、蛋禽40吨、蔬菜25吨</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给予省级副食品调控基地、常年蔬菜基地保护区、生猪活体储备企业等给予补助</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到位资金100%拨付</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项目完成时间</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2020年1-12月100%拨付</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“菜篮子工程”补助资金支出</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到位资金100%拨付</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效益</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农贸市场改造升级</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1个以上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支持省控基地进行基地升级改造和申报资金补助</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争取省级补助资金50万元</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县级副食品调控基地进行项目改扩建</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下拨30万元以上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建设流通可追溯体系</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100%完成肉品质量安全可追溯体系建设</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满意度指标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受惠企业满意度</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90%</w:t>
            </w:r>
          </w:p>
        </w:tc>
      </w:tr>
    </w:tbl>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tbl>
      <w:tblPr>
        <w:tblStyle w:val="6"/>
        <w:tblW w:w="5000" w:type="pct"/>
        <w:tblInd w:w="0" w:type="dxa"/>
        <w:tblLayout w:type="autofit"/>
        <w:tblCellMar>
          <w:top w:w="0" w:type="dxa"/>
          <w:left w:w="0" w:type="dxa"/>
          <w:bottom w:w="0" w:type="dxa"/>
          <w:right w:w="0" w:type="dxa"/>
        </w:tblCellMar>
      </w:tblPr>
      <w:tblGrid>
        <w:gridCol w:w="1408"/>
        <w:gridCol w:w="1394"/>
        <w:gridCol w:w="2925"/>
        <w:gridCol w:w="2603"/>
      </w:tblGrid>
      <w:tr>
        <w:tblPrEx>
          <w:tblCellMar>
            <w:top w:w="0" w:type="dxa"/>
            <w:left w:w="0" w:type="dxa"/>
            <w:bottom w:w="0" w:type="dxa"/>
            <w:right w:w="0" w:type="dxa"/>
          </w:tblCellMar>
        </w:tblPrEx>
        <w:trPr>
          <w:trHeight w:val="803" w:hRule="atLeast"/>
        </w:trPr>
        <w:tc>
          <w:tcPr>
            <w:tcW w:w="5000" w:type="pct"/>
            <w:gridSpan w:val="4"/>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2021年度专项资金绩效目标表</w:t>
            </w:r>
          </w:p>
        </w:tc>
      </w:tr>
      <w:tr>
        <w:tblPrEx>
          <w:tblCellMar>
            <w:top w:w="0" w:type="dxa"/>
            <w:left w:w="0" w:type="dxa"/>
            <w:bottom w:w="0" w:type="dxa"/>
            <w:right w:w="0" w:type="dxa"/>
          </w:tblCellMar>
        </w:tblPrEx>
        <w:trPr>
          <w:trHeight w:val="40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立项项目名称</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widowControl/>
              <w:jc w:val="center"/>
              <w:textAlignment w:val="top"/>
              <w:rPr>
                <w:rFonts w:ascii="方正小标宋简体" w:hAnsi="方正小标宋简体" w:eastAsia="方正小标宋简体" w:cs="方正小标宋简体"/>
                <w:color w:val="000000"/>
                <w:sz w:val="22"/>
              </w:rPr>
            </w:pPr>
            <w:r>
              <w:rPr>
                <w:rFonts w:ascii="方正小标宋简体" w:hAnsi="方正小标宋简体" w:eastAsia="方正小标宋简体" w:cs="方正小标宋简体"/>
                <w:color w:val="000000"/>
                <w:kern w:val="0"/>
                <w:sz w:val="22"/>
              </w:rPr>
              <w:t>外贸出口以奖代补</w:t>
            </w:r>
          </w:p>
        </w:tc>
      </w:tr>
      <w:tr>
        <w:tblPrEx>
          <w:tblCellMar>
            <w:top w:w="0" w:type="dxa"/>
            <w:left w:w="0" w:type="dxa"/>
            <w:bottom w:w="0" w:type="dxa"/>
            <w:right w:w="0" w:type="dxa"/>
          </w:tblCellMar>
        </w:tblPrEx>
        <w:trPr>
          <w:trHeight w:val="175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概况</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该项目的时间为2021年1月1日至2021年12月31日，资金预算为800万元，主要工作任务： 给予出口数额达标的生产性出口企业、流通贸易出口企业、新增生产性出口企业出口奖励，同时支持企业拓展国际市场。</w:t>
            </w:r>
          </w:p>
        </w:tc>
      </w:tr>
      <w:tr>
        <w:tblPrEx>
          <w:tblCellMar>
            <w:top w:w="0" w:type="dxa"/>
            <w:left w:w="0" w:type="dxa"/>
            <w:bottom w:w="0" w:type="dxa"/>
            <w:right w:w="0" w:type="dxa"/>
          </w:tblCellMar>
        </w:tblPrEx>
        <w:trPr>
          <w:trHeight w:val="469" w:hRule="atLeast"/>
        </w:trPr>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绩效目标  </w:t>
            </w: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绩效内容</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全年绩效目标值</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产出</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增加出口值</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增加出口值</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利用外资</w:t>
            </w:r>
          </w:p>
        </w:tc>
        <w:tc>
          <w:tcPr>
            <w:tcW w:w="1560"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利用外资</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项目完成时间</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项目完成时间</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外贸出口以奖代补资金</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外贸出口以奖代补资金</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效益</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就业率</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就业率</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出口基数</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出口基数</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支持鼓励企业多元化拓展市场</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支持鼓励企业多元化拓展市场</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产业结构</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产业结构</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满意度指标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受惠企业满意度</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受惠企业满意度</w:t>
            </w: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6"/>
        <w:tblW w:w="5000" w:type="pct"/>
        <w:tblInd w:w="0" w:type="dxa"/>
        <w:tblLayout w:type="autofit"/>
        <w:tblCellMar>
          <w:top w:w="0" w:type="dxa"/>
          <w:left w:w="0" w:type="dxa"/>
          <w:bottom w:w="0" w:type="dxa"/>
          <w:right w:w="0" w:type="dxa"/>
        </w:tblCellMar>
      </w:tblPr>
      <w:tblGrid>
        <w:gridCol w:w="1408"/>
        <w:gridCol w:w="1394"/>
        <w:gridCol w:w="2925"/>
        <w:gridCol w:w="2603"/>
      </w:tblGrid>
      <w:tr>
        <w:tblPrEx>
          <w:tblCellMar>
            <w:top w:w="0" w:type="dxa"/>
            <w:left w:w="0" w:type="dxa"/>
            <w:bottom w:w="0" w:type="dxa"/>
            <w:right w:w="0" w:type="dxa"/>
          </w:tblCellMar>
        </w:tblPrEx>
        <w:trPr>
          <w:trHeight w:val="803" w:hRule="atLeast"/>
        </w:trPr>
        <w:tc>
          <w:tcPr>
            <w:tcW w:w="5000" w:type="pct"/>
            <w:gridSpan w:val="4"/>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2021年度专项资金绩效目标表</w:t>
            </w:r>
          </w:p>
        </w:tc>
      </w:tr>
      <w:tr>
        <w:tblPrEx>
          <w:tblCellMar>
            <w:top w:w="0" w:type="dxa"/>
            <w:left w:w="0" w:type="dxa"/>
            <w:bottom w:w="0" w:type="dxa"/>
            <w:right w:w="0" w:type="dxa"/>
          </w:tblCellMar>
        </w:tblPrEx>
        <w:trPr>
          <w:trHeight w:val="40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立项项目名称</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widowControl/>
              <w:jc w:val="center"/>
              <w:textAlignment w:val="top"/>
              <w:rPr>
                <w:rFonts w:ascii="方正小标宋简体" w:hAnsi="方正小标宋简体" w:eastAsia="方正小标宋简体" w:cs="方正小标宋简体"/>
                <w:color w:val="000000"/>
                <w:sz w:val="22"/>
              </w:rPr>
            </w:pPr>
            <w:r>
              <w:rPr>
                <w:rFonts w:ascii="方正小标宋简体" w:hAnsi="方正小标宋简体" w:eastAsia="方正小标宋简体" w:cs="方正小标宋简体"/>
                <w:color w:val="000000"/>
                <w:kern w:val="0"/>
                <w:sz w:val="22"/>
              </w:rPr>
              <w:t>限上企业统计基础工作经费</w:t>
            </w:r>
          </w:p>
        </w:tc>
      </w:tr>
      <w:tr>
        <w:tblPrEx>
          <w:tblCellMar>
            <w:top w:w="0" w:type="dxa"/>
            <w:left w:w="0" w:type="dxa"/>
            <w:bottom w:w="0" w:type="dxa"/>
            <w:right w:w="0" w:type="dxa"/>
          </w:tblCellMar>
        </w:tblPrEx>
        <w:trPr>
          <w:trHeight w:val="1755" w:hRule="atLeast"/>
        </w:trPr>
        <w:tc>
          <w:tcPr>
            <w:tcW w:w="845"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概况</w:t>
            </w:r>
          </w:p>
        </w:tc>
        <w:tc>
          <w:tcPr>
            <w:tcW w:w="4154" w:type="pct"/>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该项目的时间为2021年1月1日至2021年12月31日，资金预算为104万元，主要工作任务：1.健全统计工作管理体制；2.加强统计工作队伍建设；3.实施统计素质提升工程；4.推进标准化体系建设；5.加强正向激励机制建设</w:t>
            </w:r>
          </w:p>
        </w:tc>
      </w:tr>
      <w:tr>
        <w:tblPrEx>
          <w:tblCellMar>
            <w:top w:w="0" w:type="dxa"/>
            <w:left w:w="0" w:type="dxa"/>
            <w:bottom w:w="0" w:type="dxa"/>
            <w:right w:w="0" w:type="dxa"/>
          </w:tblCellMar>
        </w:tblPrEx>
        <w:trPr>
          <w:trHeight w:val="469" w:hRule="atLeast"/>
        </w:trPr>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绩效目标  </w:t>
            </w: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绩效内容</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全年绩效目标值</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产出</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新增限上企业</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3家</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统计执法</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1次以上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项目完成时间</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2021年1-12月100%拨付</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企业统计台账建立情况</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1次以上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效益</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参加业务培训</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2次以上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实施绩效考核</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100家以上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督导数据报送</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10次以上</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2"/>
              </w:rPr>
            </w:pP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考核周期</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2次</w:t>
            </w:r>
          </w:p>
        </w:tc>
      </w:tr>
      <w:tr>
        <w:tblPrEx>
          <w:tblCellMar>
            <w:top w:w="0" w:type="dxa"/>
            <w:left w:w="0" w:type="dxa"/>
            <w:bottom w:w="0" w:type="dxa"/>
            <w:right w:w="0" w:type="dxa"/>
          </w:tblCellMar>
        </w:tblPrEx>
        <w:trPr>
          <w:trHeight w:val="469"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22"/>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满意度指标</w:t>
            </w:r>
          </w:p>
        </w:tc>
        <w:tc>
          <w:tcPr>
            <w:tcW w:w="1756"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受惠企业满意度</w:t>
            </w:r>
          </w:p>
        </w:tc>
        <w:tc>
          <w:tcPr>
            <w:tcW w:w="1560"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95%</w:t>
            </w:r>
          </w:p>
        </w:tc>
      </w:tr>
    </w:tbl>
    <w:p>
      <w:pPr>
        <w:spacing w:line="600" w:lineRule="exact"/>
        <w:ind w:firstLine="640" w:firstLineChars="200"/>
        <w:rPr>
          <w:rFonts w:ascii="仿宋" w:hAnsi="仿宋" w:eastAsia="仿宋"/>
          <w:sz w:val="32"/>
          <w:szCs w:val="32"/>
        </w:rPr>
      </w:pPr>
      <w:r>
        <w:rPr>
          <w:rFonts w:hint="eastAsia" w:ascii="仿宋" w:hAnsi="仿宋" w:eastAsia="仿宋"/>
          <w:sz w:val="32"/>
          <w:szCs w:val="32"/>
        </w:rPr>
        <w:t>3.有关情况说明</w:t>
      </w:r>
    </w:p>
    <w:p>
      <w:pPr>
        <w:pStyle w:val="2"/>
        <w:ind w:firstLine="640" w:firstLineChars="200"/>
        <w:rPr>
          <w:rFonts w:eastAsia="仿宋"/>
        </w:rPr>
      </w:pPr>
      <w:r>
        <w:rPr>
          <w:rFonts w:hint="eastAsia" w:ascii="仿宋" w:hAnsi="仿宋" w:eastAsia="仿宋"/>
          <w:sz w:val="32"/>
          <w:szCs w:val="32"/>
        </w:rPr>
        <w:t>无</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七、其他重要事项说明</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pPr>
        <w:spacing w:line="600" w:lineRule="exact"/>
        <w:ind w:firstLine="640" w:firstLineChars="200"/>
        <w:rPr>
          <w:rFonts w:ascii="黑体" w:hAnsi="黑体" w:eastAsia="黑体"/>
          <w:color w:val="FF0000"/>
          <w:sz w:val="32"/>
          <w:szCs w:val="32"/>
        </w:rPr>
      </w:pPr>
      <w:r>
        <w:rPr>
          <w:rFonts w:hint="eastAsia" w:ascii="Times New Roman" w:hAnsi="Times New Roman" w:eastAsia="仿宋_GB2312" w:cs="Times New Roman"/>
          <w:kern w:val="0"/>
          <w:sz w:val="32"/>
          <w:szCs w:val="32"/>
        </w:rPr>
        <w:t>2021</w:t>
      </w:r>
      <w:r>
        <w:rPr>
          <w:rFonts w:hint="eastAsia" w:ascii="仿宋" w:hAnsi="仿宋" w:eastAsia="仿宋"/>
          <w:sz w:val="32"/>
          <w:szCs w:val="32"/>
        </w:rPr>
        <w:t>年上杭县商务局（含实行公务员管理的事业单位）一般公共预算拨款安排的机关运行经费支出</w:t>
      </w:r>
      <w:r>
        <w:rPr>
          <w:rFonts w:hint="eastAsia" w:ascii="Times New Roman" w:hAnsi="Times New Roman" w:eastAsia="仿宋_GB2312" w:cs="Times New Roman"/>
          <w:kern w:val="0"/>
          <w:sz w:val="32"/>
          <w:szCs w:val="32"/>
        </w:rPr>
        <w:t>218.94</w:t>
      </w:r>
      <w:r>
        <w:rPr>
          <w:rFonts w:hint="eastAsia" w:ascii="仿宋" w:hAnsi="仿宋" w:eastAsia="仿宋"/>
          <w:sz w:val="32"/>
          <w:szCs w:val="32"/>
        </w:rPr>
        <w:t>万元，比</w:t>
      </w:r>
      <w:r>
        <w:rPr>
          <w:rFonts w:hint="eastAsia" w:ascii="Times New Roman" w:hAnsi="Times New Roman" w:eastAsia="仿宋_GB2312" w:cs="Times New Roman"/>
          <w:kern w:val="0"/>
          <w:sz w:val="32"/>
          <w:szCs w:val="32"/>
        </w:rPr>
        <w:t>205.33</w:t>
      </w:r>
      <w:r>
        <w:rPr>
          <w:rFonts w:hint="eastAsia" w:ascii="仿宋" w:hAnsi="仿宋" w:eastAsia="仿宋"/>
          <w:sz w:val="32"/>
          <w:szCs w:val="32"/>
        </w:rPr>
        <w:t>年增加</w:t>
      </w:r>
      <w:r>
        <w:rPr>
          <w:rFonts w:hint="eastAsia" w:ascii="Times New Roman" w:hAnsi="Times New Roman" w:eastAsia="仿宋_GB2312" w:cs="Times New Roman"/>
          <w:kern w:val="0"/>
          <w:sz w:val="32"/>
          <w:szCs w:val="32"/>
        </w:rPr>
        <w:t>13.61</w:t>
      </w:r>
      <w:r>
        <w:rPr>
          <w:rFonts w:hint="eastAsia" w:ascii="仿宋" w:hAnsi="仿宋" w:eastAsia="仿宋"/>
          <w:sz w:val="32"/>
          <w:szCs w:val="32"/>
        </w:rPr>
        <w:t>万元，主要原因是</w:t>
      </w:r>
      <w:r>
        <w:rPr>
          <w:rFonts w:hint="eastAsia" w:ascii="Times New Roman" w:hAnsi="Times New Roman" w:eastAsia="仿宋_GB2312" w:cs="Times New Roman"/>
          <w:kern w:val="0"/>
          <w:sz w:val="32"/>
          <w:szCs w:val="32"/>
        </w:rPr>
        <w:t>2020</w:t>
      </w:r>
      <w:r>
        <w:rPr>
          <w:rFonts w:hint="eastAsia" w:ascii="仿宋" w:hAnsi="仿宋" w:eastAsia="仿宋"/>
          <w:sz w:val="32"/>
          <w:szCs w:val="32"/>
        </w:rPr>
        <w:t>年</w:t>
      </w:r>
      <w:r>
        <w:rPr>
          <w:rFonts w:hint="eastAsia" w:ascii="Times New Roman" w:hAnsi="Times New Roman" w:eastAsia="仿宋_GB2312" w:cs="Times New Roman"/>
          <w:kern w:val="0"/>
          <w:sz w:val="32"/>
          <w:szCs w:val="32"/>
        </w:rPr>
        <w:t>9</w:t>
      </w:r>
      <w:r>
        <w:rPr>
          <w:rFonts w:hint="eastAsia" w:ascii="仿宋" w:hAnsi="仿宋" w:eastAsia="仿宋"/>
          <w:sz w:val="32"/>
          <w:szCs w:val="32"/>
        </w:rPr>
        <w:t>月新增</w:t>
      </w:r>
      <w:r>
        <w:rPr>
          <w:rFonts w:hint="eastAsia" w:ascii="Times New Roman" w:hAnsi="Times New Roman" w:eastAsia="仿宋_GB2312" w:cs="Times New Roman"/>
          <w:kern w:val="0"/>
          <w:sz w:val="32"/>
          <w:szCs w:val="32"/>
        </w:rPr>
        <w:t>1</w:t>
      </w:r>
      <w:r>
        <w:rPr>
          <w:rFonts w:hint="eastAsia" w:ascii="仿宋" w:hAnsi="仿宋" w:eastAsia="仿宋"/>
          <w:sz w:val="32"/>
          <w:szCs w:val="32"/>
        </w:rPr>
        <w:t>名事业编工作人员，从而导致人员经费和公用经费的增加</w:t>
      </w:r>
      <w:r>
        <w:rPr>
          <w:rFonts w:hint="eastAsia" w:ascii="仿宋" w:hAnsi="仿宋" w:eastAsia="仿宋" w:cs="仿宋_GB2312"/>
          <w:sz w:val="32"/>
          <w:szCs w:val="32"/>
        </w:rPr>
        <w:t>。</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pPr>
        <w:spacing w:line="600" w:lineRule="exact"/>
        <w:ind w:firstLine="640" w:firstLineChars="200"/>
        <w:rPr>
          <w:rFonts w:ascii="仿宋" w:hAnsi="仿宋" w:eastAsia="仿宋" w:cs="仿宋_GB2312"/>
          <w:kern w:val="0"/>
          <w:sz w:val="32"/>
          <w:szCs w:val="32"/>
        </w:rPr>
      </w:pPr>
      <w:r>
        <w:rPr>
          <w:rFonts w:hint="eastAsia" w:ascii="Times New Roman" w:hAnsi="Times New Roman" w:eastAsia="仿宋_GB2312" w:cs="Times New Roman"/>
          <w:kern w:val="0"/>
          <w:sz w:val="32"/>
          <w:szCs w:val="32"/>
        </w:rPr>
        <w:t>2021</w:t>
      </w:r>
      <w:r>
        <w:rPr>
          <w:rFonts w:hint="eastAsia" w:ascii="仿宋" w:hAnsi="仿宋" w:eastAsia="仿宋" w:cs="仿宋_GB2312"/>
          <w:kern w:val="0"/>
          <w:sz w:val="32"/>
          <w:szCs w:val="32"/>
        </w:rPr>
        <w:t>年上杭县商务局政府采购预算总额</w:t>
      </w:r>
      <w:r>
        <w:rPr>
          <w:rFonts w:hint="eastAsia" w:ascii="Times New Roman" w:hAnsi="Times New Roman" w:eastAsia="仿宋_GB2312" w:cs="Times New Roman"/>
          <w:kern w:val="0"/>
          <w:sz w:val="32"/>
          <w:szCs w:val="32"/>
        </w:rPr>
        <w:t>3.02</w:t>
      </w:r>
      <w:r>
        <w:rPr>
          <w:rFonts w:hint="eastAsia" w:ascii="仿宋" w:hAnsi="仿宋" w:eastAsia="仿宋" w:cs="仿宋_GB2312"/>
          <w:kern w:val="0"/>
          <w:sz w:val="32"/>
          <w:szCs w:val="32"/>
        </w:rPr>
        <w:t>万元，其中：政府采购货物预算</w:t>
      </w:r>
      <w:r>
        <w:rPr>
          <w:rFonts w:hint="eastAsia" w:ascii="Times New Roman" w:hAnsi="Times New Roman" w:eastAsia="仿宋_GB2312" w:cs="Times New Roman"/>
          <w:kern w:val="0"/>
          <w:sz w:val="32"/>
          <w:szCs w:val="32"/>
        </w:rPr>
        <w:t>1.82</w:t>
      </w:r>
      <w:r>
        <w:rPr>
          <w:rFonts w:hint="eastAsia" w:ascii="仿宋" w:hAnsi="仿宋" w:eastAsia="仿宋" w:cs="仿宋_GB2312"/>
          <w:kern w:val="0"/>
          <w:sz w:val="32"/>
          <w:szCs w:val="32"/>
        </w:rPr>
        <w:t>万元、政府采购工程预算</w:t>
      </w:r>
      <w:r>
        <w:rPr>
          <w:rFonts w:hint="eastAsia" w:ascii="Times New Roman" w:hAnsi="Times New Roman" w:eastAsia="仿宋_GB2312" w:cs="Times New Roman"/>
          <w:kern w:val="0"/>
          <w:sz w:val="32"/>
          <w:szCs w:val="32"/>
        </w:rPr>
        <w:t>0</w:t>
      </w:r>
      <w:r>
        <w:rPr>
          <w:rFonts w:hint="eastAsia" w:ascii="仿宋" w:hAnsi="仿宋" w:eastAsia="仿宋" w:cs="仿宋_GB2312"/>
          <w:kern w:val="0"/>
          <w:sz w:val="32"/>
          <w:szCs w:val="32"/>
        </w:rPr>
        <w:t>万元、政府采购服务预算</w:t>
      </w:r>
      <w:r>
        <w:rPr>
          <w:rFonts w:hint="eastAsia" w:ascii="Times New Roman" w:hAnsi="Times New Roman" w:eastAsia="仿宋_GB2312" w:cs="Times New Roman"/>
          <w:kern w:val="0"/>
          <w:sz w:val="32"/>
          <w:szCs w:val="32"/>
        </w:rPr>
        <w:t>1.2万</w:t>
      </w:r>
      <w:r>
        <w:rPr>
          <w:rFonts w:hint="eastAsia" w:ascii="仿宋" w:hAnsi="仿宋" w:eastAsia="仿宋" w:cs="仿宋_GB2312"/>
          <w:kern w:val="0"/>
          <w:sz w:val="32"/>
          <w:szCs w:val="32"/>
        </w:rPr>
        <w:t>元。</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pPr>
        <w:spacing w:line="60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截至2021年底，上杭县商务局本级及所属的预算单位共有车辆0辆，其中：省部级领导干部用车0辆，一般公务用车0辆，一般执法执勤用车0辆，特种专业技术用车0辆，其他用车0辆。单位价值50万元以上通用设备0台（套），单位价值100万元以上专用设备0台（套）。</w:t>
      </w:r>
    </w:p>
    <w:p>
      <w:pPr>
        <w:spacing w:line="600" w:lineRule="exact"/>
        <w:ind w:firstLine="640" w:firstLineChars="200"/>
        <w:rPr>
          <w:rFonts w:hint="eastAsia" w:ascii="Times New Roman" w:hAnsi="Times New Roman" w:eastAsia="仿宋_GB2312" w:cs="Times New Roman"/>
          <w:kern w:val="0"/>
          <w:sz w:val="32"/>
          <w:szCs w:val="32"/>
        </w:rPr>
      </w:pPr>
    </w:p>
    <w:p>
      <w:pPr>
        <w:ind w:firstLine="640" w:firstLineChars="200"/>
        <w:rPr>
          <w:rFonts w:ascii="仿宋" w:hAnsi="仿宋" w:eastAsia="仿宋" w:cs="仿宋_GB2312"/>
          <w:kern w:val="0"/>
          <w:sz w:val="32"/>
          <w:szCs w:val="32"/>
        </w:rPr>
      </w:pPr>
    </w:p>
    <w:p>
      <w:pPr>
        <w:jc w:val="center"/>
        <w:rPr>
          <w:rFonts w:asciiTheme="majorEastAsia" w:hAnsiTheme="majorEastAsia" w:eastAsiaTheme="majorEastAsia"/>
          <w:b/>
          <w:sz w:val="40"/>
        </w:rPr>
      </w:pPr>
      <w:r>
        <w:rPr>
          <w:rFonts w:hint="eastAsia" w:asciiTheme="majorEastAsia" w:hAnsiTheme="majorEastAsia" w:eastAsiaTheme="majorEastAsia"/>
          <w:b/>
          <w:sz w:val="40"/>
        </w:rPr>
        <w:t>第四部分 名词解释</w:t>
      </w:r>
    </w:p>
    <w:p>
      <w:pPr>
        <w:jc w:val="center"/>
        <w:rPr>
          <w:rFonts w:asciiTheme="majorEastAsia" w:hAnsiTheme="majorEastAsia" w:eastAsiaTheme="majorEastAsia"/>
          <w:b/>
          <w:sz w:val="40"/>
        </w:rPr>
      </w:pP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12"/>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pPr>
        <w:ind w:firstLine="640" w:firstLineChars="200"/>
        <w:jc w:val="left"/>
        <w:rPr>
          <w:rFonts w:asciiTheme="majorEastAsia" w:hAnsiTheme="majorEastAsia" w:eastAsiaTheme="majorEastAsia"/>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pPr>
          <w:pStyle w:val="4"/>
          <w:jc w:val="center"/>
        </w:pPr>
        <w:r>
          <w:fldChar w:fldCharType="begin"/>
        </w:r>
        <w:r>
          <w:instrText xml:space="preserve">PAGE   \* MERGEFORMAT</w:instrText>
        </w:r>
        <w:r>
          <w:fldChar w:fldCharType="separate"/>
        </w:r>
        <w:r>
          <w:rPr>
            <w:lang w:val="zh-CN"/>
          </w:rPr>
          <w:t>27</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B562BD"/>
    <w:multiLevelType w:val="singleLevel"/>
    <w:tmpl w:val="72B562B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67727"/>
    <w:rsid w:val="00134215"/>
    <w:rsid w:val="0014464B"/>
    <w:rsid w:val="0015539C"/>
    <w:rsid w:val="00162161"/>
    <w:rsid w:val="00167378"/>
    <w:rsid w:val="00244E2B"/>
    <w:rsid w:val="00317140"/>
    <w:rsid w:val="00353125"/>
    <w:rsid w:val="00445C9B"/>
    <w:rsid w:val="004B0D4E"/>
    <w:rsid w:val="004D696A"/>
    <w:rsid w:val="005B00AC"/>
    <w:rsid w:val="006C4713"/>
    <w:rsid w:val="00753E47"/>
    <w:rsid w:val="007C60CF"/>
    <w:rsid w:val="008071E4"/>
    <w:rsid w:val="00880C2D"/>
    <w:rsid w:val="008A73C5"/>
    <w:rsid w:val="009C7FB5"/>
    <w:rsid w:val="00A4118D"/>
    <w:rsid w:val="00A855BE"/>
    <w:rsid w:val="00C02DE3"/>
    <w:rsid w:val="00C43C36"/>
    <w:rsid w:val="00C7095D"/>
    <w:rsid w:val="00CC6B40"/>
    <w:rsid w:val="00D54577"/>
    <w:rsid w:val="00E05319"/>
    <w:rsid w:val="00E332A8"/>
    <w:rsid w:val="00FE6949"/>
    <w:rsid w:val="018D0BA5"/>
    <w:rsid w:val="020C0C03"/>
    <w:rsid w:val="04E319C7"/>
    <w:rsid w:val="06126022"/>
    <w:rsid w:val="09F05675"/>
    <w:rsid w:val="0CCF6525"/>
    <w:rsid w:val="0E4F683D"/>
    <w:rsid w:val="10CC41F4"/>
    <w:rsid w:val="12161025"/>
    <w:rsid w:val="12EC2AD5"/>
    <w:rsid w:val="21247F40"/>
    <w:rsid w:val="21DA6168"/>
    <w:rsid w:val="25CD14C7"/>
    <w:rsid w:val="265D215D"/>
    <w:rsid w:val="2A1509C8"/>
    <w:rsid w:val="2D47662C"/>
    <w:rsid w:val="2E68531D"/>
    <w:rsid w:val="2E716969"/>
    <w:rsid w:val="331B6BC1"/>
    <w:rsid w:val="476648D8"/>
    <w:rsid w:val="4D424BF3"/>
    <w:rsid w:val="51CA77A8"/>
    <w:rsid w:val="55DF7A30"/>
    <w:rsid w:val="58E65DAC"/>
    <w:rsid w:val="5BCD1176"/>
    <w:rsid w:val="5C365F89"/>
    <w:rsid w:val="5F3D1D0D"/>
    <w:rsid w:val="66D54DA3"/>
    <w:rsid w:val="688675EC"/>
    <w:rsid w:val="6A5B5301"/>
    <w:rsid w:val="6CEB420E"/>
    <w:rsid w:val="6DED1618"/>
    <w:rsid w:val="723979E2"/>
    <w:rsid w:val="747717C2"/>
    <w:rsid w:val="74B33039"/>
    <w:rsid w:val="76990185"/>
    <w:rsid w:val="7AC57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pPr>
      <w:spacing w:line="240" w:lineRule="auto"/>
    </w:pPr>
    <w:rPr>
      <w:sz w:val="18"/>
      <w:szCs w:val="18"/>
    </w:rPr>
  </w:style>
  <w:style w:type="paragraph" w:styleId="3">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3"/>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2"/>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character" w:customStyle="1" w:styleId="14">
    <w:name w:val="font41"/>
    <w:basedOn w:val="7"/>
    <w:qFormat/>
    <w:uiPriority w:val="0"/>
    <w:rPr>
      <w:rFonts w:hint="eastAsia" w:ascii="宋体" w:hAnsi="宋体" w:eastAsia="宋体" w:cs="宋体"/>
      <w:color w:val="000000"/>
      <w:sz w:val="22"/>
      <w:szCs w:val="22"/>
      <w:u w:val="none"/>
    </w:rPr>
  </w:style>
  <w:style w:type="character" w:customStyle="1" w:styleId="15">
    <w:name w:val="font21"/>
    <w:basedOn w:val="7"/>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28</Pages>
  <Words>9672</Words>
  <Characters>11074</Characters>
  <Lines>88</Lines>
  <Paragraphs>25</Paragraphs>
  <TotalTime>99</TotalTime>
  <ScaleCrop>false</ScaleCrop>
  <LinksUpToDate>false</LinksUpToDate>
  <CharactersWithSpaces>11221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张不服</cp:lastModifiedBy>
  <cp:lastPrinted>2021-02-01T07:32:00Z</cp:lastPrinted>
  <dcterms:modified xsi:type="dcterms:W3CDTF">2022-06-02T07:25:30Z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66E4C305589C47CFAFD036F5016636FC</vt:lpwstr>
  </property>
</Properties>
</file>