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宋体" w:hAnsi="宋体"/>
          <w:b/>
          <w:sz w:val="32"/>
          <w:szCs w:val="32"/>
        </w:rPr>
      </w:pPr>
    </w:p>
    <w:p>
      <w:pPr>
        <w:ind w:firstLine="643" w:firstLineChars="200"/>
        <w:rPr>
          <w:rFonts w:ascii="宋体" w:hAnsi="宋体"/>
          <w:b/>
          <w:sz w:val="32"/>
          <w:szCs w:val="32"/>
        </w:rPr>
      </w:pPr>
    </w:p>
    <w:p>
      <w:pPr>
        <w:spacing w:line="600" w:lineRule="exact"/>
        <w:jc w:val="center"/>
        <w:rPr>
          <w:rFonts w:ascii="方正小标宋简体" w:hAnsi="宋体" w:eastAsia="方正小标宋简体"/>
          <w:w w:val="103"/>
          <w:sz w:val="44"/>
          <w:szCs w:val="44"/>
        </w:rPr>
      </w:pPr>
      <w:r>
        <w:rPr>
          <w:rFonts w:hint="eastAsia" w:ascii="方正小标宋简体" w:hAnsi="宋体" w:eastAsia="方正小标宋简体"/>
          <w:w w:val="103"/>
          <w:sz w:val="44"/>
          <w:szCs w:val="44"/>
        </w:rPr>
        <w:t>2017年度淘汰黄标车</w:t>
      </w:r>
    </w:p>
    <w:p>
      <w:pPr>
        <w:spacing w:line="600" w:lineRule="exact"/>
        <w:jc w:val="center"/>
        <w:rPr>
          <w:rFonts w:ascii="方正小标宋简体" w:hAnsi="宋体" w:eastAsia="方正小标宋简体"/>
          <w:w w:val="103"/>
          <w:sz w:val="44"/>
          <w:szCs w:val="44"/>
        </w:rPr>
      </w:pPr>
      <w:r>
        <w:rPr>
          <w:rFonts w:hint="eastAsia" w:ascii="方正小标宋简体" w:hAnsi="宋体" w:eastAsia="方正小标宋简体"/>
          <w:w w:val="103"/>
          <w:sz w:val="44"/>
          <w:szCs w:val="44"/>
        </w:rPr>
        <w:t>项目资金使用绩效自评报告</w:t>
      </w:r>
    </w:p>
    <w:p>
      <w:pPr>
        <w:spacing w:line="600" w:lineRule="exact"/>
        <w:rPr>
          <w:rFonts w:hint="eastAsia" w:ascii="宋体" w:hAnsi="宋体"/>
          <w:b/>
          <w:sz w:val="32"/>
          <w:szCs w:val="32"/>
        </w:rPr>
      </w:pPr>
    </w:p>
    <w:p>
      <w:pPr>
        <w:spacing w:line="600" w:lineRule="exact"/>
        <w:rPr>
          <w:rFonts w:ascii="宋体" w:hAnsi="宋体"/>
          <w:b/>
          <w:sz w:val="32"/>
          <w:szCs w:val="32"/>
        </w:rPr>
      </w:pPr>
    </w:p>
    <w:p>
      <w:pPr>
        <w:spacing w:line="600" w:lineRule="exact"/>
        <w:ind w:firstLine="643" w:firstLineChars="200"/>
        <w:rPr>
          <w:rFonts w:ascii="宋体" w:hAnsi="宋体"/>
          <w:b/>
          <w:sz w:val="32"/>
          <w:szCs w:val="32"/>
        </w:rPr>
      </w:pPr>
      <w:r>
        <w:rPr>
          <w:rFonts w:hint="eastAsia" w:ascii="宋体" w:hAnsi="宋体"/>
          <w:b/>
          <w:sz w:val="32"/>
          <w:szCs w:val="32"/>
        </w:rPr>
        <w:t>一、项目概况</w:t>
      </w:r>
    </w:p>
    <w:p>
      <w:pPr>
        <w:spacing w:line="600" w:lineRule="exact"/>
        <w:ind w:firstLine="640" w:firstLineChars="200"/>
        <w:rPr>
          <w:rFonts w:ascii="宋体" w:hAnsi="宋体"/>
          <w:b/>
          <w:sz w:val="32"/>
          <w:szCs w:val="32"/>
        </w:rPr>
      </w:pPr>
      <w:r>
        <w:rPr>
          <w:rFonts w:ascii="宋体" w:hAnsi="宋体"/>
          <w:sz w:val="32"/>
          <w:szCs w:val="32"/>
        </w:rPr>
        <w:t>（一）</w:t>
      </w:r>
      <w:r>
        <w:rPr>
          <w:rFonts w:ascii="宋体" w:hAnsi="宋体"/>
          <w:b/>
          <w:sz w:val="32"/>
          <w:szCs w:val="32"/>
        </w:rPr>
        <w:t>项目单位基本情况</w:t>
      </w:r>
    </w:p>
    <w:p>
      <w:pPr>
        <w:ind w:firstLine="640" w:firstLineChars="200"/>
        <w:rPr>
          <w:rFonts w:ascii="仿宋_GB2312" w:hAnsi="仿宋" w:eastAsia="仿宋_GB2312" w:cs="仿宋"/>
          <w:kern w:val="0"/>
          <w:sz w:val="32"/>
          <w:szCs w:val="32"/>
          <w:highlight w:val="yellow"/>
        </w:rPr>
      </w:pPr>
      <w:r>
        <w:rPr>
          <w:rFonts w:hint="eastAsia" w:ascii="仿宋_GB2312" w:hAnsi="仿宋" w:eastAsia="仿宋_GB2312" w:cs="仿宋"/>
          <w:color w:val="000000"/>
          <w:sz w:val="32"/>
          <w:szCs w:val="32"/>
        </w:rPr>
        <w:t>上杭县商务局行政编制5个，参公编制9人，事业编制6人，2017年年末，我局在职人员行政编制5人，参公编制4人，事业编制6人。我局</w:t>
      </w:r>
      <w:r>
        <w:rPr>
          <w:rFonts w:hint="eastAsia" w:ascii="仿宋_GB2312" w:hAnsi="仿宋" w:eastAsia="仿宋_GB2312" w:cs="仿宋"/>
          <w:kern w:val="0"/>
          <w:sz w:val="32"/>
          <w:szCs w:val="32"/>
        </w:rPr>
        <w:t>下设4个股室，包括综合股、市场流通管理股、外经外贸股、商贸服务股、招商引资股。其中，市场流通股的主要工作职能有：</w:t>
      </w:r>
    </w:p>
    <w:p>
      <w:pPr>
        <w:shd w:val="clear" w:color="auto" w:fill="FFFFFF"/>
        <w:spacing w:line="600" w:lineRule="exact"/>
        <w:ind w:firstLine="640" w:firstLineChars="200"/>
        <w:rPr>
          <w:rFonts w:ascii="仿宋_GB2312" w:eastAsia="仿宋_GB2312"/>
          <w:sz w:val="32"/>
          <w:szCs w:val="32"/>
        </w:rPr>
      </w:pPr>
      <w:r>
        <w:rPr>
          <w:rFonts w:hint="eastAsia" w:ascii="仿宋_GB2312" w:eastAsia="仿宋_GB2312"/>
          <w:sz w:val="32"/>
          <w:szCs w:val="32"/>
        </w:rPr>
        <w:t>负责市场体系建设和城乡市场发展促进工作，拟订引导资金投向市场体系建设的政策措施，推进流通标准化；组织申报各级财政性资金安排的市场体系建设重大投资项目；指导实施大宗产品批发市场与城市商业网点规划制定和社区商业建设，推进农村市场体系建设和改造升级；指导汽车、建材、农机等工业品流通服务体系建设，承担汽车流通行业监督管理、报废汽车监督管理和老旧汽车更新工作。</w:t>
      </w:r>
      <w:r>
        <w:rPr>
          <w:rFonts w:hint="eastAsia" w:ascii="仿宋_GB2312" w:hAnsi="仿宋" w:eastAsia="仿宋_GB2312" w:cs="Arial"/>
          <w:color w:val="000000"/>
          <w:sz w:val="32"/>
          <w:szCs w:val="32"/>
        </w:rPr>
        <w:t>促进中小流通企业发展，培育老字号等商贸品牌。</w:t>
      </w:r>
      <w:r>
        <w:rPr>
          <w:rFonts w:hint="eastAsia" w:ascii="仿宋_GB2312" w:eastAsia="仿宋_GB2312"/>
          <w:sz w:val="32"/>
          <w:szCs w:val="32"/>
        </w:rPr>
        <w:t>负责流通行业管理、促进等发展工作，承担流通业发展规划拟订与组织实施、流通行业统计、行业标准推行、行业科技进步工作；提出深化流通体制改革的政策措施，推进、发展冷链物流中心和体系的建设，开展流通业国际合作与交流；</w:t>
      </w:r>
      <w:r>
        <w:rPr>
          <w:rFonts w:hint="eastAsia" w:ascii="仿宋_GB2312" w:hAnsi="仿宋" w:eastAsia="仿宋_GB2312" w:cs="Arial"/>
          <w:color w:val="000000"/>
          <w:sz w:val="32"/>
          <w:szCs w:val="32"/>
        </w:rPr>
        <w:t>指导流通体制和流通企业改革、流通领域节能降耗工作；</w:t>
      </w:r>
      <w:r>
        <w:rPr>
          <w:rFonts w:hint="eastAsia" w:ascii="仿宋_GB2312" w:eastAsia="仿宋_GB2312"/>
          <w:sz w:val="32"/>
          <w:szCs w:val="32"/>
        </w:rPr>
        <w:t>组织推进连锁经营、商业特许经营等现代流通方式发展，承担拍卖、旧货流通、再生资源流通等特殊流通行业监管工作，</w:t>
      </w:r>
      <w:r>
        <w:rPr>
          <w:rFonts w:hint="eastAsia" w:ascii="仿宋_GB2312" w:hAnsi="仿宋" w:eastAsia="仿宋_GB2312" w:cs="Arial"/>
          <w:color w:val="000000"/>
          <w:sz w:val="32"/>
          <w:szCs w:val="32"/>
        </w:rPr>
        <w:t>拟订再生资源回收行业发展规划、政策并组织实施，负责再生资源回收管理工作</w:t>
      </w:r>
      <w:r>
        <w:rPr>
          <w:rFonts w:hint="eastAsia" w:ascii="仿宋_GB2312" w:eastAsia="仿宋_GB2312"/>
          <w:sz w:val="32"/>
          <w:szCs w:val="32"/>
        </w:rPr>
        <w:t>。负责我县国内贸易的动态跟踪和研究分析工作，牵头研究制订内贸促进政策并监督实施。</w:t>
      </w:r>
    </w:p>
    <w:p>
      <w:pPr>
        <w:pStyle w:val="4"/>
        <w:widowControl w:val="0"/>
        <w:spacing w:before="0" w:beforeAutospacing="0" w:after="0" w:afterAutospacing="0" w:line="600" w:lineRule="exact"/>
        <w:ind w:firstLine="640" w:firstLineChars="20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负责商品现货市场行业管理；负责商品市场运行调控和商务领域消费促进工作；拟订并组织实施商品市场运行调节的政策；负责市场运行、商品供求的监测预警和信息引导；负责建立健全生活必需品市场供应应急管理机制；负责组织实施重要消费品市场调控和重要生产资料流通管理，组织实施重要商品（肉、糖、蛋、菜等）市场调控、储备管理和应急商品调控；负责协调副食品生产供应工作，指导管理“菜篮子”商品流通和城市副食品基地建设；按有关规定监督管理原油、成品油流通；统筹商务领域消费促进工作。</w:t>
      </w:r>
    </w:p>
    <w:p>
      <w:pPr>
        <w:spacing w:line="600" w:lineRule="exact"/>
        <w:ind w:firstLine="640" w:firstLineChars="200"/>
        <w:rPr>
          <w:rFonts w:ascii="宋体" w:hAnsi="宋体"/>
          <w:b/>
          <w:sz w:val="32"/>
          <w:szCs w:val="32"/>
        </w:rPr>
      </w:pPr>
      <w:r>
        <w:rPr>
          <w:rFonts w:hint="eastAsia" w:ascii="仿宋_GB2312" w:eastAsia="仿宋_GB2312"/>
          <w:sz w:val="32"/>
          <w:szCs w:val="32"/>
        </w:rPr>
        <w:t>负责组织开展商务领域综合行政执法，牵头协调打击侵权和假冒伪劣商品，协调打破市场垄断、行业垄断和县域封锁，牵头规范零售企业促销行为，促进零售商供应商公平交易；</w:t>
      </w:r>
      <w:r>
        <w:rPr>
          <w:rFonts w:hint="eastAsia" w:ascii="仿宋_GB2312" w:hAnsi="仿宋" w:eastAsia="仿宋_GB2312" w:cs="Arial"/>
          <w:sz w:val="32"/>
          <w:szCs w:val="32"/>
        </w:rPr>
        <w:t>拟订规范市场运行、流通秩序的政策，配合做好市场诚信公共服务平台工作；</w:t>
      </w:r>
      <w:r>
        <w:rPr>
          <w:rFonts w:hint="eastAsia" w:ascii="仿宋_GB2312" w:eastAsia="仿宋_GB2312"/>
          <w:sz w:val="32"/>
          <w:szCs w:val="32"/>
        </w:rPr>
        <w:t>协调管理我县商品贸</w:t>
      </w:r>
      <w:r>
        <w:rPr>
          <w:rFonts w:hint="eastAsia" w:ascii="仿宋_GB2312" w:eastAsia="仿宋_GB2312"/>
          <w:spacing w:val="4"/>
          <w:sz w:val="32"/>
          <w:szCs w:val="32"/>
        </w:rPr>
        <w:t>易经营秩序，指导、管理商务举报投诉；推动商务领域信用建设、信用担保、商业担保工作；牵头推进商贸行业的安全生产监督管理工作。</w:t>
      </w:r>
      <w:r>
        <w:rPr>
          <w:rFonts w:hint="eastAsia" w:ascii="仿宋_GB2312" w:hAnsi="仿宋" w:eastAsia="仿宋_GB2312" w:cs="仿宋"/>
          <w:kern w:val="0"/>
          <w:sz w:val="32"/>
          <w:szCs w:val="32"/>
        </w:rPr>
        <w:tab/>
      </w:r>
    </w:p>
    <w:p>
      <w:pPr>
        <w:spacing w:line="600" w:lineRule="exact"/>
        <w:ind w:firstLine="640" w:firstLineChars="200"/>
        <w:rPr>
          <w:rFonts w:ascii="宋体" w:hAnsi="宋体"/>
          <w:sz w:val="32"/>
          <w:szCs w:val="32"/>
        </w:rPr>
      </w:pPr>
      <w:r>
        <w:rPr>
          <w:rFonts w:ascii="宋体" w:hAnsi="宋体"/>
          <w:sz w:val="32"/>
          <w:szCs w:val="32"/>
        </w:rPr>
        <w:t>（二）</w:t>
      </w:r>
      <w:r>
        <w:rPr>
          <w:rFonts w:ascii="宋体" w:hAnsi="宋体"/>
          <w:b/>
          <w:sz w:val="32"/>
          <w:szCs w:val="32"/>
        </w:rPr>
        <w:t>项目基本情况</w:t>
      </w:r>
    </w:p>
    <w:p>
      <w:pPr>
        <w:autoSpaceDE w:val="0"/>
        <w:autoSpaceDN w:val="0"/>
        <w:snapToGrid w:val="0"/>
        <w:spacing w:line="610" w:lineRule="exact"/>
        <w:ind w:firstLine="640" w:firstLineChars="200"/>
        <w:rPr>
          <w:rFonts w:ascii="仿宋_GB2312" w:eastAsia="仿宋_GB2312"/>
          <w:sz w:val="32"/>
        </w:rPr>
      </w:pPr>
      <w:r>
        <w:rPr>
          <w:rFonts w:hint="eastAsia" w:ascii="仿宋_GB2312" w:hAnsi="仿宋" w:eastAsia="仿宋_GB2312" w:cs="仿宋"/>
          <w:b/>
          <w:kern w:val="0"/>
          <w:sz w:val="32"/>
          <w:szCs w:val="32"/>
        </w:rPr>
        <w:t>1.立项申报情况：</w:t>
      </w:r>
      <w:r>
        <w:rPr>
          <w:rFonts w:hint="eastAsia" w:ascii="仿宋_GB2312" w:eastAsia="仿宋_GB2312"/>
          <w:color w:val="000000"/>
          <w:sz w:val="32"/>
        </w:rPr>
        <w:t>制定出台了《上杭县进一步鼓励黄标车提前淘汰报废补贴方案》（杭政[2016]53号），</w:t>
      </w:r>
      <w:r>
        <w:rPr>
          <w:rFonts w:hint="eastAsia" w:ascii="仿宋_GB2312" w:eastAsia="仿宋_GB2312"/>
          <w:sz w:val="32"/>
        </w:rPr>
        <w:t>采取财政补贴方式，鼓励黄标车提前淘汰报废，扎实推进我县黄标车淘汰进程，确保2017年底前基本淘汰全县黄标车</w:t>
      </w:r>
      <w:r>
        <w:rPr>
          <w:rFonts w:hint="eastAsia" w:ascii="仿宋_GB2312" w:eastAsia="仿宋_GB2312"/>
          <w:color w:val="000000"/>
          <w:sz w:val="32"/>
        </w:rPr>
        <w:t>。</w:t>
      </w:r>
    </w:p>
    <w:p>
      <w:pPr>
        <w:shd w:val="solid" w:color="FFFFFF" w:fill="auto"/>
        <w:autoSpaceDN w:val="0"/>
        <w:snapToGrid w:val="0"/>
        <w:spacing w:line="610" w:lineRule="exact"/>
        <w:ind w:firstLine="640" w:firstLineChars="200"/>
        <w:rPr>
          <w:rFonts w:ascii="仿宋_GB2312" w:eastAsia="仿宋_GB2312"/>
          <w:sz w:val="32"/>
        </w:rPr>
      </w:pPr>
      <w:r>
        <w:rPr>
          <w:rFonts w:hint="eastAsia" w:ascii="仿宋_GB2312" w:hAnsi="仿宋" w:eastAsia="仿宋_GB2312" w:cs="仿宋"/>
          <w:b/>
          <w:kern w:val="0"/>
          <w:sz w:val="32"/>
          <w:szCs w:val="32"/>
        </w:rPr>
        <w:t>2.项目涉及范围：</w:t>
      </w:r>
      <w:r>
        <w:rPr>
          <w:rFonts w:hint="eastAsia" w:ascii="仿宋_GB2312" w:eastAsia="仿宋_GB2312"/>
          <w:sz w:val="32"/>
        </w:rPr>
        <w:t>自2016年1月1日起，对符合本方案规定的补助条件，注册登记所有人（以下简称“车主”）提前报废的非公务类黄标车。</w:t>
      </w:r>
    </w:p>
    <w:p>
      <w:pPr>
        <w:snapToGrid w:val="0"/>
        <w:spacing w:line="610" w:lineRule="exact"/>
        <w:ind w:firstLine="640" w:firstLineChars="200"/>
        <w:rPr>
          <w:rFonts w:ascii="仿宋_GB2312" w:eastAsia="仿宋_GB2312"/>
          <w:sz w:val="32"/>
        </w:rPr>
      </w:pPr>
      <w:r>
        <w:rPr>
          <w:rFonts w:hint="eastAsia" w:ascii="仿宋_GB2312" w:hAnsi="仿宋" w:eastAsia="仿宋_GB2312" w:cs="仿宋"/>
          <w:b/>
          <w:kern w:val="0"/>
          <w:sz w:val="32"/>
          <w:szCs w:val="32"/>
        </w:rPr>
        <w:t>3.主要内容：</w:t>
      </w:r>
      <w:r>
        <w:rPr>
          <w:rFonts w:hint="eastAsia" w:ascii="仿宋_GB2312" w:eastAsia="仿宋_GB2312"/>
          <w:sz w:val="32"/>
        </w:rPr>
        <w:t>黄标车是指未达到国I排放标准的点燃式发动机汽车和未达到国III排放标准的压燃式发动机汽车，暂不包括三轮汽车、低速载货汽车和摩托车。</w:t>
      </w:r>
    </w:p>
    <w:p>
      <w:pPr>
        <w:snapToGrid w:val="0"/>
        <w:spacing w:line="610" w:lineRule="exact"/>
        <w:ind w:firstLine="640" w:firstLineChars="200"/>
        <w:rPr>
          <w:rFonts w:ascii="仿宋_GB2312" w:eastAsia="仿宋_GB2312"/>
          <w:sz w:val="32"/>
        </w:rPr>
      </w:pPr>
      <w:r>
        <w:rPr>
          <w:rFonts w:hint="eastAsia" w:ascii="仿宋_GB2312" w:eastAsia="仿宋_GB2312"/>
          <w:sz w:val="32"/>
        </w:rPr>
        <w:t xml:space="preserve">使用年限是指《机动车强制报废标准规定》（国家商务部、发展改革委、公安部、环境保护部令2012年第12号）中规定的使用年限，以市公安机关交通管理部门的登记信息为准。 </w:t>
      </w:r>
    </w:p>
    <w:p>
      <w:pPr>
        <w:snapToGrid w:val="0"/>
        <w:spacing w:line="610" w:lineRule="exact"/>
        <w:ind w:firstLine="640" w:firstLineChars="200"/>
        <w:rPr>
          <w:rFonts w:ascii="仿宋_GB2312" w:eastAsia="仿宋_GB2312"/>
          <w:sz w:val="32"/>
        </w:rPr>
      </w:pPr>
      <w:r>
        <w:rPr>
          <w:rFonts w:hint="eastAsia" w:ascii="仿宋_GB2312" w:eastAsia="仿宋_GB2312"/>
          <w:sz w:val="32"/>
        </w:rPr>
        <w:t xml:space="preserve">黄标车报废是指车主将黄标车交售给经商务部门认定资格的报废汽车回收拆解企业处理报废。将黄标车转出我县的，不给予报废补贴。 </w:t>
      </w:r>
    </w:p>
    <w:p>
      <w:pPr>
        <w:snapToGrid w:val="0"/>
        <w:spacing w:line="610" w:lineRule="exact"/>
        <w:ind w:firstLine="640" w:firstLineChars="200"/>
        <w:rPr>
          <w:rFonts w:ascii="仿宋_GB2312" w:eastAsia="仿宋_GB2312"/>
          <w:sz w:val="32"/>
        </w:rPr>
      </w:pPr>
      <w:r>
        <w:rPr>
          <w:rFonts w:hint="eastAsia" w:ascii="仿宋_GB2312" w:eastAsia="仿宋_GB2312"/>
          <w:sz w:val="32"/>
        </w:rPr>
        <w:t>黄标车提前报废是指使用年限未届满的黄标车提前一年以上（含一年）报废和无使用年限的黄标车报废。</w:t>
      </w:r>
    </w:p>
    <w:p>
      <w:pPr>
        <w:shd w:val="solid" w:color="FFFFFF" w:fill="auto"/>
        <w:autoSpaceDN w:val="0"/>
        <w:snapToGrid w:val="0"/>
        <w:spacing w:line="610" w:lineRule="exact"/>
        <w:ind w:firstLine="640" w:firstLineChars="200"/>
        <w:rPr>
          <w:rFonts w:ascii="宋体" w:hAnsi="宋体"/>
          <w:sz w:val="32"/>
          <w:szCs w:val="32"/>
        </w:rPr>
      </w:pPr>
      <w:r>
        <w:rPr>
          <w:rFonts w:hint="eastAsia" w:ascii="仿宋_GB2312" w:hAnsi="仿宋" w:eastAsia="仿宋_GB2312" w:cs="仿宋"/>
          <w:b/>
          <w:kern w:val="0"/>
          <w:sz w:val="32"/>
          <w:szCs w:val="32"/>
        </w:rPr>
        <w:t>4.总体目标：</w:t>
      </w:r>
      <w:r>
        <w:rPr>
          <w:rFonts w:hint="eastAsia" w:ascii="仿宋_GB2312" w:eastAsia="仿宋_GB2312"/>
          <w:sz w:val="32"/>
        </w:rPr>
        <w:t>采取财政补贴方式，鼓励黄标车提前淘汰报废，扎实推进我县黄标车淘汰进程，确保2017年底前基本淘汰全县黄标车。</w:t>
      </w:r>
      <w:r>
        <w:rPr>
          <w:rFonts w:ascii="仿宋_GB2312" w:hAnsi="仿宋" w:eastAsia="仿宋_GB2312"/>
          <w:kern w:val="0"/>
          <w:sz w:val="32"/>
        </w:rPr>
        <w:tab/>
      </w:r>
      <w:r>
        <w:rPr>
          <w:rFonts w:hint="eastAsia" w:ascii="仿宋_GB2312" w:hAnsi="仿宋" w:eastAsia="仿宋_GB2312" w:cs="仿宋"/>
          <w:kern w:val="0"/>
          <w:sz w:val="32"/>
          <w:szCs w:val="32"/>
        </w:rPr>
        <w:tab/>
      </w:r>
      <w:r>
        <w:rPr>
          <w:rFonts w:hint="eastAsia" w:ascii="仿宋_GB2312" w:hAnsi="仿宋" w:eastAsia="仿宋_GB2312" w:cs="仿宋"/>
          <w:kern w:val="0"/>
          <w:sz w:val="32"/>
          <w:szCs w:val="32"/>
        </w:rPr>
        <w:tab/>
      </w:r>
    </w:p>
    <w:p>
      <w:pPr>
        <w:spacing w:line="600" w:lineRule="exact"/>
        <w:ind w:firstLine="643" w:firstLineChars="200"/>
        <w:rPr>
          <w:rFonts w:ascii="宋体" w:hAnsi="宋体"/>
          <w:b/>
          <w:sz w:val="32"/>
          <w:szCs w:val="32"/>
        </w:rPr>
      </w:pPr>
      <w:r>
        <w:rPr>
          <w:rFonts w:hint="eastAsia" w:ascii="宋体" w:hAnsi="宋体"/>
          <w:b/>
          <w:sz w:val="32"/>
          <w:szCs w:val="32"/>
        </w:rPr>
        <w:t>二、专项支出项目实施基本情况</w:t>
      </w:r>
    </w:p>
    <w:p>
      <w:pPr>
        <w:spacing w:line="600" w:lineRule="exact"/>
        <w:ind w:firstLine="640" w:firstLineChars="200"/>
        <w:rPr>
          <w:rFonts w:ascii="宋体" w:hAnsi="宋体"/>
          <w:sz w:val="32"/>
          <w:szCs w:val="32"/>
        </w:rPr>
      </w:pPr>
      <w:r>
        <w:rPr>
          <w:rFonts w:ascii="宋体" w:hAnsi="宋体"/>
          <w:sz w:val="32"/>
          <w:szCs w:val="32"/>
        </w:rPr>
        <w:t>（一）</w:t>
      </w:r>
      <w:r>
        <w:rPr>
          <w:rFonts w:ascii="宋体" w:hAnsi="宋体"/>
          <w:b/>
          <w:sz w:val="32"/>
          <w:szCs w:val="32"/>
        </w:rPr>
        <w:t>项目组织管理情况</w:t>
      </w:r>
    </w:p>
    <w:p>
      <w:pPr>
        <w:pStyle w:val="9"/>
        <w:spacing w:line="560" w:lineRule="exact"/>
        <w:ind w:firstLine="640"/>
        <w:rPr>
          <w:rFonts w:hint="default" w:ascii="仿宋_GB2312" w:eastAsia="仿宋_GB2312"/>
          <w:sz w:val="32"/>
        </w:rPr>
      </w:pPr>
      <w:r>
        <w:rPr>
          <w:rFonts w:ascii="仿宋_GB2312" w:hAnsi="仿宋" w:eastAsia="仿宋_GB2312" w:cs="仿宋"/>
          <w:b/>
          <w:color w:val="333333"/>
          <w:kern w:val="0"/>
          <w:sz w:val="32"/>
          <w:szCs w:val="32"/>
        </w:rPr>
        <w:t>1.项目执行情况：</w:t>
      </w:r>
      <w:r>
        <w:rPr>
          <w:rFonts w:ascii="仿宋_GB2312" w:eastAsia="仿宋_GB2312"/>
          <w:sz w:val="32"/>
        </w:rPr>
        <w:t>2017年完成淘汰黄标车补助</w:t>
      </w:r>
      <w:r>
        <w:rPr>
          <w:rFonts w:hint="default" w:ascii="仿宋_GB2312" w:eastAsia="仿宋_GB2312"/>
          <w:sz w:val="32"/>
        </w:rPr>
        <w:t>456</w:t>
      </w:r>
      <w:r>
        <w:rPr>
          <w:rFonts w:ascii="仿宋_GB2312" w:eastAsia="仿宋_GB2312"/>
          <w:sz w:val="32"/>
        </w:rPr>
        <w:t>辆，累计完成补助资金</w:t>
      </w:r>
      <w:r>
        <w:rPr>
          <w:rFonts w:hint="default" w:ascii="仿宋_GB2312" w:eastAsia="仿宋_GB2312"/>
          <w:sz w:val="32"/>
        </w:rPr>
        <w:t>358.2</w:t>
      </w:r>
      <w:r>
        <w:rPr>
          <w:rFonts w:ascii="仿宋_GB2312" w:eastAsia="仿宋_GB2312"/>
          <w:sz w:val="32"/>
        </w:rPr>
        <w:t>万元。</w:t>
      </w:r>
    </w:p>
    <w:p>
      <w:pPr>
        <w:spacing w:line="610" w:lineRule="exact"/>
        <w:ind w:firstLine="640" w:firstLineChars="200"/>
        <w:rPr>
          <w:rFonts w:ascii="仿宋_GB2312" w:hAnsi="仿宋" w:eastAsia="仿宋_GB2312" w:cs="仿宋"/>
          <w:b/>
          <w:color w:val="333333"/>
          <w:kern w:val="0"/>
          <w:sz w:val="32"/>
          <w:szCs w:val="32"/>
        </w:rPr>
      </w:pPr>
      <w:r>
        <w:rPr>
          <w:rFonts w:hint="eastAsia" w:ascii="仿宋_GB2312" w:hAnsi="仿宋" w:eastAsia="仿宋_GB2312" w:cs="仿宋"/>
          <w:b/>
          <w:color w:val="333333"/>
          <w:kern w:val="0"/>
          <w:sz w:val="32"/>
          <w:szCs w:val="32"/>
        </w:rPr>
        <w:t>2.采取的纠偏相关措施：</w:t>
      </w:r>
    </w:p>
    <w:p>
      <w:pPr>
        <w:spacing w:line="610" w:lineRule="exact"/>
        <w:ind w:firstLine="640" w:firstLineChars="200"/>
        <w:rPr>
          <w:rFonts w:ascii="仿宋_GB2312" w:eastAsia="仿宋_GB2312"/>
          <w:sz w:val="32"/>
        </w:rPr>
      </w:pPr>
      <w:r>
        <w:rPr>
          <w:rFonts w:hint="eastAsia" w:ascii="仿宋_GB2312" w:eastAsia="仿宋_GB2312"/>
          <w:sz w:val="32"/>
        </w:rPr>
        <w:t>（1）由提前淘汰黄标车补助联席会议办公室发布鼓励黄标车提前淘汰报废补贴方案有关事项通告，通过主要媒体向社会公布，并采取多种形式广为宣传。</w:t>
      </w:r>
    </w:p>
    <w:p>
      <w:pPr>
        <w:spacing w:line="610" w:lineRule="exact"/>
        <w:ind w:firstLine="640" w:firstLineChars="200"/>
        <w:rPr>
          <w:rFonts w:ascii="仿宋_GB2312" w:eastAsia="仿宋_GB2312"/>
          <w:sz w:val="32"/>
        </w:rPr>
      </w:pPr>
      <w:r>
        <w:rPr>
          <w:rFonts w:hint="eastAsia" w:ascii="仿宋_GB2312" w:eastAsia="仿宋_GB2312"/>
          <w:sz w:val="32"/>
        </w:rPr>
        <w:t>（2）县环保、财政、商务、交警部门在审查黄标车报废补贴申请材料过程中，如有疑异的，应向市环保局、财政局、商务局、交警支队进行复核。</w:t>
      </w:r>
    </w:p>
    <w:p>
      <w:pPr>
        <w:spacing w:line="610" w:lineRule="exact"/>
        <w:ind w:firstLine="640" w:firstLineChars="200"/>
        <w:rPr>
          <w:rFonts w:ascii="仿宋_GB2312" w:eastAsia="仿宋_GB2312"/>
          <w:sz w:val="32"/>
        </w:rPr>
      </w:pPr>
      <w:r>
        <w:rPr>
          <w:rFonts w:hint="eastAsia" w:ascii="仿宋_GB2312" w:eastAsia="仿宋_GB2312"/>
          <w:sz w:val="32"/>
        </w:rPr>
        <w:t>（3）县环保局、财政局、商务局、交警大队应加强沟通协调，及时研究、推进、总结工作进展，建立横向、纵向信息交换、材料复核工作机制，确保补贴资金安全、及时发放，确保补贴工作顺利进行。</w:t>
      </w:r>
    </w:p>
    <w:p>
      <w:pPr>
        <w:spacing w:line="610" w:lineRule="exact"/>
        <w:ind w:firstLine="640" w:firstLineChars="200"/>
        <w:rPr>
          <w:rFonts w:ascii="仿宋_GB2312" w:eastAsia="仿宋_GB2312"/>
          <w:sz w:val="32"/>
        </w:rPr>
      </w:pPr>
      <w:r>
        <w:rPr>
          <w:rFonts w:hint="eastAsia" w:ascii="仿宋_GB2312" w:eastAsia="仿宋_GB2312"/>
          <w:sz w:val="32"/>
        </w:rPr>
        <w:t>（4）审计部门在职责范围内，对2016年、2017年黄标车报废补贴资金进行审计监督。</w:t>
      </w:r>
    </w:p>
    <w:p>
      <w:pPr>
        <w:spacing w:line="610" w:lineRule="exact"/>
        <w:ind w:firstLine="640" w:firstLineChars="200"/>
        <w:rPr>
          <w:rFonts w:ascii="仿宋_GB2312" w:eastAsia="仿宋_GB2312"/>
          <w:sz w:val="32"/>
        </w:rPr>
      </w:pPr>
      <w:r>
        <w:rPr>
          <w:rFonts w:hint="eastAsia" w:ascii="仿宋_GB2312" w:eastAsia="仿宋_GB2312"/>
          <w:sz w:val="32"/>
        </w:rPr>
        <w:t>（5）本项目由县环保局、财政局、商务局、交警大队等部门组织实施。</w:t>
      </w:r>
    </w:p>
    <w:p>
      <w:pPr>
        <w:widowControl/>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640" w:firstLineChars="200"/>
        <w:jc w:val="left"/>
        <w:rPr>
          <w:rFonts w:ascii="仿宋_GB2312" w:hAnsi="仿宋" w:eastAsia="仿宋_GB2312" w:cs="仿宋"/>
          <w:b/>
          <w:color w:val="333333"/>
          <w:kern w:val="0"/>
          <w:sz w:val="32"/>
          <w:szCs w:val="32"/>
        </w:rPr>
      </w:pPr>
      <w:r>
        <w:rPr>
          <w:rFonts w:hint="eastAsia" w:ascii="仿宋_GB2312" w:hAnsi="仿宋" w:eastAsia="仿宋_GB2312" w:cs="仿宋"/>
          <w:b/>
          <w:color w:val="333333"/>
          <w:kern w:val="0"/>
          <w:sz w:val="32"/>
          <w:szCs w:val="32"/>
        </w:rPr>
        <w:t>3.项目管理制度及执行情况</w:t>
      </w:r>
    </w:p>
    <w:p>
      <w:pPr>
        <w:spacing w:line="600" w:lineRule="exact"/>
        <w:ind w:firstLine="627" w:firstLineChars="196"/>
        <w:rPr>
          <w:rFonts w:ascii="仿宋_GB2312" w:hAnsi="仿宋" w:eastAsia="仿宋_GB2312"/>
          <w:kern w:val="0"/>
          <w:sz w:val="32"/>
        </w:rPr>
      </w:pPr>
      <w:r>
        <w:rPr>
          <w:rFonts w:hint="eastAsia" w:ascii="仿宋_GB2312" w:hAnsi="仿宋" w:eastAsia="仿宋_GB2312"/>
          <w:kern w:val="0"/>
          <w:sz w:val="32"/>
        </w:rPr>
        <w:t>一是加强制度建设。2016年中共上杭县委办公室和上杭县人民政府办公室印发了</w:t>
      </w:r>
      <w:r>
        <w:rPr>
          <w:rFonts w:hint="eastAsia" w:ascii="仿宋_GB2312" w:eastAsia="仿宋_GB2312"/>
          <w:color w:val="000000"/>
          <w:sz w:val="32"/>
        </w:rPr>
        <w:t>《上杭县进一步鼓励黄标车提前淘汰报废补贴方案》（杭政[2016]53号）</w:t>
      </w:r>
      <w:r>
        <w:rPr>
          <w:rFonts w:hint="eastAsia" w:ascii="仿宋_GB2312" w:hAnsi="仿宋" w:eastAsia="仿宋_GB2312"/>
          <w:kern w:val="0"/>
          <w:sz w:val="32"/>
        </w:rPr>
        <w:t>，对项目任务、补助范围、补助条件、补助标准、资金来源、办理机构等作了明确规定，以便全年黄标车提前淘汰报废补贴工作的开展。二是加强配合。加强与各相关单位的配合，无缝对接工作流程，确保年度工作任务完成。</w:t>
      </w:r>
    </w:p>
    <w:p>
      <w:pPr>
        <w:numPr>
          <w:ilvl w:val="0"/>
          <w:numId w:val="1"/>
        </w:numPr>
        <w:spacing w:line="600" w:lineRule="exact"/>
        <w:ind w:firstLine="643" w:firstLineChars="200"/>
        <w:rPr>
          <w:rFonts w:ascii="宋体" w:hAnsi="宋体"/>
          <w:sz w:val="32"/>
          <w:szCs w:val="32"/>
        </w:rPr>
      </w:pPr>
      <w:r>
        <w:rPr>
          <w:rFonts w:ascii="宋体" w:hAnsi="宋体"/>
          <w:b/>
          <w:sz w:val="32"/>
          <w:szCs w:val="32"/>
        </w:rPr>
        <w:t>项目资金使用状况</w:t>
      </w:r>
    </w:p>
    <w:p>
      <w:pPr>
        <w:widowControl/>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640" w:firstLineChars="200"/>
        <w:jc w:val="left"/>
        <w:rPr>
          <w:rFonts w:ascii="仿宋_GB2312" w:hAnsi="仿宋" w:eastAsia="仿宋_GB2312"/>
          <w:color w:val="333333"/>
          <w:kern w:val="0"/>
          <w:sz w:val="32"/>
        </w:rPr>
      </w:pPr>
      <w:r>
        <w:rPr>
          <w:rFonts w:hint="eastAsia" w:ascii="仿宋_GB2312" w:hAnsi="仿宋" w:eastAsia="仿宋_GB2312" w:cs="仿宋"/>
          <w:b/>
          <w:color w:val="333333"/>
          <w:kern w:val="0"/>
          <w:sz w:val="32"/>
          <w:szCs w:val="32"/>
        </w:rPr>
        <w:t>1.项目总投入情况和实际支出情况：</w:t>
      </w:r>
      <w:r>
        <w:rPr>
          <w:rFonts w:hint="eastAsia" w:ascii="仿宋_GB2312" w:hAnsi="仿宋" w:eastAsia="仿宋_GB2312"/>
          <w:color w:val="333333"/>
          <w:kern w:val="0"/>
          <w:sz w:val="32"/>
        </w:rPr>
        <w:t>：本年专项资金总投入600万元，都属于地方财政资金；本年专项资金实际支出358.2万元，支出实现率为60%。</w:t>
      </w:r>
    </w:p>
    <w:p>
      <w:pPr>
        <w:widowControl/>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640" w:firstLineChars="200"/>
        <w:jc w:val="left"/>
        <w:rPr>
          <w:rFonts w:ascii="仿宋_GB2312" w:hAnsi="仿宋" w:eastAsia="仿宋_GB2312"/>
          <w:color w:val="333333"/>
          <w:kern w:val="0"/>
          <w:sz w:val="32"/>
        </w:rPr>
      </w:pPr>
      <w:r>
        <w:rPr>
          <w:rFonts w:hint="eastAsia" w:ascii="仿宋_GB2312" w:hAnsi="仿宋" w:eastAsia="仿宋_GB2312" w:cs="仿宋"/>
          <w:b/>
          <w:color w:val="333333"/>
          <w:kern w:val="0"/>
          <w:sz w:val="32"/>
          <w:szCs w:val="32"/>
        </w:rPr>
        <w:t>2.资金到位情况：</w:t>
      </w:r>
      <w:r>
        <w:rPr>
          <w:rFonts w:hint="eastAsia" w:ascii="仿宋_GB2312" w:hAnsi="仿宋" w:eastAsia="仿宋_GB2312"/>
          <w:color w:val="333333"/>
          <w:kern w:val="0"/>
          <w:sz w:val="32"/>
        </w:rPr>
        <w:t>本年地方财政专项资金共到位600万元，资金到位率100%。</w:t>
      </w:r>
    </w:p>
    <w:p>
      <w:pPr>
        <w:widowControl/>
        <w:tabs>
          <w:tab w:val="left" w:pos="5293"/>
          <w:tab w:val="left" w:pos="6373"/>
          <w:tab w:val="left" w:pos="7453"/>
          <w:tab w:val="left" w:pos="8533"/>
          <w:tab w:val="left" w:pos="9613"/>
          <w:tab w:val="left" w:pos="10693"/>
          <w:tab w:val="left" w:pos="11773"/>
          <w:tab w:val="left" w:pos="12853"/>
          <w:tab w:val="left" w:pos="13933"/>
          <w:tab w:val="left" w:pos="15013"/>
          <w:tab w:val="left" w:pos="16093"/>
          <w:tab w:val="left" w:pos="17173"/>
          <w:tab w:val="left" w:pos="18253"/>
          <w:tab w:val="left" w:pos="19333"/>
          <w:tab w:val="left" w:pos="20413"/>
          <w:tab w:val="left" w:pos="21493"/>
          <w:tab w:val="left" w:pos="22573"/>
        </w:tabs>
        <w:spacing w:line="600" w:lineRule="exact"/>
        <w:ind w:firstLine="640" w:firstLineChars="200"/>
        <w:jc w:val="left"/>
        <w:rPr>
          <w:rFonts w:ascii="宋体" w:hAnsi="宋体"/>
          <w:sz w:val="32"/>
          <w:szCs w:val="32"/>
        </w:rPr>
      </w:pPr>
      <w:r>
        <w:rPr>
          <w:rFonts w:hint="eastAsia" w:ascii="仿宋_GB2312" w:hAnsi="仿宋" w:eastAsia="仿宋_GB2312" w:cs="仿宋"/>
          <w:b/>
          <w:color w:val="333333"/>
          <w:kern w:val="0"/>
          <w:sz w:val="32"/>
          <w:szCs w:val="32"/>
        </w:rPr>
        <w:t>3.资金使用合法性、合规性等：</w:t>
      </w:r>
      <w:r>
        <w:rPr>
          <w:rFonts w:hint="eastAsia" w:ascii="仿宋_GB2312" w:hAnsi="仿宋" w:eastAsia="仿宋_GB2312"/>
          <w:color w:val="333333"/>
          <w:kern w:val="0"/>
          <w:sz w:val="32"/>
        </w:rPr>
        <w:t>我单位能严格按照法律法规有关规定，规范淘汰黄标车补助专项资金的使用和管理，严格财政专项资金的审批拨付程序，实行专款专用，无挤占、挪用、截留等违法违规使用财政专项资金的现象。</w:t>
      </w:r>
    </w:p>
    <w:p>
      <w:pPr>
        <w:spacing w:line="600" w:lineRule="exact"/>
        <w:ind w:firstLine="643" w:firstLineChars="200"/>
        <w:rPr>
          <w:rFonts w:ascii="宋体" w:hAnsi="宋体"/>
          <w:b/>
          <w:sz w:val="32"/>
          <w:szCs w:val="32"/>
        </w:rPr>
      </w:pPr>
      <w:r>
        <w:rPr>
          <w:rFonts w:hint="eastAsia" w:ascii="宋体" w:hAnsi="宋体"/>
          <w:b/>
          <w:sz w:val="32"/>
          <w:szCs w:val="32"/>
        </w:rPr>
        <w:t>三、专项支出项目绩效分析</w:t>
      </w:r>
    </w:p>
    <w:p>
      <w:pPr>
        <w:spacing w:line="600" w:lineRule="exact"/>
        <w:ind w:firstLine="640" w:firstLineChars="200"/>
        <w:rPr>
          <w:rFonts w:ascii="宋体" w:hAnsi="宋体"/>
          <w:sz w:val="32"/>
          <w:szCs w:val="32"/>
        </w:rPr>
      </w:pPr>
      <w:r>
        <w:rPr>
          <w:rFonts w:ascii="宋体" w:hAnsi="宋体"/>
          <w:sz w:val="32"/>
          <w:szCs w:val="32"/>
        </w:rPr>
        <w:t>（一）</w:t>
      </w:r>
      <w:r>
        <w:rPr>
          <w:rFonts w:ascii="宋体" w:hAnsi="宋体"/>
          <w:b/>
          <w:sz w:val="32"/>
          <w:szCs w:val="32"/>
        </w:rPr>
        <w:t>项目绩效评价工作开展情况</w:t>
      </w:r>
    </w:p>
    <w:p>
      <w:pPr>
        <w:spacing w:line="600" w:lineRule="exact"/>
        <w:ind w:firstLine="640" w:firstLineChars="200"/>
        <w:rPr>
          <w:rFonts w:ascii="仿宋_GB2312" w:hAnsi="仿宋" w:eastAsia="仿宋_GB2312"/>
          <w:sz w:val="32"/>
          <w:highlight w:val="yellow"/>
        </w:rPr>
      </w:pPr>
      <w:r>
        <w:rPr>
          <w:rFonts w:hint="eastAsia" w:ascii="仿宋_GB2312" w:hAnsi="仿宋" w:eastAsia="仿宋_GB2312"/>
          <w:sz w:val="32"/>
        </w:rPr>
        <w:t>一是制定绩效评价工作方案。根据省市县文件要求，我局编制了2017年度绩效目标申报表，采用成本效益分析法，确定绩效目标完成情况。二是根据工作方案要求对本单位进行考核，核实其目标任务完成情况。</w:t>
      </w:r>
    </w:p>
    <w:p>
      <w:pPr>
        <w:numPr>
          <w:ilvl w:val="0"/>
          <w:numId w:val="2"/>
        </w:numPr>
        <w:spacing w:line="600" w:lineRule="exact"/>
        <w:ind w:firstLine="643" w:firstLineChars="200"/>
        <w:rPr>
          <w:rFonts w:ascii="宋体" w:hAnsi="宋体"/>
          <w:sz w:val="32"/>
          <w:szCs w:val="32"/>
        </w:rPr>
      </w:pPr>
      <w:r>
        <w:rPr>
          <w:rFonts w:ascii="宋体" w:hAnsi="宋体"/>
          <w:b/>
          <w:sz w:val="32"/>
          <w:szCs w:val="32"/>
        </w:rPr>
        <w:t>项目绩效目标完成情况</w:t>
      </w:r>
    </w:p>
    <w:p>
      <w:pPr>
        <w:spacing w:line="600" w:lineRule="exact"/>
        <w:ind w:firstLine="640" w:firstLineChars="200"/>
        <w:rPr>
          <w:rFonts w:ascii="仿宋_GB2312" w:hAnsi="仿宋" w:eastAsia="仿宋_GB2312"/>
          <w:sz w:val="32"/>
        </w:rPr>
      </w:pPr>
      <w:r>
        <w:rPr>
          <w:rFonts w:hint="eastAsia" w:ascii="仿宋_GB2312" w:hAnsi="仿宋" w:eastAsia="仿宋_GB2312"/>
          <w:sz w:val="32"/>
        </w:rPr>
        <w:t>1.主要经济社会效益：生产更多产品和劳务，居民就业率提高，税收收入增加，增加企业盈利和国家</w:t>
      </w:r>
      <w:r>
        <w:fldChar w:fldCharType="begin"/>
      </w:r>
      <w:r>
        <w:instrText xml:space="preserve">HYPERLINK "http://baike.baidu.com/view/604597.htm" \t "_blank" </w:instrText>
      </w:r>
      <w:r>
        <w:fldChar w:fldCharType="separate"/>
      </w:r>
      <w:r>
        <w:rPr>
          <w:rFonts w:hint="eastAsia" w:ascii="仿宋_GB2312" w:hAnsi="仿宋" w:eastAsia="仿宋_GB2312"/>
          <w:sz w:val="32"/>
        </w:rPr>
        <w:t>收入</w:t>
      </w:r>
      <w:r>
        <w:fldChar w:fldCharType="end"/>
      </w:r>
      <w:r>
        <w:rPr>
          <w:rFonts w:hint="eastAsia" w:ascii="仿宋_GB2312" w:hAnsi="仿宋" w:eastAsia="仿宋_GB2312"/>
          <w:sz w:val="32"/>
        </w:rPr>
        <w:t>，从而有利于国民经济和社会的发展和人民不断增长的物质和文化生活需要的满足。</w:t>
      </w:r>
    </w:p>
    <w:p>
      <w:pPr>
        <w:spacing w:line="600" w:lineRule="exact"/>
        <w:ind w:firstLine="640" w:firstLineChars="200"/>
        <w:rPr>
          <w:rFonts w:ascii="仿宋_GB2312" w:hAnsi="仿宋" w:eastAsia="仿宋_GB2312"/>
          <w:sz w:val="32"/>
        </w:rPr>
      </w:pPr>
      <w:r>
        <w:rPr>
          <w:rFonts w:hint="eastAsia" w:ascii="仿宋_GB2312" w:hAnsi="仿宋" w:eastAsia="仿宋_GB2312"/>
          <w:sz w:val="32"/>
        </w:rPr>
        <w:t>2.环境影响：健全完善了领导分工负责制、限时办结制、行政不作为和过错责任追究等制度，进一步深化行政审批制度改革，削减审批事项，减少审批环节，简化办事程序，切实提高服务质量和工作效率。</w:t>
      </w:r>
    </w:p>
    <w:p>
      <w:pPr>
        <w:spacing w:line="600" w:lineRule="exact"/>
        <w:ind w:firstLine="640" w:firstLineChars="200"/>
        <w:rPr>
          <w:rFonts w:ascii="宋体" w:hAnsi="宋体"/>
          <w:color w:val="0000FF"/>
          <w:sz w:val="32"/>
          <w:szCs w:val="32"/>
        </w:rPr>
      </w:pPr>
      <w:r>
        <w:rPr>
          <w:rFonts w:hint="eastAsia" w:ascii="仿宋_GB2312" w:hAnsi="仿宋" w:eastAsia="仿宋_GB2312"/>
          <w:sz w:val="32"/>
        </w:rPr>
        <w:t>3.可持续影响等情况：在淘汰黄标车报废补贴的过程中，坚持经济、社会与</w:t>
      </w:r>
      <w:r>
        <w:fldChar w:fldCharType="begin"/>
      </w:r>
      <w:r>
        <w:instrText xml:space="preserve">HYPERLINK "http://baike.baidu.com/view/30803.htm" \t "_blank" </w:instrText>
      </w:r>
      <w:r>
        <w:fldChar w:fldCharType="separate"/>
      </w:r>
      <w:r>
        <w:rPr>
          <w:rFonts w:hint="eastAsia" w:ascii="仿宋_GB2312" w:hAnsi="仿宋" w:eastAsia="仿宋_GB2312"/>
          <w:sz w:val="32"/>
        </w:rPr>
        <w:t>生态环境</w:t>
      </w:r>
      <w:r>
        <w:fldChar w:fldCharType="end"/>
      </w:r>
      <w:r>
        <w:rPr>
          <w:rFonts w:hint="eastAsia" w:ascii="仿宋_GB2312" w:hAnsi="仿宋" w:eastAsia="仿宋_GB2312"/>
          <w:sz w:val="32"/>
        </w:rPr>
        <w:t>的持续协调发展，充分发挥政府的主导作用，加大投入，强化监管，提供良好的</w:t>
      </w:r>
      <w:r>
        <w:fldChar w:fldCharType="begin"/>
      </w:r>
      <w:r>
        <w:instrText xml:space="preserve">HYPERLINK "http://baike.baidu.com/view/2600242.htm" \t "_blank" </w:instrText>
      </w:r>
      <w:r>
        <w:fldChar w:fldCharType="separate"/>
      </w:r>
      <w:r>
        <w:rPr>
          <w:rFonts w:hint="eastAsia" w:ascii="仿宋_GB2312" w:hAnsi="仿宋" w:eastAsia="仿宋_GB2312"/>
          <w:sz w:val="32"/>
        </w:rPr>
        <w:t>政策环境</w:t>
      </w:r>
      <w:r>
        <w:fldChar w:fldCharType="end"/>
      </w:r>
      <w:r>
        <w:rPr>
          <w:rFonts w:hint="eastAsia" w:ascii="仿宋_GB2312" w:hAnsi="仿宋" w:eastAsia="仿宋_GB2312"/>
          <w:sz w:val="32"/>
        </w:rPr>
        <w:t>和公共服务，使服务环境优化，产业结构升级。</w:t>
      </w:r>
    </w:p>
    <w:p>
      <w:pPr>
        <w:autoSpaceDE w:val="0"/>
        <w:autoSpaceDN w:val="0"/>
        <w:spacing w:line="600" w:lineRule="exact"/>
        <w:ind w:firstLine="640" w:firstLineChars="200"/>
        <w:rPr>
          <w:rFonts w:ascii="宋体" w:hAnsi="宋体"/>
          <w:b/>
          <w:sz w:val="32"/>
          <w:szCs w:val="32"/>
        </w:rPr>
      </w:pPr>
      <w:r>
        <w:rPr>
          <w:rFonts w:ascii="宋体" w:hAnsi="宋体"/>
          <w:sz w:val="32"/>
          <w:szCs w:val="32"/>
        </w:rPr>
        <w:t>（三）</w:t>
      </w:r>
      <w:r>
        <w:rPr>
          <w:rFonts w:ascii="宋体" w:hAnsi="宋体"/>
          <w:b/>
          <w:sz w:val="32"/>
          <w:szCs w:val="32"/>
        </w:rPr>
        <w:t>项目绩效分析</w:t>
      </w:r>
    </w:p>
    <w:p>
      <w:pPr>
        <w:autoSpaceDE w:val="0"/>
        <w:autoSpaceDN w:val="0"/>
        <w:spacing w:line="600" w:lineRule="exact"/>
        <w:ind w:firstLine="640" w:firstLineChars="200"/>
        <w:rPr>
          <w:rFonts w:ascii="仿宋_GB2312" w:hAnsi="仿宋" w:eastAsia="仿宋_GB2312" w:cs="仿宋"/>
          <w:sz w:val="32"/>
          <w:szCs w:val="32"/>
        </w:rPr>
      </w:pPr>
      <w:r>
        <w:rPr>
          <w:rFonts w:hint="eastAsia" w:ascii="仿宋_GB2312" w:hAnsi="仿宋" w:eastAsia="仿宋_GB2312" w:cs="仿宋"/>
          <w:b/>
          <w:color w:val="000000"/>
          <w:sz w:val="32"/>
          <w:szCs w:val="32"/>
        </w:rPr>
        <w:t>1.投入情况（平均得分30分）：</w:t>
      </w:r>
      <w:r>
        <w:rPr>
          <w:rFonts w:hint="eastAsia" w:ascii="仿宋_GB2312" w:hAnsi="仿宋" w:eastAsia="仿宋_GB2312"/>
          <w:sz w:val="32"/>
        </w:rPr>
        <w:t>全年淘汰黄标车报废补贴资金到位率为100%。以地方投入为主，地方财政配套资金</w:t>
      </w:r>
      <w:r>
        <w:rPr>
          <w:rFonts w:hint="eastAsia" w:ascii="仿宋_GB2312" w:hAnsi="仿宋" w:eastAsia="仿宋_GB2312"/>
          <w:color w:val="333333"/>
          <w:kern w:val="0"/>
          <w:sz w:val="32"/>
        </w:rPr>
        <w:t>600</w:t>
      </w:r>
      <w:r>
        <w:rPr>
          <w:rFonts w:hint="eastAsia" w:ascii="仿宋_GB2312" w:hAnsi="仿宋" w:eastAsia="仿宋_GB2312"/>
          <w:sz w:val="32"/>
        </w:rPr>
        <w:t>万元。本年度招商引资专项资金实际支出</w:t>
      </w:r>
      <w:r>
        <w:rPr>
          <w:rFonts w:hint="eastAsia" w:ascii="仿宋_GB2312" w:hAnsi="仿宋" w:eastAsia="仿宋_GB2312"/>
          <w:color w:val="333333"/>
          <w:kern w:val="0"/>
          <w:sz w:val="32"/>
        </w:rPr>
        <w:t>358.2</w:t>
      </w:r>
      <w:r>
        <w:rPr>
          <w:rFonts w:hint="eastAsia" w:ascii="仿宋_GB2312" w:hAnsi="仿宋" w:eastAsia="仿宋_GB2312"/>
          <w:sz w:val="32"/>
        </w:rPr>
        <w:t>万元，支出实现率60%。我单位能严格按照有关财经规章制度及相关规定，规范资金使用管理，确保专项资金安全运行，有效使用。</w:t>
      </w:r>
    </w:p>
    <w:p>
      <w:pPr>
        <w:autoSpaceDE w:val="0"/>
        <w:autoSpaceDN w:val="0"/>
        <w:adjustRightInd w:val="0"/>
        <w:spacing w:line="600" w:lineRule="exact"/>
        <w:ind w:firstLine="648" w:firstLineChars="200"/>
        <w:rPr>
          <w:rFonts w:ascii="仿宋_GB2312" w:hAnsi="仿宋" w:eastAsia="仿宋_GB2312" w:cs="仿宋"/>
          <w:spacing w:val="2"/>
          <w:sz w:val="32"/>
          <w:szCs w:val="32"/>
        </w:rPr>
      </w:pPr>
      <w:r>
        <w:rPr>
          <w:rFonts w:hint="eastAsia" w:ascii="仿宋_GB2312" w:hAnsi="仿宋" w:eastAsia="仿宋_GB2312" w:cs="仿宋"/>
          <w:b/>
          <w:spacing w:val="2"/>
          <w:sz w:val="32"/>
          <w:szCs w:val="32"/>
        </w:rPr>
        <w:t>2.产出与效益（平均得分30分）：</w:t>
      </w:r>
      <w:r>
        <w:rPr>
          <w:rFonts w:hint="eastAsia" w:ascii="仿宋_GB2312" w:hAnsi="仿宋" w:eastAsia="仿宋_GB2312"/>
          <w:kern w:val="0"/>
          <w:sz w:val="32"/>
        </w:rPr>
        <w:t>全县全年完成淘汰黄标车补助</w:t>
      </w:r>
      <w:r>
        <w:rPr>
          <w:rFonts w:hint="eastAsia" w:ascii="仿宋_GB2312" w:hAnsi="仿宋" w:eastAsia="仿宋_GB2312"/>
          <w:color w:val="333333"/>
          <w:kern w:val="0"/>
          <w:sz w:val="32"/>
        </w:rPr>
        <w:t>358.2</w:t>
      </w:r>
      <w:r>
        <w:rPr>
          <w:rFonts w:hint="eastAsia" w:ascii="仿宋_GB2312" w:hAnsi="仿宋" w:eastAsia="仿宋_GB2312"/>
          <w:kern w:val="0"/>
          <w:sz w:val="32"/>
        </w:rPr>
        <w:t>万元。服务环境优化，生态环境条件改善，产业结构升级，税收收入提高。</w:t>
      </w:r>
    </w:p>
    <w:p>
      <w:pPr>
        <w:spacing w:line="600" w:lineRule="exact"/>
        <w:ind w:firstLine="648" w:firstLineChars="200"/>
        <w:rPr>
          <w:rFonts w:ascii="宋体" w:hAnsi="宋体"/>
          <w:sz w:val="32"/>
          <w:szCs w:val="32"/>
          <w:highlight w:val="yellow"/>
        </w:rPr>
      </w:pPr>
      <w:r>
        <w:rPr>
          <w:rFonts w:hint="eastAsia" w:ascii="仿宋_GB2312" w:hAnsi="仿宋" w:eastAsia="仿宋_GB2312" w:cs="仿宋"/>
          <w:b/>
          <w:spacing w:val="2"/>
          <w:sz w:val="32"/>
          <w:szCs w:val="32"/>
        </w:rPr>
        <w:t>3.项目管理（平均得分40分）：</w:t>
      </w:r>
      <w:r>
        <w:rPr>
          <w:rFonts w:hint="eastAsia" w:ascii="仿宋_GB2312" w:hAnsi="仿宋" w:eastAsia="仿宋_GB2312"/>
          <w:kern w:val="0"/>
          <w:sz w:val="32"/>
        </w:rPr>
        <w:t>县里成立了</w:t>
      </w:r>
      <w:r>
        <w:rPr>
          <w:rFonts w:hint="eastAsia" w:ascii="仿宋_GB2312" w:eastAsia="仿宋_GB2312"/>
          <w:sz w:val="32"/>
        </w:rPr>
        <w:t>联席会议办公室</w:t>
      </w:r>
      <w:r>
        <w:rPr>
          <w:rFonts w:hint="eastAsia" w:ascii="仿宋_GB2312" w:hAnsi="仿宋" w:eastAsia="仿宋_GB2312"/>
          <w:kern w:val="0"/>
          <w:sz w:val="32"/>
        </w:rPr>
        <w:t>，强化组织领导，制定目标责任，确保任务完成。单位财务制度完善，会计核算规范，能准确反映补助资金收、支结余情况，促进项目建设进度，提高项目实施质量。</w:t>
      </w:r>
    </w:p>
    <w:p>
      <w:pPr>
        <w:spacing w:line="600" w:lineRule="exact"/>
        <w:ind w:firstLine="643" w:firstLineChars="200"/>
        <w:rPr>
          <w:rFonts w:ascii="宋体" w:hAnsi="宋体"/>
          <w:b/>
          <w:sz w:val="32"/>
          <w:szCs w:val="32"/>
        </w:rPr>
      </w:pPr>
      <w:r>
        <w:rPr>
          <w:rFonts w:hint="eastAsia" w:ascii="宋体" w:hAnsi="宋体"/>
          <w:b/>
          <w:sz w:val="32"/>
          <w:szCs w:val="32"/>
        </w:rPr>
        <w:t>四、工作成效</w:t>
      </w:r>
    </w:p>
    <w:p>
      <w:pPr>
        <w:spacing w:line="600" w:lineRule="exact"/>
        <w:ind w:firstLine="648" w:firstLineChars="200"/>
        <w:rPr>
          <w:rFonts w:hint="eastAsia" w:ascii="仿宋_GB2312" w:hAnsi="仿宋" w:eastAsia="仿宋_GB2312"/>
          <w:kern w:val="0"/>
          <w:sz w:val="32"/>
        </w:rPr>
      </w:pPr>
      <w:r>
        <w:rPr>
          <w:rFonts w:hint="eastAsia" w:ascii="仿宋_GB2312" w:hAnsi="仿宋" w:eastAsia="仿宋_GB2312"/>
          <w:kern w:val="0"/>
          <w:sz w:val="32"/>
        </w:rPr>
        <w:t>1.主要经济社会效益：生产更多产品和劳务，居民就业率提高，税收收入增加，增加企业盈利和国家</w:t>
      </w:r>
      <w:r>
        <w:rPr>
          <w:rFonts w:hint="eastAsia" w:ascii="仿宋_GB2312" w:hAnsi="仿宋" w:eastAsia="仿宋_GB2312"/>
          <w:kern w:val="0"/>
          <w:sz w:val="32"/>
        </w:rPr>
        <w:fldChar w:fldCharType="begin"/>
      </w:r>
      <w:r>
        <w:rPr>
          <w:rFonts w:hint="eastAsia" w:ascii="仿宋_GB2312" w:hAnsi="仿宋" w:eastAsia="仿宋_GB2312"/>
          <w:kern w:val="0"/>
          <w:sz w:val="32"/>
        </w:rPr>
        <w:instrText xml:space="preserve">HYPERLINK "http://baike.baidu.com/view/604597.htm" \t "_blank" </w:instrText>
      </w:r>
      <w:r>
        <w:rPr>
          <w:rFonts w:hint="eastAsia" w:ascii="仿宋_GB2312" w:hAnsi="仿宋" w:eastAsia="仿宋_GB2312"/>
          <w:kern w:val="0"/>
          <w:sz w:val="32"/>
        </w:rPr>
        <w:fldChar w:fldCharType="separate"/>
      </w:r>
      <w:r>
        <w:rPr>
          <w:rFonts w:hint="eastAsia" w:ascii="仿宋_GB2312" w:hAnsi="仿宋" w:eastAsia="仿宋_GB2312"/>
          <w:kern w:val="0"/>
          <w:sz w:val="32"/>
        </w:rPr>
        <w:t>收入</w:t>
      </w:r>
      <w:r>
        <w:rPr>
          <w:rFonts w:hint="eastAsia" w:ascii="仿宋_GB2312" w:hAnsi="仿宋" w:eastAsia="仿宋_GB2312"/>
          <w:kern w:val="0"/>
          <w:sz w:val="32"/>
        </w:rPr>
        <w:fldChar w:fldCharType="end"/>
      </w:r>
      <w:r>
        <w:rPr>
          <w:rFonts w:hint="eastAsia" w:ascii="仿宋_GB2312" w:hAnsi="仿宋" w:eastAsia="仿宋_GB2312"/>
          <w:kern w:val="0"/>
          <w:sz w:val="32"/>
        </w:rPr>
        <w:t>，从而有利于国民经济和社会的发展和人民不断增长的物质和文化生活需要的满足。</w:t>
      </w:r>
    </w:p>
    <w:p>
      <w:pPr>
        <w:spacing w:line="600" w:lineRule="exact"/>
        <w:ind w:firstLine="648" w:firstLineChars="200"/>
        <w:rPr>
          <w:rFonts w:hint="eastAsia" w:ascii="仿宋_GB2312" w:hAnsi="仿宋" w:eastAsia="仿宋_GB2312"/>
          <w:kern w:val="0"/>
          <w:sz w:val="32"/>
        </w:rPr>
      </w:pPr>
      <w:r>
        <w:rPr>
          <w:rFonts w:hint="eastAsia" w:ascii="仿宋_GB2312" w:hAnsi="仿宋" w:eastAsia="仿宋_GB2312"/>
          <w:kern w:val="0"/>
          <w:sz w:val="32"/>
        </w:rPr>
        <w:t>2.环境影响：健全完善了领导分工负责制、限时办结制、行政不作为和过错责任追究等制度，进一步深化行政审批制度改革，削减审批事项，减少审批环节，简化办事程序，切实提高服务质量和工作效率。</w:t>
      </w:r>
    </w:p>
    <w:p>
      <w:pPr>
        <w:spacing w:line="600" w:lineRule="exact"/>
        <w:ind w:firstLine="648" w:firstLineChars="200"/>
        <w:rPr>
          <w:rFonts w:hint="eastAsia" w:ascii="仿宋_GB2312" w:hAnsi="仿宋" w:eastAsia="仿宋_GB2312"/>
          <w:kern w:val="0"/>
          <w:sz w:val="32"/>
        </w:rPr>
      </w:pPr>
      <w:r>
        <w:rPr>
          <w:rFonts w:hint="eastAsia" w:ascii="仿宋_GB2312" w:hAnsi="仿宋" w:eastAsia="仿宋_GB2312"/>
          <w:kern w:val="0"/>
          <w:sz w:val="32"/>
        </w:rPr>
        <w:t>3.可持续影响等情况：在淘汰黄标车报废补贴的过程中，坚持经济、社会与</w:t>
      </w:r>
      <w:r>
        <w:rPr>
          <w:rFonts w:hint="eastAsia" w:ascii="仿宋_GB2312" w:hAnsi="仿宋" w:eastAsia="仿宋_GB2312"/>
          <w:kern w:val="0"/>
          <w:sz w:val="32"/>
        </w:rPr>
        <w:fldChar w:fldCharType="begin"/>
      </w:r>
      <w:r>
        <w:rPr>
          <w:rFonts w:hint="eastAsia" w:ascii="仿宋_GB2312" w:hAnsi="仿宋" w:eastAsia="仿宋_GB2312"/>
          <w:kern w:val="0"/>
          <w:sz w:val="32"/>
        </w:rPr>
        <w:instrText xml:space="preserve">HYPERLINK "http://baike.baidu.com/view/30803.htm" \t "_blank" </w:instrText>
      </w:r>
      <w:r>
        <w:rPr>
          <w:rFonts w:hint="eastAsia" w:ascii="仿宋_GB2312" w:hAnsi="仿宋" w:eastAsia="仿宋_GB2312"/>
          <w:kern w:val="0"/>
          <w:sz w:val="32"/>
        </w:rPr>
        <w:fldChar w:fldCharType="separate"/>
      </w:r>
      <w:r>
        <w:rPr>
          <w:rFonts w:hint="eastAsia" w:ascii="仿宋_GB2312" w:hAnsi="仿宋" w:eastAsia="仿宋_GB2312"/>
          <w:kern w:val="0"/>
          <w:sz w:val="32"/>
        </w:rPr>
        <w:t>生态环境</w:t>
      </w:r>
      <w:r>
        <w:rPr>
          <w:rFonts w:hint="eastAsia" w:ascii="仿宋_GB2312" w:hAnsi="仿宋" w:eastAsia="仿宋_GB2312"/>
          <w:kern w:val="0"/>
          <w:sz w:val="32"/>
        </w:rPr>
        <w:fldChar w:fldCharType="end"/>
      </w:r>
      <w:r>
        <w:rPr>
          <w:rFonts w:hint="eastAsia" w:ascii="仿宋_GB2312" w:hAnsi="仿宋" w:eastAsia="仿宋_GB2312"/>
          <w:kern w:val="0"/>
          <w:sz w:val="32"/>
        </w:rPr>
        <w:t>的持续协调发展，充分发挥政府的主导作用，加大投入，强化监管，提供良好的</w:t>
      </w:r>
      <w:r>
        <w:rPr>
          <w:rFonts w:hint="eastAsia" w:ascii="仿宋_GB2312" w:hAnsi="仿宋" w:eastAsia="仿宋_GB2312"/>
          <w:kern w:val="0"/>
          <w:sz w:val="32"/>
        </w:rPr>
        <w:fldChar w:fldCharType="begin"/>
      </w:r>
      <w:r>
        <w:rPr>
          <w:rFonts w:hint="eastAsia" w:ascii="仿宋_GB2312" w:hAnsi="仿宋" w:eastAsia="仿宋_GB2312"/>
          <w:kern w:val="0"/>
          <w:sz w:val="32"/>
        </w:rPr>
        <w:instrText xml:space="preserve">HYPERLINK "http://baike.baidu.com/view/2600242.htm" \t "_blank" </w:instrText>
      </w:r>
      <w:r>
        <w:rPr>
          <w:rFonts w:hint="eastAsia" w:ascii="仿宋_GB2312" w:hAnsi="仿宋" w:eastAsia="仿宋_GB2312"/>
          <w:kern w:val="0"/>
          <w:sz w:val="32"/>
        </w:rPr>
        <w:fldChar w:fldCharType="separate"/>
      </w:r>
      <w:r>
        <w:rPr>
          <w:rFonts w:hint="eastAsia" w:ascii="仿宋_GB2312" w:hAnsi="仿宋" w:eastAsia="仿宋_GB2312"/>
          <w:kern w:val="0"/>
          <w:sz w:val="32"/>
        </w:rPr>
        <w:t>政策环境</w:t>
      </w:r>
      <w:r>
        <w:rPr>
          <w:rFonts w:hint="eastAsia" w:ascii="仿宋_GB2312" w:hAnsi="仿宋" w:eastAsia="仿宋_GB2312"/>
          <w:kern w:val="0"/>
          <w:sz w:val="32"/>
        </w:rPr>
        <w:fldChar w:fldCharType="end"/>
      </w:r>
      <w:r>
        <w:rPr>
          <w:rFonts w:hint="eastAsia" w:ascii="仿宋_GB2312" w:hAnsi="仿宋" w:eastAsia="仿宋_GB2312"/>
          <w:kern w:val="0"/>
          <w:sz w:val="32"/>
        </w:rPr>
        <w:t>和公共服务，使服务环境优化，产业结构升级。</w:t>
      </w:r>
    </w:p>
    <w:p>
      <w:pPr>
        <w:spacing w:line="600" w:lineRule="exact"/>
        <w:ind w:firstLine="643" w:firstLineChars="200"/>
        <w:rPr>
          <w:rFonts w:ascii="宋体" w:hAnsi="宋体"/>
          <w:b/>
          <w:sz w:val="32"/>
          <w:szCs w:val="32"/>
        </w:rPr>
      </w:pPr>
      <w:r>
        <w:rPr>
          <w:rFonts w:hint="eastAsia" w:ascii="宋体" w:hAnsi="宋体"/>
          <w:b/>
          <w:sz w:val="32"/>
          <w:szCs w:val="32"/>
        </w:rPr>
        <w:t>五、项目存在的问题和改进措施</w:t>
      </w:r>
    </w:p>
    <w:p>
      <w:pPr>
        <w:spacing w:line="600" w:lineRule="exact"/>
        <w:ind w:firstLine="640" w:firstLineChars="200"/>
        <w:rPr>
          <w:rFonts w:ascii="宋体" w:hAnsi="宋体"/>
          <w:sz w:val="32"/>
          <w:szCs w:val="32"/>
        </w:rPr>
      </w:pPr>
      <w:r>
        <w:rPr>
          <w:rFonts w:ascii="宋体" w:hAnsi="宋体"/>
          <w:sz w:val="32"/>
          <w:szCs w:val="32"/>
        </w:rPr>
        <w:t>（一）</w:t>
      </w:r>
      <w:r>
        <w:rPr>
          <w:rFonts w:ascii="宋体" w:hAnsi="宋体"/>
          <w:b/>
          <w:sz w:val="32"/>
          <w:szCs w:val="32"/>
        </w:rPr>
        <w:t>项目存在的问题</w:t>
      </w:r>
    </w:p>
    <w:p>
      <w:pPr>
        <w:spacing w:line="600" w:lineRule="exact"/>
        <w:ind w:firstLine="640" w:firstLineChars="200"/>
        <w:rPr>
          <w:rFonts w:hint="eastAsia" w:ascii="仿宋_GB2312" w:hAnsi="仿宋" w:eastAsia="仿宋_GB2312"/>
          <w:kern w:val="0"/>
          <w:sz w:val="32"/>
        </w:rPr>
      </w:pPr>
      <w:r>
        <w:rPr>
          <w:rFonts w:hint="eastAsia" w:ascii="仿宋_GB2312" w:hAnsi="仿宋" w:eastAsia="仿宋_GB2312"/>
          <w:kern w:val="0"/>
          <w:sz w:val="32"/>
          <w:lang w:val="en-US" w:eastAsia="zh-CN"/>
        </w:rPr>
        <w:t>1.</w:t>
      </w:r>
      <w:r>
        <w:rPr>
          <w:rFonts w:hint="eastAsia" w:ascii="仿宋_GB2312" w:hAnsi="仿宋" w:eastAsia="仿宋_GB2312"/>
          <w:kern w:val="0"/>
          <w:sz w:val="32"/>
        </w:rPr>
        <w:t>由于淘汰黄标车补贴项目涉及单位较多，在材料传递过程中有时存在不及时现象，有部分群众反映淘汰黄标车补贴发放进度较慢。</w:t>
      </w:r>
    </w:p>
    <w:p>
      <w:pPr>
        <w:spacing w:line="600" w:lineRule="exact"/>
        <w:ind w:firstLine="640" w:firstLineChars="200"/>
        <w:rPr>
          <w:rFonts w:hint="eastAsia" w:ascii="仿宋_GB2312" w:hAnsi="仿宋" w:eastAsia="仿宋_GB2312"/>
          <w:kern w:val="0"/>
          <w:sz w:val="32"/>
          <w:lang w:val="en-US" w:eastAsia="zh-CN"/>
        </w:rPr>
      </w:pPr>
      <w:r>
        <w:rPr>
          <w:rFonts w:hint="eastAsia" w:ascii="仿宋_GB2312" w:hAnsi="仿宋" w:eastAsia="仿宋_GB2312"/>
          <w:kern w:val="0"/>
          <w:sz w:val="32"/>
          <w:lang w:val="en-US" w:eastAsia="zh-CN"/>
        </w:rPr>
        <w:t>2.提前报废黄标车数量较多，资金补助量大，需加强资金使用监管。</w:t>
      </w:r>
    </w:p>
    <w:p>
      <w:pPr>
        <w:spacing w:line="600" w:lineRule="exact"/>
        <w:ind w:firstLine="640" w:firstLineChars="200"/>
        <w:rPr>
          <w:rFonts w:hint="eastAsia" w:ascii="仿宋_GB2312" w:hAnsi="仿宋" w:eastAsia="仿宋_GB2312"/>
          <w:kern w:val="0"/>
          <w:sz w:val="32"/>
          <w:lang w:val="en-US" w:eastAsia="zh-CN"/>
        </w:rPr>
      </w:pPr>
      <w:r>
        <w:rPr>
          <w:rFonts w:hint="eastAsia" w:ascii="仿宋_GB2312" w:hAnsi="仿宋" w:eastAsia="仿宋_GB2312"/>
          <w:kern w:val="0"/>
          <w:sz w:val="32"/>
          <w:lang w:val="en-US" w:eastAsia="zh-CN"/>
        </w:rPr>
        <w:t>3.目前黄标车补助已大部分完成，剩余黄标车申请补助量小，资金量剩余较大，补助速度较慢。</w:t>
      </w:r>
    </w:p>
    <w:p>
      <w:pPr>
        <w:numPr>
          <w:ilvl w:val="0"/>
          <w:numId w:val="3"/>
        </w:numPr>
        <w:spacing w:line="600" w:lineRule="exact"/>
        <w:ind w:firstLine="643" w:firstLineChars="200"/>
        <w:rPr>
          <w:rFonts w:ascii="宋体" w:hAnsi="宋体"/>
          <w:sz w:val="32"/>
          <w:szCs w:val="32"/>
        </w:rPr>
      </w:pPr>
      <w:r>
        <w:rPr>
          <w:rFonts w:ascii="宋体" w:hAnsi="宋体"/>
          <w:b/>
          <w:sz w:val="32"/>
          <w:szCs w:val="32"/>
        </w:rPr>
        <w:t>项目改进措施</w:t>
      </w:r>
    </w:p>
    <w:p>
      <w:pPr>
        <w:numPr>
          <w:ilvl w:val="0"/>
          <w:numId w:val="4"/>
        </w:numPr>
        <w:spacing w:line="610" w:lineRule="exact"/>
        <w:ind w:firstLine="640" w:firstLineChars="200"/>
        <w:rPr>
          <w:rFonts w:hint="eastAsia" w:ascii="仿宋_GB2312" w:eastAsia="仿宋_GB2312"/>
          <w:sz w:val="32"/>
        </w:rPr>
      </w:pPr>
      <w:r>
        <w:rPr>
          <w:rFonts w:hint="eastAsia" w:ascii="仿宋_GB2312" w:eastAsia="仿宋_GB2312"/>
          <w:sz w:val="32"/>
        </w:rPr>
        <w:t>县环保局、财政局、商务局、交警大队应加强沟通协调，及时研究、推进、总结工作进展，建立横向、纵向信息交换、材料复核工作机制，确保补贴资金安全、及时发放，确保补贴工作顺利进行。</w:t>
      </w:r>
    </w:p>
    <w:p>
      <w:pPr>
        <w:numPr>
          <w:ilvl w:val="0"/>
          <w:numId w:val="5"/>
        </w:numPr>
        <w:spacing w:line="610" w:lineRule="exact"/>
        <w:ind w:firstLine="640" w:firstLineChars="200"/>
        <w:rPr>
          <w:rFonts w:hint="eastAsia" w:ascii="仿宋_GB2312" w:eastAsia="仿宋_GB2312"/>
          <w:sz w:val="32"/>
          <w:szCs w:val="32"/>
        </w:rPr>
      </w:pPr>
      <w:r>
        <w:rPr>
          <w:rFonts w:hint="eastAsia" w:ascii="仿宋_GB2312" w:eastAsia="仿宋_GB2312"/>
          <w:sz w:val="32"/>
          <w:szCs w:val="32"/>
        </w:rPr>
        <w:t>审计部门在职责范围内，对2016年、2017年黄标车报废补贴资金进行审计监督。</w:t>
      </w:r>
    </w:p>
    <w:p>
      <w:pPr>
        <w:numPr>
          <w:ilvl w:val="0"/>
          <w:numId w:val="5"/>
        </w:numPr>
        <w:spacing w:line="61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加大政策宣传力度，保证黄标车能完全淘汰，补助资金下发到位。</w:t>
      </w:r>
      <w:bookmarkStart w:id="0" w:name="_GoBack"/>
      <w:bookmarkEnd w:id="0"/>
    </w:p>
    <w:p>
      <w:pPr>
        <w:spacing w:line="600" w:lineRule="exact"/>
        <w:ind w:firstLine="640" w:firstLineChars="200"/>
        <w:rPr>
          <w:rFonts w:ascii="宋体" w:hAnsi="宋体"/>
          <w:sz w:val="32"/>
          <w:szCs w:val="32"/>
        </w:rPr>
      </w:pPr>
    </w:p>
    <w:sectPr>
      <w:footerReference r:id="rId4" w:type="default"/>
      <w:pgSz w:w="11906" w:h="16838"/>
      <w:pgMar w:top="2098" w:right="1588" w:bottom="1701" w:left="1588" w:header="1134" w:footer="1134"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Calibri">
    <w:panose1 w:val="020F0502020204030204"/>
    <w:charset w:val="00"/>
    <w:family w:val="auto"/>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00004FF"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jc w:val="center"/>
    </w:pPr>
    <w:r>
      <w:fldChar w:fldCharType="begin"/>
    </w:r>
    <w:r>
      <w:instrText xml:space="preserve"> PAGE   \* MERGEFORMAT </w:instrText>
    </w:r>
    <w:r>
      <w:fldChar w:fldCharType="separate"/>
    </w:r>
    <w:r>
      <w:t>1</w:t>
    </w:r>
    <w:r>
      <w:rPr>
        <w:lang w:val="zh-CN"/>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24820303">
    <w:nsid w:val="5AE2E94F"/>
    <w:multiLevelType w:val="singleLevel"/>
    <w:tmpl w:val="5AE2E94F"/>
    <w:lvl w:ilvl="0" w:tentative="1">
      <w:start w:val="2"/>
      <w:numFmt w:val="chineseCounting"/>
      <w:suff w:val="nothing"/>
      <w:lvlText w:val="（%1）"/>
      <w:lvlJc w:val="left"/>
    </w:lvl>
  </w:abstractNum>
  <w:abstractNum w:abstractNumId="1523956285">
    <w:nsid w:val="5AD5BA3D"/>
    <w:multiLevelType w:val="singleLevel"/>
    <w:tmpl w:val="5AD5BA3D"/>
    <w:lvl w:ilvl="0" w:tentative="1">
      <w:start w:val="2"/>
      <w:numFmt w:val="chineseCounting"/>
      <w:suff w:val="nothing"/>
      <w:lvlText w:val="（%1）"/>
      <w:lvlJc w:val="left"/>
    </w:lvl>
  </w:abstractNum>
  <w:abstractNum w:abstractNumId="1523928772">
    <w:nsid w:val="5AD54EC4"/>
    <w:multiLevelType w:val="singleLevel"/>
    <w:tmpl w:val="5AD54EC4"/>
    <w:lvl w:ilvl="0" w:tentative="1">
      <w:start w:val="2"/>
      <w:numFmt w:val="chineseCounting"/>
      <w:suff w:val="nothing"/>
      <w:lvlText w:val="（%1）"/>
      <w:lvlJc w:val="left"/>
    </w:lvl>
  </w:abstractNum>
  <w:abstractNum w:abstractNumId="1536021933">
    <w:nsid w:val="5B8DD5AD"/>
    <w:multiLevelType w:val="singleLevel"/>
    <w:tmpl w:val="5B8DD5AD"/>
    <w:lvl w:ilvl="0" w:tentative="1">
      <w:start w:val="1"/>
      <w:numFmt w:val="decimal"/>
      <w:suff w:val="nothing"/>
      <w:lvlText w:val="%1."/>
      <w:lvlJc w:val="left"/>
    </w:lvl>
  </w:abstractNum>
  <w:abstractNum w:abstractNumId="1536204797">
    <w:nsid w:val="5B909FFD"/>
    <w:multiLevelType w:val="singleLevel"/>
    <w:tmpl w:val="5B909FFD"/>
    <w:lvl w:ilvl="0" w:tentative="1">
      <w:start w:val="2"/>
      <w:numFmt w:val="decimal"/>
      <w:suff w:val="nothing"/>
      <w:lvlText w:val="%1."/>
      <w:lvlJc w:val="left"/>
    </w:lvl>
  </w:abstractNum>
  <w:num w:numId="1">
    <w:abstractNumId w:val="1523928772"/>
  </w:num>
  <w:num w:numId="2">
    <w:abstractNumId w:val="1524820303"/>
  </w:num>
  <w:num w:numId="3">
    <w:abstractNumId w:val="1523956285"/>
  </w:num>
  <w:num w:numId="4">
    <w:abstractNumId w:val="1536021933"/>
  </w:num>
  <w:num w:numId="5">
    <w:abstractNumId w:val="15362047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paragraph" w:styleId="2">
    <w:name w:val="footer"/>
    <w:basedOn w:val="1"/>
    <w:link w:val="11"/>
    <w:uiPriority w:val="99"/>
    <w:pPr>
      <w:tabs>
        <w:tab w:val="center" w:pos="4153"/>
        <w:tab w:val="right" w:pos="8306"/>
      </w:tabs>
      <w:snapToGrid w:val="0"/>
      <w:jc w:val="left"/>
    </w:pPr>
    <w:rPr>
      <w:sz w:val="18"/>
      <w:szCs w:val="18"/>
    </w:rPr>
  </w:style>
  <w:style w:type="paragraph" w:styleId="3">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0"/>
    <w:pPr>
      <w:widowControl/>
      <w:spacing w:before="100" w:beforeAutospacing="1" w:after="100" w:afterAutospacing="1"/>
      <w:jc w:val="left"/>
    </w:pPr>
    <w:rPr>
      <w:rFonts w:ascii="宋体" w:hAnsi="宋体" w:cs="宋体"/>
      <w:kern w:val="0"/>
      <w:sz w:val="24"/>
    </w:rPr>
  </w:style>
  <w:style w:type="character" w:styleId="6">
    <w:name w:val="page number"/>
    <w:basedOn w:val="5"/>
    <w:semiHidden/>
    <w:unhideWhenUsed/>
    <w:uiPriority w:val="0"/>
    <w:rPr/>
  </w:style>
  <w:style w:type="paragraph" w:customStyle="1" w:styleId="7">
    <w:name w:val="列出段落1"/>
    <w:basedOn w:val="1"/>
    <w:unhideWhenUsed/>
    <w:uiPriority w:val="99"/>
    <w:pPr>
      <w:ind w:firstLine="420" w:firstLineChars="200"/>
    </w:pPr>
  </w:style>
  <w:style w:type="paragraph" w:customStyle="1" w:styleId="8">
    <w:name w:val="p0"/>
    <w:basedOn w:val="1"/>
    <w:uiPriority w:val="0"/>
    <w:pPr>
      <w:widowControl/>
    </w:pPr>
    <w:rPr>
      <w:rFonts w:cs="宋体"/>
      <w:kern w:val="0"/>
      <w:szCs w:val="21"/>
    </w:rPr>
  </w:style>
  <w:style w:type="paragraph" w:customStyle="1" w:styleId="9">
    <w:name w:val="列出段落2"/>
    <w:basedOn w:val="1"/>
    <w:unhideWhenUsed/>
    <w:uiPriority w:val="99"/>
    <w:pPr>
      <w:ind w:firstLine="420" w:firstLineChars="200"/>
    </w:pPr>
    <w:rPr>
      <w:rFonts w:hint="eastAsia"/>
    </w:rPr>
  </w:style>
  <w:style w:type="character" w:customStyle="1" w:styleId="10">
    <w:name w:val="页眉 Char Char"/>
    <w:basedOn w:val="5"/>
    <w:link w:val="3"/>
    <w:uiPriority w:val="0"/>
    <w:rPr>
      <w:kern w:val="2"/>
      <w:sz w:val="18"/>
      <w:szCs w:val="18"/>
    </w:rPr>
  </w:style>
  <w:style w:type="character" w:customStyle="1" w:styleId="11">
    <w:name w:val="页脚 Char Char"/>
    <w:basedOn w:val="5"/>
    <w:link w:val="2"/>
    <w:uiPriority w:val="99"/>
    <w:rPr>
      <w:kern w:val="2"/>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639</Words>
  <Characters>3646</Characters>
  <Lines>30</Lines>
  <Paragraphs>8</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2018-03-09T00:38:00Z</dcterms:created>
  <dc:creator>Administrator</dc:creator>
  <cp:lastModifiedBy>Administrator</cp:lastModifiedBy>
  <cp:lastPrinted>2018-09-04T00:53:00Z</cp:lastPrinted>
  <dcterms:modified xsi:type="dcterms:W3CDTF">2018-09-06T03:32:33Z</dcterms:modified>
  <dc:title>（正式公文号）</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