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C1D8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14"/>
        </w:tabs>
        <w:spacing w:before="0" w:beforeAutospacing="0" w:after="0" w:afterAutospacing="0"/>
        <w:ind w:right="0"/>
        <w:jc w:val="left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附件：</w:t>
      </w:r>
    </w:p>
    <w:tbl>
      <w:tblPr>
        <w:tblStyle w:val="8"/>
        <w:tblW w:w="5000" w:type="pct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2749"/>
        <w:gridCol w:w="6344"/>
        <w:gridCol w:w="1770"/>
        <w:gridCol w:w="3107"/>
      </w:tblGrid>
      <w:tr w14:paraId="79BDC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5000" w:type="pct"/>
            <w:gridSpan w:val="5"/>
            <w:noWrap w:val="0"/>
            <w:vAlign w:val="center"/>
          </w:tcPr>
          <w:p w14:paraId="75ECED6B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150" w:right="1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eastAsia="方正小标宋简体" w:cs="黑体"/>
                <w:kern w:val="0"/>
                <w:sz w:val="32"/>
                <w:szCs w:val="32"/>
                <w:lang w:val="en-US" w:eastAsia="zh-CN"/>
              </w:rPr>
              <w:t>上杭县司法局2026年“谁执法谁普法”普法责任清单</w:t>
            </w:r>
          </w:p>
        </w:tc>
      </w:tr>
      <w:tr w14:paraId="6AC8F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3B6B95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35" w:type="pct"/>
            <w:noWrap w:val="0"/>
            <w:vAlign w:val="center"/>
          </w:tcPr>
          <w:p w14:paraId="4B2C55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普及的法律法规</w:t>
            </w:r>
          </w:p>
        </w:tc>
        <w:tc>
          <w:tcPr>
            <w:tcW w:w="2158" w:type="pct"/>
            <w:noWrap w:val="0"/>
            <w:vAlign w:val="center"/>
          </w:tcPr>
          <w:p w14:paraId="5CE073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具体措施</w:t>
            </w:r>
          </w:p>
        </w:tc>
        <w:tc>
          <w:tcPr>
            <w:tcW w:w="602" w:type="pct"/>
            <w:noWrap w:val="0"/>
            <w:vAlign w:val="center"/>
          </w:tcPr>
          <w:p w14:paraId="4D8717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普法对象</w:t>
            </w:r>
          </w:p>
        </w:tc>
        <w:tc>
          <w:tcPr>
            <w:tcW w:w="1055" w:type="pct"/>
            <w:noWrap w:val="0"/>
            <w:vAlign w:val="center"/>
          </w:tcPr>
          <w:p w14:paraId="4DF886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责任股室</w:t>
            </w:r>
          </w:p>
        </w:tc>
      </w:tr>
      <w:tr w14:paraId="4CBA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40553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5" w:type="pct"/>
            <w:noWrap w:val="0"/>
            <w:vAlign w:val="center"/>
          </w:tcPr>
          <w:p w14:paraId="7C345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习近平法治思想，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宪法、民法典、福建省法治宣传教育条例等法律法规规章及相关司法解释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0A672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发放宣传资料、开展法治讲座、进村入户面对面宣传、设置宣传摊点、播放海报标语视频、法律知识竞赛、互联网等</w:t>
            </w:r>
          </w:p>
        </w:tc>
        <w:tc>
          <w:tcPr>
            <w:tcW w:w="602" w:type="pct"/>
            <w:noWrap w:val="0"/>
            <w:vAlign w:val="center"/>
          </w:tcPr>
          <w:p w14:paraId="5E32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</w:t>
            </w:r>
          </w:p>
        </w:tc>
        <w:tc>
          <w:tcPr>
            <w:tcW w:w="1055" w:type="pct"/>
            <w:noWrap w:val="0"/>
            <w:vAlign w:val="center"/>
          </w:tcPr>
          <w:p w14:paraId="096AA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普法依法治理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股、各司法所</w:t>
            </w:r>
          </w:p>
        </w:tc>
      </w:tr>
      <w:tr w14:paraId="555E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48" w:type="pct"/>
            <w:noWrap w:val="0"/>
            <w:vAlign w:val="center"/>
          </w:tcPr>
          <w:p w14:paraId="2F203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5" w:type="pct"/>
            <w:noWrap w:val="0"/>
            <w:vAlign w:val="center"/>
          </w:tcPr>
          <w:p w14:paraId="747E8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行政复议法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、行政诉讼法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等法律法规规章及相关司法解释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191E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发放宣传资料、开展法治讲座、进村入户面对面宣传、设置宣传摊点、播放海报标语视频、以案释法、互联网等</w:t>
            </w:r>
          </w:p>
        </w:tc>
        <w:tc>
          <w:tcPr>
            <w:tcW w:w="602" w:type="pct"/>
            <w:noWrap w:val="0"/>
            <w:vAlign w:val="center"/>
          </w:tcPr>
          <w:p w14:paraId="44142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</w:t>
            </w:r>
          </w:p>
        </w:tc>
        <w:tc>
          <w:tcPr>
            <w:tcW w:w="1055" w:type="pct"/>
            <w:noWrap w:val="0"/>
            <w:vAlign w:val="center"/>
          </w:tcPr>
          <w:p w14:paraId="58C53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行政复议与应诉股、各司法所</w:t>
            </w:r>
          </w:p>
        </w:tc>
      </w:tr>
      <w:tr w14:paraId="3272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620D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35" w:type="pct"/>
            <w:noWrap w:val="0"/>
            <w:vAlign w:val="center"/>
          </w:tcPr>
          <w:p w14:paraId="1A53D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重大行政决策程序暂行条例、行政执法监督条例、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福建省行政执法条例等法律法规规章及相关司法解释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52B6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发放宣传资料、开展法治讲座、进村入户面对面宣传、设置宣传摊点、播放海报标语视频、以案释法、互联网等</w:t>
            </w:r>
          </w:p>
        </w:tc>
        <w:tc>
          <w:tcPr>
            <w:tcW w:w="602" w:type="pct"/>
            <w:noWrap w:val="0"/>
            <w:vAlign w:val="center"/>
          </w:tcPr>
          <w:p w14:paraId="6BEA7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</w:t>
            </w:r>
          </w:p>
        </w:tc>
        <w:tc>
          <w:tcPr>
            <w:tcW w:w="1055" w:type="pct"/>
            <w:noWrap w:val="0"/>
            <w:vAlign w:val="center"/>
          </w:tcPr>
          <w:p w14:paraId="09D32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行政执法监督与文件审查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股、各司法所</w:t>
            </w:r>
          </w:p>
        </w:tc>
      </w:tr>
      <w:tr w14:paraId="558A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6C005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35" w:type="pct"/>
            <w:noWrap w:val="0"/>
            <w:vAlign w:val="center"/>
          </w:tcPr>
          <w:p w14:paraId="5C253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人民调解法等法律法规规章及相关司法解释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7C2C6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以案释法、互联网等</w:t>
            </w:r>
          </w:p>
        </w:tc>
        <w:tc>
          <w:tcPr>
            <w:tcW w:w="602" w:type="pct"/>
            <w:noWrap w:val="0"/>
            <w:vAlign w:val="center"/>
          </w:tcPr>
          <w:p w14:paraId="50C0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</w:t>
            </w:r>
          </w:p>
        </w:tc>
        <w:tc>
          <w:tcPr>
            <w:tcW w:w="1055" w:type="pct"/>
            <w:noWrap w:val="0"/>
            <w:vAlign w:val="center"/>
          </w:tcPr>
          <w:p w14:paraId="76BFF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人民参与和促进法治股、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人民调解中心、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各司法所</w:t>
            </w:r>
          </w:p>
        </w:tc>
      </w:tr>
      <w:tr w14:paraId="09D6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08F59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35" w:type="pct"/>
            <w:noWrap w:val="0"/>
            <w:vAlign w:val="center"/>
          </w:tcPr>
          <w:p w14:paraId="5E98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社区矫正法及有关法律法规规章及相关司法解释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7EEC8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发放宣传资料、开展法治讲座、进村入户面对面宣传、设置宣传摊点、播放海报标语视频、以案释法、互联网等</w:t>
            </w:r>
          </w:p>
        </w:tc>
        <w:tc>
          <w:tcPr>
            <w:tcW w:w="602" w:type="pct"/>
            <w:noWrap w:val="0"/>
            <w:vAlign w:val="center"/>
          </w:tcPr>
          <w:p w14:paraId="754C2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社会公众及机关单位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干部职工、社区矫正工作参与单位、社区矫正对象</w:t>
            </w:r>
          </w:p>
        </w:tc>
        <w:tc>
          <w:tcPr>
            <w:tcW w:w="1055" w:type="pct"/>
            <w:noWrap w:val="0"/>
            <w:vAlign w:val="center"/>
          </w:tcPr>
          <w:p w14:paraId="1E69E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社区矫正管理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股、各司法所</w:t>
            </w:r>
          </w:p>
        </w:tc>
      </w:tr>
      <w:tr w14:paraId="1A26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  <w:tblCellSpacing w:w="0" w:type="dxa"/>
        </w:trPr>
        <w:tc>
          <w:tcPr>
            <w:tcW w:w="248" w:type="pct"/>
            <w:noWrap w:val="0"/>
            <w:vAlign w:val="center"/>
          </w:tcPr>
          <w:p w14:paraId="50596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35" w:type="pct"/>
            <w:noWrap w:val="0"/>
            <w:vAlign w:val="center"/>
          </w:tcPr>
          <w:p w14:paraId="059F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律师法、公证法、法律援助法等法律法规规章及相关司法解释</w:t>
            </w:r>
          </w:p>
        </w:tc>
        <w:tc>
          <w:tcPr>
            <w:tcW w:w="2158" w:type="pct"/>
            <w:noWrap w:val="0"/>
            <w:vAlign w:val="center"/>
          </w:tcPr>
          <w:p w14:paraId="20CC1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发放宣传资料、开展法治讲座、进村入户面对面宣传、设置宣传摊点、播放海报标语视频、法律咨询、互联网等</w:t>
            </w:r>
          </w:p>
        </w:tc>
        <w:tc>
          <w:tcPr>
            <w:tcW w:w="602" w:type="pct"/>
            <w:noWrap w:val="0"/>
            <w:vAlign w:val="center"/>
          </w:tcPr>
          <w:p w14:paraId="69EC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社会公众及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干部职工、法律服务机构</w:t>
            </w:r>
          </w:p>
        </w:tc>
        <w:tc>
          <w:tcPr>
            <w:tcW w:w="1055" w:type="pct"/>
            <w:noWrap w:val="0"/>
            <w:vAlign w:val="center"/>
          </w:tcPr>
          <w:p w14:paraId="655A5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公共法律服务管理股、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行政审批股、法律援助中心、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各司法所</w:t>
            </w:r>
          </w:p>
        </w:tc>
      </w:tr>
    </w:tbl>
    <w:p w14:paraId="3B8A9366">
      <w:pPr>
        <w:rPr>
          <w:rFonts w:hint="default" w:ascii="宋体" w:hAnsi="宋体" w:eastAsia="宋体" w:cs="宋体"/>
          <w:kern w:val="0"/>
          <w:sz w:val="30"/>
          <w:szCs w:val="30"/>
          <w:lang w:val="en-US" w:eastAsia="zh-CN" w:bidi="ar"/>
        </w:rPr>
      </w:pPr>
    </w:p>
    <w:p w14:paraId="332E6718">
      <w:pPr>
        <w:pStyle w:val="10"/>
        <w:spacing w:after="0" w:line="240" w:lineRule="auto"/>
        <w:ind w:left="0" w:leftChars="0" w:right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40" w:right="1080" w:bottom="1440" w:left="1080" w:header="1417" w:footer="130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B333D">
    <w:pPr>
      <w:pStyle w:val="3"/>
      <w:spacing w:line="174" w:lineRule="auto"/>
      <w:ind w:left="370"/>
      <w:jc w:val="lef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-66675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9F7718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Iyc2H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9F7718">
                    <w:pPr>
                      <w:pStyle w:val="5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NzJhNjJkNTNlODJkZGU4ZWQ3YzBkOTRiOThkZDQifQ=="/>
  </w:docVars>
  <w:rsids>
    <w:rsidRoot w:val="34E63F9A"/>
    <w:rsid w:val="01F5073A"/>
    <w:rsid w:val="02C82DE9"/>
    <w:rsid w:val="0426437B"/>
    <w:rsid w:val="07640BF5"/>
    <w:rsid w:val="0906490A"/>
    <w:rsid w:val="144B4C3A"/>
    <w:rsid w:val="190D748C"/>
    <w:rsid w:val="1A360F58"/>
    <w:rsid w:val="1ABE6E8A"/>
    <w:rsid w:val="1BF0156B"/>
    <w:rsid w:val="1E833E94"/>
    <w:rsid w:val="28820420"/>
    <w:rsid w:val="2FAF9718"/>
    <w:rsid w:val="34E63F9A"/>
    <w:rsid w:val="376F3919"/>
    <w:rsid w:val="3FEF9D8E"/>
    <w:rsid w:val="3FFB1D25"/>
    <w:rsid w:val="4119738C"/>
    <w:rsid w:val="41365E58"/>
    <w:rsid w:val="48276F54"/>
    <w:rsid w:val="4CEC2E74"/>
    <w:rsid w:val="543F5169"/>
    <w:rsid w:val="5C1C1173"/>
    <w:rsid w:val="5C3FFF88"/>
    <w:rsid w:val="5F7D36BC"/>
    <w:rsid w:val="5FDF6DC7"/>
    <w:rsid w:val="612F061E"/>
    <w:rsid w:val="7472450A"/>
    <w:rsid w:val="785B7F30"/>
    <w:rsid w:val="7AF04C09"/>
    <w:rsid w:val="7DA7DA55"/>
    <w:rsid w:val="7E4101F1"/>
    <w:rsid w:val="7FFC1DD9"/>
    <w:rsid w:val="AFF40679"/>
    <w:rsid w:val="C37CFD52"/>
    <w:rsid w:val="CFFF9F32"/>
    <w:rsid w:val="DE7E7EBC"/>
    <w:rsid w:val="DFFAAB7C"/>
    <w:rsid w:val="E4FD5030"/>
    <w:rsid w:val="EFF71E64"/>
    <w:rsid w:val="F7D59E57"/>
    <w:rsid w:val="F9DE9358"/>
    <w:rsid w:val="FDE72363"/>
    <w:rsid w:val="FDFBEDBD"/>
    <w:rsid w:val="FF7EBB84"/>
    <w:rsid w:val="FFE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3"/>
    <w:basedOn w:val="1"/>
    <w:next w:val="1"/>
    <w:unhideWhenUsed/>
    <w:qFormat/>
    <w:uiPriority w:val="39"/>
    <w:pPr>
      <w:ind w:left="420"/>
    </w:pPr>
    <w:rPr>
      <w:rFonts w:ascii="等线" w:hAnsi="等线" w:eastAsia="等线"/>
      <w:b/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Body Text First Indent 21"/>
    <w:basedOn w:val="11"/>
    <w:qFormat/>
    <w:uiPriority w:val="0"/>
    <w:pPr>
      <w:spacing w:line="340" w:lineRule="exact"/>
      <w:ind w:right="-139" w:hangingChars="26" w:firstLine="420"/>
    </w:pPr>
    <w:rPr>
      <w:rFonts w:ascii="华文中宋" w:hAnsi="华文中宋" w:eastAsia="华文中宋"/>
      <w:sz w:val="24"/>
      <w:szCs w:val="20"/>
    </w:rPr>
  </w:style>
  <w:style w:type="paragraph" w:customStyle="1" w:styleId="11">
    <w:name w:val="Body Text Indent1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954</Words>
  <Characters>970</Characters>
  <Lines>0</Lines>
  <Paragraphs>0</Paragraphs>
  <TotalTime>12</TotalTime>
  <ScaleCrop>false</ScaleCrop>
  <LinksUpToDate>false</LinksUpToDate>
  <CharactersWithSpaces>1005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2024-05-11T10:32:00Z</dcterms:created>
  <dc:creator>一朵五花肉</dc:creator>
  <cp:lastModifiedBy>狗不理</cp:lastModifiedBy>
  <cp:lastPrinted>2026-04-07T23:18:00Z</cp:lastPrinted>
  <dcterms:modified xsi:type="dcterms:W3CDTF">2026-04-08T01:51:19Z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B9A1CDFDAA424189A7142A3888FED0F6_13</vt:lpwstr>
  </property>
  <property fmtid="{D5CDD505-2E9C-101B-9397-08002B2CF9AE}" pid="4" name="KSOTemplateDocerSaveRecord">
    <vt:lpwstr>eyJoZGlkIjoiZTdiNzJhNjJkNTNlODJkZGU4ZWQ3YzBkOTRiOThkZDQiLCJ1c2VySWQiOiIzODczNjU5MzgifQ==</vt:lpwstr>
  </property>
</Properties>
</file>