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</w:rPr>
        <w:t>上杭县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民族与宗教事务局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依申请公开政府信息工作流程图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r>
        <w:rPr>
          <w:rFonts w:hint="eastAsia"/>
        </w:rPr>
        <w:drawing>
          <wp:inline distT="0" distB="0" distL="0" distR="0">
            <wp:extent cx="5248275" cy="6124575"/>
            <wp:effectExtent l="19050" t="0" r="9525" b="0"/>
            <wp:docPr id="2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图片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2EFD"/>
    <w:rsid w:val="000D7F5F"/>
    <w:rsid w:val="00A62EFD"/>
    <w:rsid w:val="3A0F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23</Characters>
  <Lines>1</Lines>
  <Paragraphs>1</Paragraphs>
  <TotalTime>2</TotalTime>
  <ScaleCrop>false</ScaleCrop>
  <LinksUpToDate>false</LinksUpToDate>
  <CharactersWithSpaces>25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2021-11-10T08:29:00Z</dcterms:created>
  <dc:creator>Administrator</dc:creator>
  <cp:lastModifiedBy>陈美琴</cp:lastModifiedBy>
  <dcterms:modified xsi:type="dcterms:W3CDTF">2021-11-12T07:59:43Z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310625733649463B846D5BBA7ACCF111</vt:lpwstr>
  </property>
</Properties>
</file>