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61E28D">
      <w:pPr>
        <w:spacing w:line="540" w:lineRule="exact"/>
        <w:jc w:val="center"/>
        <w:rPr>
          <w:rFonts w:hint="eastAsia" w:ascii="黑体" w:hAnsi="方正小标宋_GBK" w:eastAsia="黑体" w:cs="方正小标宋_GBK"/>
          <w:sz w:val="44"/>
          <w:szCs w:val="44"/>
        </w:rPr>
      </w:pPr>
    </w:p>
    <w:p w14:paraId="55FFF61C">
      <w:pPr>
        <w:spacing w:line="540" w:lineRule="exact"/>
        <w:jc w:val="center"/>
        <w:rPr>
          <w:rFonts w:hint="eastAsia" w:ascii="黑体" w:hAnsi="方正小标宋_GBK" w:eastAsia="黑体" w:cs="方正小标宋_GBK"/>
          <w:sz w:val="44"/>
          <w:szCs w:val="44"/>
        </w:rPr>
      </w:pPr>
    </w:p>
    <w:p w14:paraId="25E56634">
      <w:pPr>
        <w:spacing w:line="540" w:lineRule="exact"/>
        <w:jc w:val="center"/>
        <w:rPr>
          <w:rFonts w:hint="eastAsia" w:ascii="黑体" w:hAnsi="方正小标宋_GBK" w:eastAsia="黑体" w:cs="方正小标宋_GBK"/>
          <w:sz w:val="44"/>
          <w:szCs w:val="44"/>
        </w:rPr>
      </w:pPr>
    </w:p>
    <w:p w14:paraId="5AF86091">
      <w:pPr>
        <w:spacing w:line="540" w:lineRule="exact"/>
        <w:jc w:val="center"/>
        <w:rPr>
          <w:rFonts w:hint="eastAsia" w:ascii="黑体" w:hAnsi="方正小标宋_GBK" w:eastAsia="黑体" w:cs="方正小标宋_GBK"/>
          <w:sz w:val="44"/>
          <w:szCs w:val="44"/>
        </w:rPr>
      </w:pPr>
    </w:p>
    <w:p w14:paraId="001E826C">
      <w:pPr>
        <w:spacing w:line="540" w:lineRule="exact"/>
        <w:jc w:val="center"/>
        <w:rPr>
          <w:rFonts w:hint="eastAsia" w:ascii="仿宋_GB2312" w:hAnsi="方正小标宋_GBK" w:eastAsia="仿宋_GB2312" w:cs="方正小标宋_GBK"/>
          <w:sz w:val="32"/>
          <w:szCs w:val="32"/>
        </w:rPr>
      </w:pPr>
      <w:r>
        <w:rPr>
          <w:rFonts w:hint="eastAsia" w:ascii="仿宋_GB2312" w:hAnsi="方正小标宋_GBK" w:eastAsia="仿宋_GB2312" w:cs="方正小标宋_GBK"/>
          <w:sz w:val="32"/>
          <w:szCs w:val="32"/>
        </w:rPr>
        <w:t>杭工信科〔2022〕39号</w:t>
      </w:r>
    </w:p>
    <w:p w14:paraId="4498BC2A">
      <w:pPr>
        <w:spacing w:line="540" w:lineRule="exact"/>
        <w:jc w:val="center"/>
        <w:rPr>
          <w:rFonts w:hint="eastAsia" w:ascii="仿宋_GB2312" w:hAnsi="方正小标宋_GBK" w:eastAsia="仿宋_GB2312" w:cs="方正小标宋_GBK"/>
          <w:sz w:val="32"/>
          <w:szCs w:val="32"/>
        </w:rPr>
      </w:pPr>
    </w:p>
    <w:p w14:paraId="0FC96E59">
      <w:pPr>
        <w:spacing w:line="540" w:lineRule="exact"/>
        <w:jc w:val="center"/>
        <w:rPr>
          <w:rFonts w:hint="eastAsia" w:ascii="仿宋_GB2312" w:hAnsi="方正小标宋_GBK" w:eastAsia="仿宋_GB2312" w:cs="方正小标宋_GBK"/>
          <w:sz w:val="32"/>
          <w:szCs w:val="32"/>
        </w:rPr>
      </w:pPr>
    </w:p>
    <w:p w14:paraId="5D4C3A2E">
      <w:pPr>
        <w:spacing w:line="540" w:lineRule="exact"/>
        <w:jc w:val="center"/>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上杭县工业信息化和科学技术局</w:t>
      </w:r>
    </w:p>
    <w:p w14:paraId="1551DC2C">
      <w:pPr>
        <w:spacing w:line="540" w:lineRule="exact"/>
        <w:jc w:val="center"/>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关于印发鼓励推广高压工业用户配电室智能化改造及运维指导意见的通知</w:t>
      </w:r>
    </w:p>
    <w:p w14:paraId="4024B79D">
      <w:pPr>
        <w:spacing w:line="540" w:lineRule="exact"/>
        <w:rPr>
          <w:rFonts w:ascii="仿宋_GB2312" w:hAnsi="方正仿宋_GBK" w:eastAsia="仿宋_GB2312" w:cs="方正仿宋_GBK"/>
          <w:sz w:val="32"/>
          <w:szCs w:val="32"/>
        </w:rPr>
      </w:pPr>
    </w:p>
    <w:p w14:paraId="6F35CBCE">
      <w:pPr>
        <w:spacing w:line="540" w:lineRule="exact"/>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各高压工业用户、国网上杭县供电公司，各有关单位：</w:t>
      </w:r>
    </w:p>
    <w:p w14:paraId="42C757CF">
      <w:pPr>
        <w:spacing w:line="540" w:lineRule="exact"/>
        <w:ind w:firstLine="640" w:firstLineChars="20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为深入贯彻新《安全生产法》相关要求，提升城镇精细化管理水平，保障供用电安全，营造良好的供用电环境，全面推进高压工业用户配电室智能化改造及运维工作，特制定了《关于鼓励推广高压工业用户配电室进行智能化改造及运维的指导意见》，现印发给你们，请结合实际开展相关工作。</w:t>
      </w:r>
    </w:p>
    <w:p w14:paraId="7553F74A">
      <w:pPr>
        <w:spacing w:line="540" w:lineRule="exact"/>
        <w:ind w:firstLine="640" w:firstLineChars="200"/>
        <w:rPr>
          <w:rFonts w:hint="eastAsia" w:ascii="仿宋_GB2312" w:hAnsi="方正仿宋_GBK" w:eastAsia="仿宋_GB2312" w:cs="方正仿宋_GBK"/>
          <w:sz w:val="32"/>
          <w:szCs w:val="32"/>
        </w:rPr>
      </w:pPr>
    </w:p>
    <w:p w14:paraId="57E9F18D">
      <w:pPr>
        <w:spacing w:line="540" w:lineRule="exact"/>
        <w:ind w:left="1758" w:leftChars="304" w:hanging="1120" w:hangingChars="35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附件：《关于鼓励推广高压工业用户配电室进行智能化改造及运维的指导意见》</w:t>
      </w:r>
    </w:p>
    <w:p w14:paraId="2EB886C4">
      <w:pPr>
        <w:spacing w:line="540" w:lineRule="exact"/>
        <w:ind w:firstLine="640" w:firstLineChars="200"/>
        <w:rPr>
          <w:rFonts w:ascii="仿宋_GB2312" w:hAnsi="方正仿宋_GBK" w:eastAsia="仿宋_GB2312" w:cs="方正仿宋_GBK"/>
          <w:sz w:val="32"/>
          <w:szCs w:val="32"/>
        </w:rPr>
      </w:pPr>
    </w:p>
    <w:p w14:paraId="4AC5A41D">
      <w:pPr>
        <w:spacing w:line="540" w:lineRule="exact"/>
        <w:ind w:firstLine="640" w:firstLineChars="200"/>
        <w:rPr>
          <w:rFonts w:ascii="仿宋_GB2312" w:hAnsi="方正仿宋_GBK" w:eastAsia="仿宋_GB2312" w:cs="方正仿宋_GBK"/>
          <w:sz w:val="32"/>
          <w:szCs w:val="32"/>
        </w:rPr>
      </w:pPr>
    </w:p>
    <w:p w14:paraId="77D5659E">
      <w:pPr>
        <w:spacing w:line="540" w:lineRule="exact"/>
        <w:ind w:firstLine="640" w:firstLineChars="200"/>
        <w:jc w:val="right"/>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上杭县工业信息化和科学技术局</w:t>
      </w:r>
    </w:p>
    <w:p w14:paraId="146B5840">
      <w:pPr>
        <w:spacing w:line="540" w:lineRule="exact"/>
        <w:ind w:right="640" w:firstLine="5440" w:firstLineChars="170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2022年4月25日</w:t>
      </w:r>
    </w:p>
    <w:p w14:paraId="75B9E04C">
      <w:pPr>
        <w:spacing w:line="540" w:lineRule="exact"/>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br w:type="page"/>
      </w:r>
      <w:r>
        <w:rPr>
          <w:rFonts w:hint="eastAsia" w:ascii="仿宋_GB2312" w:hAnsi="方正仿宋_GBK" w:eastAsia="仿宋_GB2312" w:cs="方正仿宋_GBK"/>
          <w:sz w:val="32"/>
          <w:szCs w:val="32"/>
        </w:rPr>
        <w:t>附件</w:t>
      </w:r>
    </w:p>
    <w:p w14:paraId="5D21AD8D">
      <w:pPr>
        <w:spacing w:line="540" w:lineRule="exact"/>
        <w:jc w:val="center"/>
        <w:rPr>
          <w:rFonts w:hint="eastAsia" w:ascii="黑体" w:hAnsi="方正小标宋_GBK" w:eastAsia="黑体" w:cs="方正小标宋_GBK"/>
          <w:sz w:val="44"/>
          <w:szCs w:val="44"/>
        </w:rPr>
      </w:pPr>
    </w:p>
    <w:p w14:paraId="26CBEB51">
      <w:pPr>
        <w:spacing w:line="540" w:lineRule="exact"/>
        <w:jc w:val="center"/>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关于鼓励推广高压工业用户配电室进行</w:t>
      </w:r>
    </w:p>
    <w:p w14:paraId="1232BBE0">
      <w:pPr>
        <w:spacing w:line="540" w:lineRule="exact"/>
        <w:jc w:val="center"/>
        <w:rPr>
          <w:rFonts w:hint="eastAsia"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智能化改造及运维的指导意见</w:t>
      </w:r>
    </w:p>
    <w:p w14:paraId="2DEFEFD3">
      <w:pPr>
        <w:spacing w:line="540" w:lineRule="exact"/>
        <w:ind w:firstLine="640" w:firstLineChars="200"/>
        <w:rPr>
          <w:rFonts w:ascii="仿宋_GB2312" w:hAnsi="方正仿宋_GBK" w:eastAsia="仿宋_GB2312" w:cs="方正仿宋_GBK"/>
          <w:sz w:val="32"/>
          <w:szCs w:val="32"/>
        </w:rPr>
      </w:pPr>
    </w:p>
    <w:p w14:paraId="47D90732">
      <w:pPr>
        <w:spacing w:line="540" w:lineRule="exact"/>
        <w:ind w:firstLine="640" w:firstLineChars="20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按照新《安全生产法》第3条“管行业必须管安全、管业务必须管安全、管生产经营必须管安全”的总体要求，为进一步提升城镇精细化管理水平，保障供用电安全，营造良好的供用电环境，强化电气设备的专业化、智能化、在线化管理，减少安全隐患和事故的发生，全</w:t>
      </w:r>
      <w:r>
        <w:rPr>
          <w:rFonts w:hint="eastAsia" w:ascii="仿宋_GB2312" w:hAnsi="方正仿宋_GBK" w:eastAsia="仿宋_GB2312" w:cs="方正仿宋_GBK"/>
          <w:sz w:val="32"/>
          <w:szCs w:val="32"/>
          <w:lang w:eastAsia="zh-CN"/>
        </w:rPr>
        <w:t>面</w:t>
      </w:r>
      <w:r>
        <w:rPr>
          <w:rFonts w:hint="eastAsia" w:ascii="仿宋_GB2312" w:hAnsi="方正仿宋_GBK" w:eastAsia="仿宋_GB2312" w:cs="方正仿宋_GBK"/>
          <w:sz w:val="32"/>
          <w:szCs w:val="32"/>
        </w:rPr>
        <w:t>推进高压工业用户配电室（以下简称高压配电室）智能化改造及运维工作，现提出以下指导意见。</w:t>
      </w:r>
    </w:p>
    <w:p w14:paraId="0AE10295">
      <w:pPr>
        <w:spacing w:line="540" w:lineRule="exact"/>
        <w:ind w:firstLine="640" w:firstLineChars="200"/>
        <w:rPr>
          <w:rFonts w:ascii="黑体" w:hAnsi="方正黑体_GBK" w:eastAsia="黑体" w:cs="方正黑体_GBK"/>
          <w:sz w:val="32"/>
          <w:szCs w:val="32"/>
        </w:rPr>
      </w:pPr>
      <w:r>
        <w:rPr>
          <w:rFonts w:hint="eastAsia" w:ascii="黑体" w:hAnsi="方正仿宋_GBK" w:eastAsia="黑体" w:cs="方正仿宋_GBK"/>
          <w:sz w:val="32"/>
          <w:szCs w:val="32"/>
        </w:rPr>
        <w:t>一、</w:t>
      </w:r>
      <w:r>
        <w:rPr>
          <w:rFonts w:hint="eastAsia" w:ascii="黑体" w:hAnsi="方正黑体_GBK" w:eastAsia="黑体" w:cs="方正黑体_GBK"/>
          <w:sz w:val="32"/>
          <w:szCs w:val="32"/>
        </w:rPr>
        <w:t>总体要求</w:t>
      </w:r>
    </w:p>
    <w:p w14:paraId="23DE49A4">
      <w:pPr>
        <w:spacing w:line="540" w:lineRule="exact"/>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（一）指导思想</w:t>
      </w:r>
      <w:bookmarkStart w:id="0" w:name="_GoBack"/>
      <w:bookmarkEnd w:id="0"/>
    </w:p>
    <w:p w14:paraId="540A0A50">
      <w:pPr>
        <w:spacing w:line="540" w:lineRule="exact"/>
        <w:ind w:firstLine="640" w:firstLineChars="20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以习近平新时代中国特色社会主义思想为指导，全面贯彻党的十九大和十九届历次全会精神，深入贯彻新《安全生产法》相关要求，牢固树立安全发展理念，坚持“企业主体、市场导向、政府引导”原则，充分运用大数据、工业互联网等前沿技术，以示范工程为引领，鼓励推广高压工业用户进行配电室智能化改造，提升我县工业用户各行业领域安全用电管理水平，推动城镇管理手段、管理模式、管理理念的创新，为建设智慧上杭提供重要支撑。</w:t>
      </w:r>
    </w:p>
    <w:p w14:paraId="683281C1">
      <w:pPr>
        <w:spacing w:line="540" w:lineRule="exact"/>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（二）基本原则</w:t>
      </w:r>
    </w:p>
    <w:p w14:paraId="6EE13F62">
      <w:pPr>
        <w:spacing w:line="540" w:lineRule="exact"/>
        <w:ind w:firstLine="643" w:firstLineChars="200"/>
        <w:rPr>
          <w:rFonts w:ascii="仿宋_GB2312" w:hAnsi="方正仿宋_GBK" w:eastAsia="仿宋_GB2312" w:cs="方正仿宋_GBK"/>
          <w:sz w:val="32"/>
          <w:szCs w:val="32"/>
        </w:rPr>
      </w:pPr>
      <w:r>
        <w:rPr>
          <w:rFonts w:hint="eastAsia" w:ascii="仿宋_GB2312" w:hAnsi="方正仿宋_GBK" w:eastAsia="仿宋_GB2312" w:cs="方正仿宋_GBK"/>
          <w:b/>
          <w:bCs/>
          <w:sz w:val="32"/>
          <w:szCs w:val="32"/>
        </w:rPr>
        <w:t>1.政府推动，市场运营。</w:t>
      </w:r>
      <w:r>
        <w:rPr>
          <w:rFonts w:hint="eastAsia" w:ascii="仿宋_GB2312" w:hAnsi="方正仿宋_GBK" w:eastAsia="仿宋_GB2312" w:cs="方正仿宋_GBK"/>
          <w:sz w:val="32"/>
          <w:szCs w:val="32"/>
        </w:rPr>
        <w:t>高压工业用户以自愿为原则，由企业自筹资金开展高压配电室智能化改造及运维工作。</w:t>
      </w:r>
    </w:p>
    <w:p w14:paraId="5EE34B5B">
      <w:pPr>
        <w:spacing w:line="540" w:lineRule="exact"/>
        <w:ind w:firstLine="643" w:firstLineChars="200"/>
        <w:rPr>
          <w:rFonts w:ascii="仿宋_GB2312" w:hAnsi="方正仿宋_GBK" w:eastAsia="仿宋_GB2312" w:cs="方正仿宋_GBK"/>
          <w:sz w:val="32"/>
          <w:szCs w:val="32"/>
        </w:rPr>
      </w:pPr>
      <w:r>
        <w:rPr>
          <w:rFonts w:hint="eastAsia" w:ascii="仿宋_GB2312" w:hAnsi="方正仿宋_GBK" w:eastAsia="仿宋_GB2312" w:cs="方正仿宋_GBK"/>
          <w:b/>
          <w:bCs/>
          <w:sz w:val="32"/>
          <w:szCs w:val="32"/>
        </w:rPr>
        <w:t>2.突出重点，强化落实。</w:t>
      </w:r>
      <w:r>
        <w:rPr>
          <w:rFonts w:hint="eastAsia" w:ascii="仿宋_GB2312" w:hAnsi="方正仿宋_GBK" w:eastAsia="仿宋_GB2312" w:cs="方正仿宋_GBK"/>
          <w:sz w:val="32"/>
          <w:szCs w:val="32"/>
        </w:rPr>
        <w:t>对于安全性要求较高的重点行业进行重点推广；对于设备运维时间长、设施老旧、安全隐患问题突出的高压配电室鼓励企业优先进行智能化改造及运维。</w:t>
      </w:r>
    </w:p>
    <w:p w14:paraId="044701CC">
      <w:pPr>
        <w:spacing w:line="540" w:lineRule="exact"/>
        <w:ind w:firstLine="643" w:firstLineChars="200"/>
        <w:rPr>
          <w:rFonts w:ascii="仿宋_GB2312" w:hAnsi="方正仿宋_GBK" w:eastAsia="仿宋_GB2312" w:cs="方正仿宋_GBK"/>
          <w:sz w:val="32"/>
          <w:szCs w:val="32"/>
        </w:rPr>
      </w:pPr>
      <w:r>
        <w:rPr>
          <w:rFonts w:hint="eastAsia" w:ascii="仿宋_GB2312" w:hAnsi="方正仿宋_GBK" w:eastAsia="仿宋_GB2312" w:cs="方正仿宋_GBK"/>
          <w:b/>
          <w:bCs/>
          <w:sz w:val="32"/>
          <w:szCs w:val="32"/>
        </w:rPr>
        <w:t>3.规范引导，有序推进。</w:t>
      </w:r>
      <w:r>
        <w:rPr>
          <w:rFonts w:hint="eastAsia" w:ascii="仿宋_GB2312" w:hAnsi="方正仿宋_GBK" w:eastAsia="仿宋_GB2312" w:cs="方正仿宋_GBK"/>
          <w:sz w:val="32"/>
          <w:szCs w:val="32"/>
        </w:rPr>
        <w:t>采取“点面结合、分步实施”的方式推进本县高压配电室智能化改造及运维工作有序、稳步开展。</w:t>
      </w:r>
    </w:p>
    <w:p w14:paraId="3E73C112">
      <w:pPr>
        <w:spacing w:line="540" w:lineRule="exact"/>
        <w:ind w:firstLine="643" w:firstLineChars="200"/>
        <w:rPr>
          <w:rFonts w:ascii="仿宋_GB2312" w:hAnsi="方正仿宋_GBK" w:eastAsia="仿宋_GB2312" w:cs="方正仿宋_GBK"/>
          <w:sz w:val="32"/>
          <w:szCs w:val="32"/>
        </w:rPr>
      </w:pPr>
      <w:r>
        <w:rPr>
          <w:rFonts w:hint="eastAsia" w:ascii="仿宋_GB2312" w:hAnsi="方正仿宋_GBK" w:eastAsia="仿宋_GB2312" w:cs="方正仿宋_GBK"/>
          <w:b/>
          <w:bCs/>
          <w:sz w:val="32"/>
          <w:szCs w:val="32"/>
        </w:rPr>
        <w:t>4.示范引领，典型带动。</w:t>
      </w:r>
      <w:r>
        <w:rPr>
          <w:rFonts w:hint="eastAsia" w:ascii="仿宋_GB2312" w:hAnsi="方正仿宋_GBK" w:eastAsia="仿宋_GB2312" w:cs="方正仿宋_GBK"/>
          <w:sz w:val="32"/>
          <w:szCs w:val="32"/>
        </w:rPr>
        <w:t>挑选一批自身意愿强、安全要求高的高压配电室优先进行智能化改造和运维，并打造成示范工程，通过对示范工程的广泛宣传，充分发挥示范工程的引领、带动作用。</w:t>
      </w:r>
    </w:p>
    <w:p w14:paraId="09A9A916">
      <w:pPr>
        <w:spacing w:line="540" w:lineRule="exact"/>
        <w:ind w:firstLine="640" w:firstLineChars="200"/>
        <w:rPr>
          <w:rFonts w:ascii="黑体" w:hAnsi="方正黑体_GBK" w:eastAsia="黑体" w:cs="方正黑体_GBK"/>
          <w:sz w:val="32"/>
          <w:szCs w:val="32"/>
        </w:rPr>
      </w:pPr>
      <w:r>
        <w:rPr>
          <w:rFonts w:hint="eastAsia" w:ascii="黑体" w:hAnsi="方正仿宋_GBK" w:eastAsia="黑体" w:cs="方正仿宋_GBK"/>
          <w:sz w:val="32"/>
          <w:szCs w:val="32"/>
        </w:rPr>
        <w:t>二、</w:t>
      </w:r>
      <w:r>
        <w:rPr>
          <w:rFonts w:hint="eastAsia" w:ascii="黑体" w:hAnsi="方正黑体_GBK" w:eastAsia="黑体" w:cs="方正黑体_GBK"/>
          <w:sz w:val="32"/>
          <w:szCs w:val="32"/>
        </w:rPr>
        <w:t>定义及内涵</w:t>
      </w:r>
    </w:p>
    <w:p w14:paraId="7198F1A1">
      <w:pPr>
        <w:spacing w:line="540" w:lineRule="exact"/>
        <w:ind w:firstLine="640" w:firstLineChars="20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智能运维服务以用户侧终端采集设备为基础，采用物联网、云计算、大数据、人工智能、移动互联等信息技术，实现用户配电系统的运行情况和电能数据实时全方位监测，并提供配电站房远程值守、实时远程监控、全时现场支撑、定期专业巡检、用电能效诊断、设备状态保养、预防性试验、环境安全监控、增值用电服务等用电管理服务，综合提升客户用电管理水平。</w:t>
      </w:r>
    </w:p>
    <w:p w14:paraId="4B1684D9">
      <w:pPr>
        <w:spacing w:line="540" w:lineRule="exact"/>
        <w:ind w:firstLine="640" w:firstLineChars="20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高压配电室智能化改造及运维以实时监测数据为基础，以可视化为手段，以智能化功能为依托，利用智能化数据分析技术，实时监控高压配电室运行状态，并结合线下巡检、抢修等工作，共同保障高压配电室的安全运行。</w:t>
      </w:r>
    </w:p>
    <w:p w14:paraId="583D71AA">
      <w:pPr>
        <w:spacing w:line="540" w:lineRule="exact"/>
        <w:ind w:firstLine="640" w:firstLineChars="20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高压配电室智能化运维的自动监控和智能运维模式，一是将风险和隐患关口前移，由“事后被动补救”转变为“事前预警预防”，将各类风险隐患发现处置在萌芽状态，极大提高高压配电室运行安全；二是以“无人值班、少人值守”的模式，大大减少人工数量，降低企业运营成本，解决当前高压配电室运维人员缺失、技术能力不足等问题。主要内容包括：</w:t>
      </w:r>
    </w:p>
    <w:p w14:paraId="29FB67CE">
      <w:pPr>
        <w:spacing w:line="540" w:lineRule="exact"/>
        <w:ind w:firstLine="643" w:firstLineChars="200"/>
        <w:rPr>
          <w:rFonts w:ascii="仿宋_GB2312" w:hAnsi="方正仿宋_GBK" w:eastAsia="仿宋_GB2312" w:cs="方正仿宋_GBK"/>
          <w:b/>
          <w:bCs/>
          <w:sz w:val="32"/>
          <w:szCs w:val="32"/>
        </w:rPr>
      </w:pPr>
      <w:r>
        <w:rPr>
          <w:rFonts w:hint="eastAsia" w:ascii="仿宋_GB2312" w:hAnsi="方正仿宋_GBK" w:eastAsia="仿宋_GB2312" w:cs="方正仿宋_GBK"/>
          <w:b/>
          <w:bCs/>
          <w:sz w:val="32"/>
          <w:szCs w:val="32"/>
        </w:rPr>
        <w:t>1.配电室标准化配置</w:t>
      </w:r>
    </w:p>
    <w:p w14:paraId="5C69D4FF">
      <w:pPr>
        <w:spacing w:line="540" w:lineRule="exact"/>
        <w:ind w:firstLine="640" w:firstLineChars="20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（1）建立配电室各项规章制度；对配电室设备进行统计，建立设备台帐，可实现电子化台账。</w:t>
      </w:r>
    </w:p>
    <w:p w14:paraId="23471DC3">
      <w:pPr>
        <w:spacing w:line="540" w:lineRule="exact"/>
        <w:ind w:firstLine="640" w:firstLineChars="20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（2）配电室标准化建设及整治，按照配电室标准化建设要求对配电室进行隐患排查及安全进行整改，各类安全设施配置完整。</w:t>
      </w:r>
    </w:p>
    <w:p w14:paraId="0A6AD693">
      <w:pPr>
        <w:spacing w:line="540" w:lineRule="exact"/>
        <w:ind w:firstLine="643" w:firstLineChars="200"/>
        <w:rPr>
          <w:rFonts w:ascii="仿宋_GB2312" w:hAnsi="方正仿宋_GBK" w:eastAsia="仿宋_GB2312" w:cs="方正仿宋_GBK"/>
          <w:b/>
          <w:bCs/>
          <w:sz w:val="32"/>
          <w:szCs w:val="32"/>
        </w:rPr>
      </w:pPr>
      <w:r>
        <w:rPr>
          <w:rFonts w:hint="eastAsia" w:ascii="仿宋_GB2312" w:hAnsi="方正仿宋_GBK" w:eastAsia="仿宋_GB2312" w:cs="方正仿宋_GBK"/>
          <w:b/>
          <w:bCs/>
          <w:sz w:val="32"/>
          <w:szCs w:val="32"/>
        </w:rPr>
        <w:t>2.配电室运行管理（智能用电平台）</w:t>
      </w:r>
    </w:p>
    <w:p w14:paraId="793EE207">
      <w:pPr>
        <w:spacing w:line="540" w:lineRule="exact"/>
        <w:ind w:firstLine="640" w:firstLineChars="20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在用户现有配电室的设备基础上增加部分采集及网络设备，视频监控装置，完成数据的采集分析和后台展，用户通过账号密码可以自由访问智能用电平台，实时监控配电设备的运行状态。智能用电平台可以提供异常事件自动分级预警、运行报表、分析报告、电能质量分析评估等服务。</w:t>
      </w:r>
    </w:p>
    <w:p w14:paraId="5ECD0F99">
      <w:pPr>
        <w:spacing w:line="540" w:lineRule="exact"/>
        <w:ind w:firstLine="643" w:firstLineChars="200"/>
        <w:rPr>
          <w:rFonts w:ascii="仿宋_GB2312" w:hAnsi="方正仿宋_GBK" w:eastAsia="仿宋_GB2312" w:cs="方正仿宋_GBK"/>
          <w:b/>
          <w:bCs/>
          <w:sz w:val="32"/>
          <w:szCs w:val="32"/>
        </w:rPr>
      </w:pPr>
      <w:r>
        <w:rPr>
          <w:rFonts w:hint="eastAsia" w:ascii="仿宋_GB2312" w:hAnsi="方正仿宋_GBK" w:eastAsia="仿宋_GB2312" w:cs="方正仿宋_GBK"/>
          <w:b/>
          <w:bCs/>
          <w:sz w:val="32"/>
          <w:szCs w:val="32"/>
        </w:rPr>
        <w:t>3.电气设备定期维护及缺陷处理</w:t>
      </w:r>
    </w:p>
    <w:p w14:paraId="3EEF51DA">
      <w:pPr>
        <w:spacing w:line="540" w:lineRule="exact"/>
        <w:ind w:firstLine="640" w:firstLineChars="20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定期开展配电室巡视，建立设备巡检技术档案，向客户提供安全用电建议和巡检报告。用户可以随时通过平台调用每个月的巡检记录，真正做到有据可查有据可依。</w:t>
      </w:r>
    </w:p>
    <w:p w14:paraId="28FF3140">
      <w:pPr>
        <w:spacing w:line="540" w:lineRule="exact"/>
        <w:ind w:firstLine="643" w:firstLineChars="200"/>
        <w:rPr>
          <w:rFonts w:ascii="仿宋_GB2312" w:hAnsi="方正仿宋_GBK" w:eastAsia="仿宋_GB2312" w:cs="方正仿宋_GBK"/>
          <w:b/>
          <w:bCs/>
          <w:sz w:val="32"/>
          <w:szCs w:val="32"/>
        </w:rPr>
      </w:pPr>
      <w:r>
        <w:rPr>
          <w:rFonts w:hint="eastAsia" w:ascii="仿宋_GB2312" w:hAnsi="方正仿宋_GBK" w:eastAsia="仿宋_GB2312" w:cs="方正仿宋_GBK"/>
          <w:b/>
          <w:bCs/>
          <w:sz w:val="32"/>
          <w:szCs w:val="32"/>
        </w:rPr>
        <w:t>4.年度检修、预防性试验</w:t>
      </w:r>
    </w:p>
    <w:p w14:paraId="3C23DA75">
      <w:pPr>
        <w:spacing w:line="540" w:lineRule="exact"/>
        <w:ind w:firstLine="640" w:firstLineChars="20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为了确保配电室设备安全稳定运行，避免设备长期带病运行，发生设备存在的安全隐患，根据配电室设备运行情况，每年停电一次对高压设备年度检修、试验，低压设备检修、维保，出具检测报告和缺陷分析报告，满足以后安全用电管理需求。</w:t>
      </w:r>
    </w:p>
    <w:p w14:paraId="16FB9F0A">
      <w:pPr>
        <w:spacing w:line="540" w:lineRule="exact"/>
        <w:ind w:firstLine="643" w:firstLineChars="200"/>
        <w:rPr>
          <w:rFonts w:ascii="仿宋_GB2312" w:hAnsi="方正仿宋_GBK" w:eastAsia="仿宋_GB2312" w:cs="方正仿宋_GBK"/>
          <w:b/>
          <w:bCs/>
          <w:sz w:val="32"/>
          <w:szCs w:val="32"/>
        </w:rPr>
      </w:pPr>
      <w:r>
        <w:rPr>
          <w:rFonts w:hint="eastAsia" w:ascii="仿宋_GB2312" w:hAnsi="方正仿宋_GBK" w:eastAsia="仿宋_GB2312" w:cs="方正仿宋_GBK"/>
          <w:b/>
          <w:bCs/>
          <w:sz w:val="32"/>
          <w:szCs w:val="32"/>
        </w:rPr>
        <w:t>5.共享电工用能管家服务</w:t>
      </w:r>
    </w:p>
    <w:p w14:paraId="4D237E1C">
      <w:pPr>
        <w:spacing w:line="540" w:lineRule="exact"/>
        <w:ind w:firstLine="640" w:firstLineChars="20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“共享电工”7*24小时在线，提供倒闸操作、故障排查、故障处理等。</w:t>
      </w:r>
    </w:p>
    <w:p w14:paraId="51E79DD9">
      <w:pPr>
        <w:spacing w:line="540" w:lineRule="exact"/>
        <w:ind w:firstLine="640" w:firstLineChars="200"/>
        <w:rPr>
          <w:rFonts w:ascii="黑体" w:hAnsi="方正黑体_GBK" w:eastAsia="黑体" w:cs="方正黑体_GBK"/>
          <w:sz w:val="32"/>
          <w:szCs w:val="32"/>
        </w:rPr>
      </w:pPr>
      <w:r>
        <w:rPr>
          <w:rFonts w:hint="eastAsia" w:ascii="黑体" w:hAnsi="方正黑体_GBK" w:eastAsia="黑体" w:cs="方正黑体_GBK"/>
          <w:sz w:val="32"/>
          <w:szCs w:val="32"/>
        </w:rPr>
        <w:t>三、主要任务</w:t>
      </w:r>
    </w:p>
    <w:p w14:paraId="28A5A7AE">
      <w:pPr>
        <w:spacing w:line="540" w:lineRule="exact"/>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（一）建立政府引导、市场运作的高压配电室改造及运维工作机制</w:t>
      </w:r>
    </w:p>
    <w:p w14:paraId="22D404DE">
      <w:pPr>
        <w:spacing w:line="540" w:lineRule="exact"/>
        <w:ind w:firstLine="640" w:firstLineChars="20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完全依据市场化原则由高压工业用户自主选择服务商，营造公平、公开、公正的市场竞争环境。政府部门把握推动总体方向，不承担、不代行高压配电室智能化改造及运维企业市场化运营职责。</w:t>
      </w:r>
    </w:p>
    <w:p w14:paraId="3BBDEC6B">
      <w:pPr>
        <w:spacing w:line="540" w:lineRule="exact"/>
        <w:ind w:firstLine="643" w:firstLineChars="200"/>
        <w:rPr>
          <w:rFonts w:hint="eastAsia" w:ascii="楷体_GB2312" w:hAnsi="方正仿宋_GBK" w:eastAsia="楷体_GB2312" w:cs="方正仿宋_GBK"/>
          <w:b/>
          <w:sz w:val="32"/>
          <w:szCs w:val="32"/>
        </w:rPr>
      </w:pPr>
      <w:r>
        <w:rPr>
          <w:rFonts w:hint="eastAsia" w:ascii="楷体_GB2312" w:hAnsi="楷体_GB2312" w:eastAsia="楷体_GB2312" w:cs="楷体_GB2312"/>
          <w:b/>
          <w:sz w:val="32"/>
          <w:szCs w:val="32"/>
        </w:rPr>
        <w:t>（二）打造高压配电室智能化改造及运维示范工程</w:t>
      </w:r>
    </w:p>
    <w:p w14:paraId="6EDCFF08">
      <w:pPr>
        <w:spacing w:line="540" w:lineRule="exact"/>
        <w:ind w:firstLine="640" w:firstLineChars="200"/>
        <w:rPr>
          <w:rFonts w:ascii="仿宋_GB2312" w:hAnsi="方正仿宋_GBK" w:eastAsia="仿宋_GB2312" w:cs="方正仿宋_GBK"/>
          <w:sz w:val="32"/>
          <w:szCs w:val="32"/>
        </w:rPr>
      </w:pPr>
      <w:r>
        <w:rPr>
          <w:rFonts w:hint="eastAsia" w:ascii="仿宋_GB2312" w:hAnsi="方正仿宋_GBK" w:eastAsia="仿宋_GB2312" w:cs="方正仿宋_GBK"/>
          <w:sz w:val="32"/>
          <w:szCs w:val="32"/>
        </w:rPr>
        <w:t>由县工信科技局牵头，县供电公司配合，对重点行业高压配电室运维情况进行摸底，详细了解高压配电室总数、智能化运维数量等情况，对于安全风险较大、隐患较突出的高压配电室，督促其尽快进行整改并鼓励其进行智能化改造及运维。同时对管理模式先进、效果突出的高压配电室智能化改造及运维项目进行重点关注，及时了解项目进展以及运维情况，着力打造高压配电室智能化改造及运维样板。</w:t>
      </w:r>
    </w:p>
    <w:p w14:paraId="331B117F">
      <w:pPr>
        <w:spacing w:line="540" w:lineRule="exact"/>
        <w:ind w:firstLine="640" w:firstLineChars="200"/>
        <w:rPr>
          <w:rFonts w:ascii="黑体" w:hAnsi="方正黑体_GBK" w:eastAsia="黑体" w:cs="方正黑体_GBK"/>
          <w:sz w:val="32"/>
          <w:szCs w:val="32"/>
        </w:rPr>
      </w:pPr>
      <w:r>
        <w:rPr>
          <w:rFonts w:hint="eastAsia" w:ascii="黑体" w:hAnsi="方正黑体_GBK" w:eastAsia="黑体" w:cs="方正黑体_GBK"/>
          <w:sz w:val="32"/>
          <w:szCs w:val="32"/>
        </w:rPr>
        <w:t>四、工作要求</w:t>
      </w:r>
    </w:p>
    <w:p w14:paraId="589C2186">
      <w:pPr>
        <w:spacing w:line="540" w:lineRule="exact"/>
        <w:ind w:firstLine="640" w:firstLineChars="200"/>
        <w:rPr>
          <w:rFonts w:ascii="仿宋_GB2312" w:hAnsi="方正仿宋_GBK" w:eastAsia="仿宋_GB2312" w:cs="方正仿宋_GBK"/>
          <w:sz w:val="32"/>
          <w:szCs w:val="32"/>
        </w:rPr>
      </w:pPr>
      <w:r>
        <w:rPr>
          <w:rFonts w:hint="eastAsia" w:ascii="楷体_GB2312" w:hAnsi="方正仿宋_GBK" w:eastAsia="楷体_GB2312" w:cs="方正仿宋_GBK"/>
          <w:sz w:val="32"/>
          <w:szCs w:val="32"/>
        </w:rPr>
        <w:t>（一）</w:t>
      </w:r>
      <w:r>
        <w:rPr>
          <w:rFonts w:hint="eastAsia" w:ascii="仿宋_GB2312" w:hAnsi="方正仿宋_GBK" w:eastAsia="仿宋_GB2312" w:cs="方正仿宋_GBK"/>
          <w:sz w:val="32"/>
          <w:szCs w:val="32"/>
        </w:rPr>
        <w:t>充分发挥政府引导、推动作用，研究解决工业用户企业在实际工作中遇到的各类困难，积极为企业排忧解难。国网上杭县供电公司要发挥好专业指导作用，积极配合开展好此项工作。</w:t>
      </w:r>
    </w:p>
    <w:p w14:paraId="0B660CF8">
      <w:pPr>
        <w:spacing w:line="540" w:lineRule="exact"/>
        <w:ind w:firstLine="640" w:firstLineChars="200"/>
        <w:rPr>
          <w:rFonts w:ascii="仿宋_GB2312" w:hAnsi="方正仿宋_GBK" w:eastAsia="仿宋_GB2312" w:cs="方正仿宋_GBK"/>
          <w:sz w:val="32"/>
          <w:szCs w:val="32"/>
        </w:rPr>
      </w:pPr>
      <w:r>
        <w:rPr>
          <w:rFonts w:hint="eastAsia" w:ascii="楷体_GB2312" w:hAnsi="方正仿宋_GBK" w:eastAsia="楷体_GB2312" w:cs="方正仿宋_GBK"/>
          <w:sz w:val="32"/>
          <w:szCs w:val="32"/>
        </w:rPr>
        <w:t>（二）</w:t>
      </w:r>
      <w:r>
        <w:rPr>
          <w:rFonts w:hint="eastAsia" w:ascii="仿宋_GB2312" w:hAnsi="方正仿宋_GBK" w:eastAsia="仿宋_GB2312" w:cs="方正仿宋_GBK"/>
          <w:sz w:val="32"/>
          <w:szCs w:val="32"/>
        </w:rPr>
        <w:t>高压配电室智能化改造及代运维企业要严格遵守相关法律法规，不断进行产品创新和服务创新，努力提升自身实力，不断提升行业竞争力。</w:t>
      </w:r>
    </w:p>
    <w:p w14:paraId="16BA588F">
      <w:pPr>
        <w:spacing w:line="540" w:lineRule="exact"/>
        <w:ind w:firstLine="640" w:firstLineChars="200"/>
        <w:rPr>
          <w:rFonts w:ascii="仿宋_GB2312" w:hAnsi="方正仿宋_GBK" w:eastAsia="仿宋_GB2312" w:cs="方正仿宋_GBK"/>
          <w:sz w:val="32"/>
          <w:szCs w:val="32"/>
        </w:rPr>
      </w:pPr>
      <w:r>
        <w:rPr>
          <w:rFonts w:hint="eastAsia" w:ascii="楷体_GB2312" w:hAnsi="方正仿宋_GBK" w:eastAsia="楷体_GB2312" w:cs="方正仿宋_GBK"/>
          <w:sz w:val="32"/>
          <w:szCs w:val="32"/>
        </w:rPr>
        <w:t>（三）</w:t>
      </w:r>
      <w:r>
        <w:rPr>
          <w:rFonts w:hint="eastAsia" w:ascii="仿宋_GB2312" w:hAnsi="方正仿宋_GBK" w:eastAsia="仿宋_GB2312" w:cs="方正仿宋_GBK"/>
          <w:sz w:val="32"/>
          <w:szCs w:val="32"/>
        </w:rPr>
        <w:t>各高压工业用户要严格落实企业安全生产主体责任，严格按照相关标准开展高压配电室智能化改造及运维工作。</w:t>
      </w:r>
    </w:p>
    <w:p w14:paraId="60CD7FA5">
      <w:pPr>
        <w:spacing w:line="540" w:lineRule="exact"/>
        <w:ind w:firstLine="640" w:firstLineChars="200"/>
        <w:rPr>
          <w:rFonts w:hint="eastAsia" w:ascii="仿宋_GB2312" w:hAnsi="方正仿宋_GBK" w:eastAsia="仿宋_GB2312" w:cs="方正仿宋_GBK"/>
          <w:sz w:val="32"/>
          <w:szCs w:val="32"/>
        </w:rPr>
      </w:pPr>
      <w:r>
        <w:rPr>
          <w:rFonts w:hint="eastAsia" w:ascii="楷体_GB2312" w:hAnsi="方正仿宋_GBK" w:eastAsia="楷体_GB2312" w:cs="方正仿宋_GBK"/>
          <w:sz w:val="32"/>
          <w:szCs w:val="32"/>
        </w:rPr>
        <w:t>（四）</w:t>
      </w:r>
      <w:r>
        <w:rPr>
          <w:rFonts w:hint="eastAsia" w:ascii="仿宋_GB2312" w:hAnsi="方正仿宋_GBK" w:eastAsia="仿宋_GB2312" w:cs="方正仿宋_GBK"/>
          <w:sz w:val="32"/>
          <w:szCs w:val="32"/>
        </w:rPr>
        <w:t>高压工业用户与高压配电室智能化改造企业或高压配电室智能化代运维企业要签订安全管理协议，明确各自安全管理责任。</w:t>
      </w:r>
    </w:p>
    <w:p w14:paraId="4A766A70">
      <w:pPr>
        <w:spacing w:line="540" w:lineRule="exact"/>
        <w:ind w:firstLine="640" w:firstLineChars="200"/>
        <w:rPr>
          <w:rFonts w:hint="eastAsia" w:ascii="仿宋_GB2312" w:hAnsi="方正仿宋_GBK" w:eastAsia="仿宋_GB2312" w:cs="方正仿宋_GBK"/>
          <w:sz w:val="32"/>
          <w:szCs w:val="32"/>
        </w:rPr>
      </w:pPr>
    </w:p>
    <w:p w14:paraId="18905F32">
      <w:pPr>
        <w:spacing w:line="540" w:lineRule="exact"/>
        <w:ind w:firstLine="640" w:firstLineChars="200"/>
        <w:rPr>
          <w:rFonts w:hint="eastAsia" w:ascii="仿宋_GB2312" w:hAnsi="方正仿宋_GBK" w:eastAsia="仿宋_GB2312" w:cs="方正仿宋_GBK"/>
          <w:sz w:val="32"/>
          <w:szCs w:val="32"/>
        </w:rPr>
      </w:pPr>
    </w:p>
    <w:p w14:paraId="14B36966">
      <w:pPr>
        <w:spacing w:line="540" w:lineRule="exact"/>
        <w:ind w:firstLine="640" w:firstLineChars="200"/>
        <w:rPr>
          <w:rFonts w:hint="eastAsia" w:ascii="仿宋_GB2312" w:hAnsi="方正仿宋_GBK" w:eastAsia="仿宋_GB2312" w:cs="方正仿宋_GBK"/>
          <w:sz w:val="32"/>
          <w:szCs w:val="32"/>
        </w:rPr>
      </w:pPr>
    </w:p>
    <w:p w14:paraId="3E1C0F6C">
      <w:pPr>
        <w:spacing w:line="540" w:lineRule="exact"/>
        <w:ind w:firstLine="640" w:firstLineChars="200"/>
        <w:rPr>
          <w:rFonts w:hint="eastAsia" w:ascii="仿宋_GB2312" w:hAnsi="方正仿宋_GBK" w:eastAsia="仿宋_GB2312" w:cs="方正仿宋_GBK"/>
          <w:sz w:val="32"/>
          <w:szCs w:val="32"/>
        </w:rPr>
      </w:pPr>
    </w:p>
    <w:p w14:paraId="18329BF0">
      <w:pPr>
        <w:spacing w:line="540" w:lineRule="exact"/>
        <w:ind w:firstLine="640" w:firstLineChars="200"/>
        <w:rPr>
          <w:rFonts w:hint="eastAsia" w:ascii="仿宋_GB2312" w:hAnsi="方正仿宋_GBK" w:eastAsia="仿宋_GB2312" w:cs="方正仿宋_GBK"/>
          <w:sz w:val="32"/>
          <w:szCs w:val="32"/>
        </w:rPr>
      </w:pPr>
    </w:p>
    <w:p w14:paraId="33D16864">
      <w:pPr>
        <w:spacing w:line="540" w:lineRule="exact"/>
        <w:ind w:firstLine="640" w:firstLineChars="200"/>
        <w:rPr>
          <w:rFonts w:hint="eastAsia" w:ascii="仿宋_GB2312" w:hAnsi="方正仿宋_GBK" w:eastAsia="仿宋_GB2312" w:cs="方正仿宋_GBK"/>
          <w:sz w:val="32"/>
          <w:szCs w:val="32"/>
        </w:rPr>
      </w:pPr>
    </w:p>
    <w:p w14:paraId="33475296">
      <w:pPr>
        <w:spacing w:line="540" w:lineRule="exact"/>
        <w:ind w:firstLine="640" w:firstLineChars="200"/>
        <w:rPr>
          <w:rFonts w:hint="eastAsia" w:ascii="仿宋_GB2312" w:hAnsi="方正仿宋_GBK" w:eastAsia="仿宋_GB2312" w:cs="方正仿宋_GBK"/>
          <w:sz w:val="32"/>
          <w:szCs w:val="32"/>
        </w:rPr>
      </w:pPr>
    </w:p>
    <w:p w14:paraId="310FBDCA">
      <w:pPr>
        <w:spacing w:line="540" w:lineRule="exact"/>
        <w:ind w:firstLine="640" w:firstLineChars="200"/>
        <w:rPr>
          <w:rFonts w:hint="eastAsia" w:ascii="仿宋_GB2312" w:hAnsi="方正仿宋_GBK" w:eastAsia="仿宋_GB2312" w:cs="方正仿宋_GBK"/>
          <w:sz w:val="32"/>
          <w:szCs w:val="32"/>
        </w:rPr>
      </w:pPr>
    </w:p>
    <w:p w14:paraId="43173D20">
      <w:pPr>
        <w:spacing w:line="540" w:lineRule="exact"/>
        <w:ind w:firstLine="640" w:firstLineChars="200"/>
        <w:rPr>
          <w:rFonts w:hint="eastAsia" w:ascii="仿宋_GB2312" w:hAnsi="方正仿宋_GBK" w:eastAsia="仿宋_GB2312" w:cs="方正仿宋_GBK"/>
          <w:sz w:val="32"/>
          <w:szCs w:val="32"/>
        </w:rPr>
      </w:pPr>
    </w:p>
    <w:p w14:paraId="435947DA">
      <w:pPr>
        <w:spacing w:line="540" w:lineRule="exact"/>
        <w:ind w:firstLine="640" w:firstLineChars="200"/>
        <w:rPr>
          <w:rFonts w:hint="eastAsia" w:ascii="仿宋_GB2312" w:hAnsi="方正仿宋_GBK" w:eastAsia="仿宋_GB2312" w:cs="方正仿宋_GBK"/>
          <w:sz w:val="32"/>
          <w:szCs w:val="32"/>
        </w:rPr>
      </w:pPr>
    </w:p>
    <w:p w14:paraId="7001AA91">
      <w:pPr>
        <w:spacing w:line="540" w:lineRule="exact"/>
        <w:ind w:firstLine="640" w:firstLineChars="200"/>
        <w:rPr>
          <w:rFonts w:hint="eastAsia" w:ascii="仿宋_GB2312" w:hAnsi="方正仿宋_GBK" w:eastAsia="仿宋_GB2312" w:cs="方正仿宋_GBK"/>
          <w:sz w:val="32"/>
          <w:szCs w:val="32"/>
        </w:rPr>
      </w:pPr>
    </w:p>
    <w:p w14:paraId="3BFAE4C1">
      <w:pPr>
        <w:spacing w:line="540" w:lineRule="exact"/>
        <w:ind w:firstLine="640" w:firstLineChars="200"/>
        <w:rPr>
          <w:rFonts w:hint="eastAsia" w:ascii="仿宋_GB2312" w:hAnsi="方正仿宋_GBK" w:eastAsia="仿宋_GB2312" w:cs="方正仿宋_GBK"/>
          <w:sz w:val="32"/>
          <w:szCs w:val="32"/>
        </w:rPr>
      </w:pPr>
    </w:p>
    <w:p w14:paraId="343ED778">
      <w:pPr>
        <w:spacing w:line="540" w:lineRule="exact"/>
        <w:ind w:firstLine="640" w:firstLineChars="200"/>
        <w:rPr>
          <w:rFonts w:hint="eastAsia" w:ascii="仿宋_GB2312" w:hAnsi="方正仿宋_GBK" w:eastAsia="仿宋_GB2312" w:cs="方正仿宋_GBK"/>
          <w:sz w:val="32"/>
          <w:szCs w:val="32"/>
        </w:rPr>
      </w:pPr>
    </w:p>
    <w:p w14:paraId="144F59FF">
      <w:pPr>
        <w:spacing w:line="540" w:lineRule="exact"/>
        <w:ind w:firstLine="640" w:firstLineChars="200"/>
        <w:rPr>
          <w:rFonts w:hint="eastAsia" w:ascii="仿宋_GB2312" w:hAnsi="方正仿宋_GBK" w:eastAsia="仿宋_GB2312" w:cs="方正仿宋_GBK"/>
          <w:sz w:val="32"/>
          <w:szCs w:val="32"/>
        </w:rPr>
      </w:pPr>
    </w:p>
    <w:p w14:paraId="0319BC5A">
      <w:pPr>
        <w:spacing w:line="540" w:lineRule="exact"/>
        <w:ind w:firstLine="640" w:firstLineChars="200"/>
        <w:rPr>
          <w:rFonts w:hint="eastAsia" w:ascii="仿宋_GB2312" w:hAnsi="方正仿宋_GBK" w:eastAsia="仿宋_GB2312" w:cs="方正仿宋_GBK"/>
          <w:sz w:val="32"/>
          <w:szCs w:val="32"/>
        </w:rPr>
      </w:pPr>
    </w:p>
    <w:p w14:paraId="1B4DD4D9">
      <w:pPr>
        <w:spacing w:line="540" w:lineRule="exact"/>
        <w:ind w:firstLine="640" w:firstLineChars="200"/>
        <w:rPr>
          <w:rFonts w:hint="eastAsia" w:ascii="仿宋_GB2312" w:hAnsi="方正仿宋_GBK" w:eastAsia="仿宋_GB2312" w:cs="方正仿宋_GBK"/>
          <w:sz w:val="32"/>
          <w:szCs w:val="32"/>
        </w:rPr>
      </w:pPr>
    </w:p>
    <w:p w14:paraId="04053ADD">
      <w:pPr>
        <w:spacing w:line="540" w:lineRule="exact"/>
        <w:ind w:firstLine="640" w:firstLineChars="200"/>
        <w:rPr>
          <w:rFonts w:hint="eastAsia" w:ascii="仿宋_GB2312" w:hAnsi="方正仿宋_GBK" w:eastAsia="仿宋_GB2312" w:cs="方正仿宋_GBK"/>
          <w:sz w:val="32"/>
          <w:szCs w:val="32"/>
        </w:rPr>
      </w:pPr>
    </w:p>
    <w:p w14:paraId="4A25E538">
      <w:pPr>
        <w:spacing w:line="540" w:lineRule="exact"/>
        <w:ind w:firstLine="640" w:firstLineChars="200"/>
        <w:rPr>
          <w:rFonts w:hint="eastAsia" w:ascii="仿宋_GB2312" w:hAnsi="方正仿宋_GBK" w:eastAsia="仿宋_GB2312" w:cs="方正仿宋_GBK"/>
          <w:sz w:val="32"/>
          <w:szCs w:val="32"/>
        </w:rPr>
      </w:pPr>
    </w:p>
    <w:p w14:paraId="4B1F4D2F">
      <w:pPr>
        <w:pBdr>
          <w:top w:val="single" w:color="auto" w:sz="4" w:space="1"/>
          <w:bottom w:val="single" w:color="auto" w:sz="4" w:space="1"/>
        </w:pBdr>
        <w:spacing w:line="540" w:lineRule="exact"/>
        <w:ind w:firstLine="280" w:firstLineChars="100"/>
        <w:rPr>
          <w:rFonts w:ascii="仿宋_GB2312" w:eastAsia="仿宋_GB2312" w:hAnsiTheme="minorEastAsia" w:cstheme="minorEastAsia"/>
          <w:sz w:val="28"/>
          <w:szCs w:val="28"/>
        </w:rPr>
      </w:pPr>
      <w:r>
        <w:rPr>
          <w:rFonts w:hint="eastAsia" w:ascii="仿宋_GB2312" w:hAnsi="方正仿宋_GBK" w:eastAsia="仿宋_GB2312" w:cs="方正仿宋_GBK"/>
          <w:sz w:val="28"/>
          <w:szCs w:val="28"/>
        </w:rPr>
        <w:t>上杭县工信科技局                       2022年4月25日印发</w:t>
      </w:r>
    </w:p>
    <w:sectPr>
      <w:footerReference r:id="rId3" w:type="default"/>
      <w:footerReference r:id="rId4" w:type="even"/>
      <w:pgSz w:w="11906" w:h="16838"/>
      <w:pgMar w:top="1928" w:right="1474" w:bottom="1701"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0000000000000000000"/>
    <w:charset w:val="86"/>
    <w:family w:val="auto"/>
    <w:pitch w:val="default"/>
    <w:sig w:usb0="00000000" w:usb1="00000000" w:usb2="00000000" w:usb3="00000000" w:csb0="00040000" w:csb1="00000000"/>
  </w:font>
  <w:font w:name="Arial Unicode MS">
    <w:altName w:val="Arial"/>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_GBK">
    <w:altName w:val="微软雅黑"/>
    <w:panose1 w:val="00000000000000000000"/>
    <w:charset w:val="86"/>
    <w:family w:val="auto"/>
    <w:pitch w:val="default"/>
    <w:sig w:usb0="00000000" w:usb1="00000000" w:usb2="00000000" w:usb3="00000000" w:csb0="00040000" w:csb1="00000000"/>
  </w:font>
  <w:font w:name="方正黑体_GBK">
    <w:altName w:val="微软雅黑"/>
    <w:panose1 w:val="00000000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996130"/>
      <w:docPartObj>
        <w:docPartGallery w:val="AutoText"/>
      </w:docPartObj>
    </w:sdtPr>
    <w:sdtContent>
      <w:p w14:paraId="098E7ABF">
        <w:pPr>
          <w:pStyle w:val="2"/>
          <w:ind w:right="180"/>
          <w:jc w:val="right"/>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1</w:t>
        </w:r>
        <w:r>
          <w:rPr>
            <w:rFonts w:ascii="Times New Roman" w:hAnsi="Times New Roman" w:cs="Times New Roman"/>
            <w:sz w:val="28"/>
            <w:szCs w:val="28"/>
          </w:rPr>
          <w:fldChar w:fldCharType="end"/>
        </w:r>
        <w:r>
          <w:rPr>
            <w:rFonts w:ascii="Times New Roman" w:hAnsi="Times New Roman" w:cs="Times New Roman"/>
            <w:sz w:val="28"/>
            <w:szCs w:val="28"/>
          </w:rPr>
          <w:t>—</w:t>
        </w:r>
      </w:p>
    </w:sdtContent>
  </w:sdt>
  <w:p w14:paraId="253FB24F">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996131"/>
      <w:docPartObj>
        <w:docPartGallery w:val="AutoText"/>
      </w:docPartObj>
    </w:sdtPr>
    <w:sdtEndPr>
      <w:rPr>
        <w:rFonts w:ascii="Times New Roman" w:hAnsi="Times New Roman" w:cs="Times New Roman"/>
        <w:sz w:val="28"/>
        <w:szCs w:val="28"/>
      </w:rPr>
    </w:sdtEndPr>
    <w:sdtContent>
      <w:p w14:paraId="02C1222A">
        <w:pPr>
          <w:pStyle w:val="2"/>
          <w:ind w:firstLine="270" w:firstLineChars="150"/>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Pr>
            <w:rFonts w:ascii="Times New Roman" w:hAnsi="Times New Roman" w:cs="Times New Roman"/>
            <w:sz w:val="28"/>
            <w:szCs w:val="28"/>
            <w:lang w:val="zh-CN"/>
          </w:rPr>
          <w:t>2</w:t>
        </w:r>
        <w:r>
          <w:rPr>
            <w:rFonts w:ascii="Times New Roman" w:hAnsi="Times New Roman" w:cs="Times New Roman"/>
            <w:sz w:val="28"/>
            <w:szCs w:val="28"/>
          </w:rPr>
          <w:fldChar w:fldCharType="end"/>
        </w:r>
        <w:r>
          <w:rPr>
            <w:rFonts w:ascii="Times New Roman" w:hAnsi="Times New Roman" w:cs="Times New Roman"/>
            <w:sz w:val="28"/>
            <w:szCs w:val="28"/>
          </w:rPr>
          <w:t>—</w:t>
        </w:r>
      </w:p>
    </w:sdtContent>
  </w:sdt>
  <w:p w14:paraId="5C4C0919">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D432FD4"/>
    <w:rsid w:val="0014377F"/>
    <w:rsid w:val="001D0CC2"/>
    <w:rsid w:val="002D6652"/>
    <w:rsid w:val="002E431D"/>
    <w:rsid w:val="004D3837"/>
    <w:rsid w:val="0067724C"/>
    <w:rsid w:val="006D3A24"/>
    <w:rsid w:val="0073090F"/>
    <w:rsid w:val="00783453"/>
    <w:rsid w:val="007F696D"/>
    <w:rsid w:val="0082099C"/>
    <w:rsid w:val="00874D3E"/>
    <w:rsid w:val="0093541B"/>
    <w:rsid w:val="00A248EA"/>
    <w:rsid w:val="00A274E1"/>
    <w:rsid w:val="00AD0B86"/>
    <w:rsid w:val="00B61706"/>
    <w:rsid w:val="00BB512A"/>
    <w:rsid w:val="00C01CAA"/>
    <w:rsid w:val="00CE7322"/>
    <w:rsid w:val="046B645E"/>
    <w:rsid w:val="05C917AC"/>
    <w:rsid w:val="05F81F59"/>
    <w:rsid w:val="07130238"/>
    <w:rsid w:val="07BF4D0E"/>
    <w:rsid w:val="0CFF149B"/>
    <w:rsid w:val="0D956ACD"/>
    <w:rsid w:val="0E592696"/>
    <w:rsid w:val="1BA96B8F"/>
    <w:rsid w:val="1BEF33F3"/>
    <w:rsid w:val="1F1F611B"/>
    <w:rsid w:val="1FCE42BE"/>
    <w:rsid w:val="20BB22D8"/>
    <w:rsid w:val="25784A4D"/>
    <w:rsid w:val="29465A03"/>
    <w:rsid w:val="36376632"/>
    <w:rsid w:val="37D21D9B"/>
    <w:rsid w:val="39F72B09"/>
    <w:rsid w:val="3B0355D1"/>
    <w:rsid w:val="3B7B3548"/>
    <w:rsid w:val="3D5816EC"/>
    <w:rsid w:val="3DFD5544"/>
    <w:rsid w:val="408076BC"/>
    <w:rsid w:val="40E11570"/>
    <w:rsid w:val="410950E4"/>
    <w:rsid w:val="4D432FD4"/>
    <w:rsid w:val="4FA668A3"/>
    <w:rsid w:val="50441962"/>
    <w:rsid w:val="590D671D"/>
    <w:rsid w:val="64F4516B"/>
    <w:rsid w:val="6531023F"/>
    <w:rsid w:val="674F2DF2"/>
    <w:rsid w:val="68E12DA3"/>
    <w:rsid w:val="6AE815AE"/>
    <w:rsid w:val="6CDA5F57"/>
    <w:rsid w:val="6E026919"/>
    <w:rsid w:val="737B7937"/>
    <w:rsid w:val="74092073"/>
    <w:rsid w:val="7E5A1B7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Pages>
  <Words>2453</Words>
  <Characters>2477</Characters>
  <Lines>18</Lines>
  <Paragraphs>5</Paragraphs>
  <TotalTime>19</TotalTime>
  <ScaleCrop>false</ScaleCrop>
  <LinksUpToDate>false</LinksUpToDate>
  <CharactersWithSpaces>2500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2022-05-07T02:45:00Z</dcterms:created>
  <dc:creator>Administrator</dc:creator>
  <cp:lastModifiedBy>梦幻品花～丘春政</cp:lastModifiedBy>
  <dcterms:modified xsi:type="dcterms:W3CDTF">2025-07-31T00:51:31Z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eyJoZGlkIjoiNjFmMjI1NWNiODM5NTRhMTg4MzM1Nzc0Mzg0YzBlMzQiLCJ1c2VySWQiOiIyNjI4NTIwNzIifQ==</vt:lpwstr>
  </property>
  <property fmtid="{D5CDD505-2E9C-101B-9397-08002B2CF9AE}" pid="4" name="ICV">
    <vt:lpwstr>FA67B5B12CBE4368B4106E768693777A_12</vt:lpwstr>
  </property>
</Properties>
</file>