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jc w:val="center"/>
        <w:textAlignment w:val="auto"/>
        <w:rPr>
          <w:rFonts w:hint="eastAsia" w:ascii="方正小标宋简体" w:hAnsi="方正小标宋简体" w:eastAsia="方正小标宋简体" w:cs="方正小标宋简体"/>
          <w:color w:val="auto"/>
          <w:kern w:val="2"/>
          <w:sz w:val="44"/>
          <w:szCs w:val="44"/>
          <w:lang w:val="en-US" w:eastAsia="zh-CN"/>
        </w:rPr>
      </w:pPr>
      <w:r>
        <w:rPr>
          <w:rFonts w:hint="eastAsia" w:ascii="方正小标宋简体" w:hAnsi="方正小标宋简体" w:eastAsia="方正小标宋简体" w:cs="方正小标宋简体"/>
          <w:color w:val="auto"/>
          <w:kern w:val="2"/>
          <w:sz w:val="44"/>
          <w:szCs w:val="44"/>
          <w:lang w:eastAsia="zh-CN"/>
        </w:rPr>
        <w:t>龙岩市上杭生态环境局</w:t>
      </w:r>
      <w:r>
        <w:rPr>
          <w:rFonts w:hint="eastAsia" w:ascii="方正小标宋简体" w:hAnsi="方正小标宋简体" w:eastAsia="方正小标宋简体" w:cs="方正小标宋简体"/>
          <w:color w:val="auto"/>
          <w:kern w:val="2"/>
          <w:sz w:val="44"/>
          <w:szCs w:val="44"/>
          <w:lang w:val="en-US" w:eastAsia="zh-CN"/>
        </w:rPr>
        <w:t>2021年</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jc w:val="center"/>
        <w:textAlignment w:val="auto"/>
        <w:rPr>
          <w:rFonts w:hint="eastAsia" w:ascii="方正小标宋简体" w:hAnsi="方正小标宋简体" w:eastAsia="方正小标宋简体" w:cs="方正小标宋简体"/>
          <w:color w:val="auto"/>
          <w:kern w:val="2"/>
          <w:sz w:val="44"/>
          <w:szCs w:val="44"/>
        </w:rPr>
      </w:pPr>
      <w:r>
        <w:rPr>
          <w:rFonts w:hint="eastAsia" w:ascii="方正小标宋简体" w:hAnsi="方正小标宋简体" w:eastAsia="方正小标宋简体" w:cs="方正小标宋简体"/>
          <w:color w:val="auto"/>
          <w:kern w:val="2"/>
          <w:sz w:val="44"/>
          <w:szCs w:val="44"/>
        </w:rPr>
        <w:t>政府信息公开工作年度报告</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80" w:lineRule="exact"/>
        <w:jc w:val="center"/>
        <w:textAlignment w:val="auto"/>
        <w:rPr>
          <w:rFonts w:hint="default" w:ascii="Times New Roman" w:hAnsi="Times New Roman" w:eastAsia="方正小标宋简体" w:cs="Times New Roman"/>
          <w:color w:val="000000"/>
          <w:kern w:val="2"/>
          <w:sz w:val="44"/>
          <w:szCs w:val="44"/>
        </w:rPr>
      </w:pP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632" w:firstLineChars="200"/>
        <w:textAlignment w:val="auto"/>
        <w:rPr>
          <w:rFonts w:hint="eastAsia" w:ascii="仿宋_GB2312" w:hAnsi="仿宋_GB2312" w:eastAsia="仿宋_GB2312" w:cs="仿宋_GB2312"/>
          <w:b w:val="0"/>
          <w:bCs/>
          <w:color w:val="000000"/>
          <w:kern w:val="2"/>
          <w:sz w:val="32"/>
          <w:szCs w:val="32"/>
          <w:lang w:val="en-US" w:eastAsia="zh-CN"/>
        </w:rPr>
      </w:pPr>
      <w:r>
        <w:rPr>
          <w:rFonts w:hint="eastAsia" w:ascii="仿宋_GB2312" w:hAnsi="仿宋_GB2312" w:eastAsia="仿宋_GB2312" w:cs="仿宋_GB2312"/>
          <w:b w:val="0"/>
          <w:bCs/>
          <w:color w:val="000000"/>
          <w:kern w:val="2"/>
          <w:sz w:val="32"/>
          <w:szCs w:val="32"/>
          <w:lang w:val="en-US" w:eastAsia="zh-CN"/>
        </w:rPr>
        <w:t>本报告根据《中华人民共和国政府信息公开条例》（国务院令第711）、《福建省政府信息公开办法》（省政府令第134号）规定要求组织编制，报告主要包括：总体情况、主动公开政府信息情况、收到和处理政府信息公开申请情况、</w:t>
      </w:r>
      <w:r>
        <w:rPr>
          <w:rFonts w:hint="eastAsia" w:ascii="仿宋_GB2312" w:hAnsi="仿宋_GB2312" w:eastAsia="仿宋_GB2312" w:cs="仿宋_GB2312"/>
          <w:b w:val="0"/>
          <w:bCs/>
          <w:color w:val="000000"/>
          <w:spacing w:val="6"/>
          <w:kern w:val="2"/>
          <w:sz w:val="32"/>
          <w:szCs w:val="32"/>
          <w:lang w:val="en-US" w:eastAsia="zh-CN"/>
        </w:rPr>
        <w:t>因政府信息公开工作被申请行政复议、提起行政诉讼情况、存在问题及改进情况、</w:t>
      </w:r>
      <w:r>
        <w:rPr>
          <w:rFonts w:hint="eastAsia" w:ascii="仿宋_GB2312" w:hAnsi="仿宋_GB2312" w:eastAsia="仿宋_GB2312" w:cs="仿宋_GB2312"/>
          <w:b w:val="0"/>
          <w:bCs/>
          <w:color w:val="000000"/>
          <w:spacing w:val="-6"/>
          <w:kern w:val="2"/>
          <w:sz w:val="32"/>
          <w:szCs w:val="32"/>
          <w:lang w:val="en-US" w:eastAsia="zh-CN"/>
        </w:rPr>
        <w:t>其他需要报告的事项六部分。本报告统计数据期限为2021年1月1日至2021年12月31日。报告电子版可在上杭县人民政府网站下载</w:t>
      </w:r>
      <w:r>
        <w:rPr>
          <w:rFonts w:hint="eastAsia" w:ascii="仿宋_GB2312" w:hAnsi="仿宋_GB2312" w:eastAsia="仿宋_GB2312" w:cs="仿宋_GB2312"/>
          <w:b w:val="0"/>
          <w:bCs/>
          <w:color w:val="000000"/>
          <w:kern w:val="2"/>
          <w:sz w:val="32"/>
          <w:szCs w:val="32"/>
          <w:lang w:val="en-US" w:eastAsia="zh-CN"/>
        </w:rPr>
        <w:t>（http://www.shanghang.gov.cn/），如对报告有任何疑义，请与龙岩市上杭生态环境局办公室联系（地址：上杭县北环中路82号，电话：0597-3132378）。</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632" w:firstLineChars="200"/>
        <w:textAlignment w:val="auto"/>
        <w:rPr>
          <w:rFonts w:hint="eastAsia" w:ascii="仿宋_GB2312" w:hAnsi="仿宋_GB2312" w:eastAsia="仿宋_GB2312" w:cs="仿宋_GB2312"/>
          <w:b/>
          <w:color w:val="000000"/>
          <w:kern w:val="2"/>
          <w:sz w:val="32"/>
          <w:szCs w:val="32"/>
        </w:rPr>
      </w:pPr>
      <w:r>
        <w:rPr>
          <w:rFonts w:hint="eastAsia" w:ascii="黑体" w:hAnsi="黑体" w:eastAsia="黑体" w:cs="黑体"/>
          <w:b w:val="0"/>
          <w:bCs/>
          <w:color w:val="000000"/>
          <w:kern w:val="2"/>
          <w:sz w:val="32"/>
          <w:szCs w:val="32"/>
        </w:rPr>
        <w:t>一、总体情况</w:t>
      </w:r>
    </w:p>
    <w:p>
      <w:pPr>
        <w:keepNext w:val="0"/>
        <w:keepLines w:val="0"/>
        <w:pageBreakBefore w:val="0"/>
        <w:kinsoku/>
        <w:wordWrap/>
        <w:overflowPunct/>
        <w:topLinePunct w:val="0"/>
        <w:autoSpaceDE/>
        <w:autoSpaceDN/>
        <w:bidi w:val="0"/>
        <w:adjustRightInd/>
        <w:snapToGrid/>
        <w:spacing w:line="540" w:lineRule="exact"/>
        <w:ind w:firstLine="632" w:firstLineChars="200"/>
        <w:jc w:val="center"/>
        <w:textAlignment w:val="auto"/>
        <w:rPr>
          <w:rFonts w:hint="eastAsia" w:ascii="仿宋_GB2312" w:hAnsi="仿宋_GB2312" w:eastAsia="仿宋_GB2312" w:cs="仿宋_GB2312"/>
          <w:b w:val="0"/>
          <w:bCs/>
          <w:color w:val="000000"/>
          <w:kern w:val="2"/>
          <w:sz w:val="32"/>
          <w:szCs w:val="32"/>
          <w:lang w:val="en-US" w:eastAsia="zh-CN" w:bidi="ar-SA"/>
        </w:rPr>
      </w:pPr>
      <w:r>
        <w:rPr>
          <w:rFonts w:hint="eastAsia" w:ascii="仿宋_GB2312" w:hAnsi="仿宋_GB2312" w:eastAsia="仿宋_GB2312" w:cs="仿宋_GB2312"/>
          <w:b w:val="0"/>
          <w:bCs/>
          <w:color w:val="000000"/>
          <w:kern w:val="2"/>
          <w:sz w:val="32"/>
          <w:szCs w:val="32"/>
          <w:lang w:val="en-US" w:eastAsia="zh-CN" w:bidi="ar-SA"/>
        </w:rPr>
        <w:t>2021年我局积极抓好政务公开各项工作，全面贯彻落实《中华人民共和国政府信息公开条例》和《上杭县人民政府办公室关于印发2021年全县政务公开工作要点的通知》要求，加强信息发布工作，完善工作机制，进一步加大公开力度，不断增强政府信</w:t>
      </w:r>
    </w:p>
    <w:p>
      <w:pPr>
        <w:keepNext w:val="0"/>
        <w:keepLines w:val="0"/>
        <w:pageBreakBefore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b w:val="0"/>
          <w:bCs/>
          <w:color w:val="000000"/>
          <w:kern w:val="2"/>
          <w:sz w:val="32"/>
          <w:szCs w:val="32"/>
          <w:lang w:val="en-US" w:eastAsia="zh-CN" w:bidi="ar-SA"/>
        </w:rPr>
      </w:pPr>
      <w:r>
        <w:rPr>
          <w:rFonts w:hint="eastAsia" w:ascii="仿宋_GB2312" w:hAnsi="仿宋_GB2312" w:eastAsia="仿宋_GB2312" w:cs="仿宋_GB2312"/>
          <w:b w:val="0"/>
          <w:bCs/>
          <w:color w:val="000000"/>
          <w:kern w:val="2"/>
          <w:sz w:val="32"/>
          <w:szCs w:val="32"/>
          <w:lang w:val="en-US" w:eastAsia="zh-CN" w:bidi="ar-SA"/>
        </w:rPr>
        <w:t>息公开实效。</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32" w:firstLineChars="200"/>
        <w:textAlignment w:val="auto"/>
        <w:rPr>
          <w:rFonts w:hint="eastAsia" w:ascii="仿宋_GB2312" w:hAnsi="仿宋_GB2312" w:eastAsia="仿宋_GB2312" w:cs="仿宋_GB2312"/>
          <w:b w:val="0"/>
          <w:bCs w:val="0"/>
          <w:color w:val="000000"/>
          <w:kern w:val="2"/>
          <w:sz w:val="32"/>
          <w:szCs w:val="32"/>
          <w:lang w:val="en-US" w:eastAsia="zh-CN" w:bidi="ar-SA"/>
        </w:rPr>
      </w:pPr>
      <w:r>
        <w:rPr>
          <w:rFonts w:hint="eastAsia" w:ascii="楷体_GB2312" w:hAnsi="楷体_GB2312" w:eastAsia="楷体_GB2312" w:cs="楷体_GB2312"/>
          <w:b/>
          <w:bCs w:val="0"/>
          <w:color w:val="000000"/>
          <w:kern w:val="2"/>
          <w:sz w:val="32"/>
          <w:szCs w:val="32"/>
          <w:lang w:val="en-US" w:eastAsia="zh-CN" w:bidi="ar-SA"/>
        </w:rPr>
        <w:t>（一）政务公开工作落实情况。</w:t>
      </w:r>
      <w:r>
        <w:rPr>
          <w:rFonts w:hint="eastAsia" w:ascii="仿宋_GB2312" w:hAnsi="仿宋_GB2312" w:eastAsia="仿宋_GB2312" w:cs="仿宋_GB2312"/>
          <w:b/>
          <w:bCs/>
          <w:sz w:val="32"/>
          <w:szCs w:val="32"/>
          <w:lang w:val="en-US" w:eastAsia="zh-CN"/>
        </w:rPr>
        <w:t>一是</w:t>
      </w:r>
      <w:r>
        <w:rPr>
          <w:rFonts w:hint="eastAsia" w:ascii="仿宋_GB2312" w:hAnsi="仿宋_GB2312" w:eastAsia="仿宋_GB2312" w:cs="仿宋_GB2312"/>
          <w:b w:val="0"/>
          <w:bCs w:val="0"/>
          <w:sz w:val="32"/>
          <w:szCs w:val="32"/>
          <w:lang w:val="en-US" w:eastAsia="zh-CN"/>
        </w:rPr>
        <w:t>加强组织领导。进一步明确工作职责，充分发挥领导小组的作用，做到主要领导亲自抓，分管领导直接抓，工作中，由办公室牵头，各股室、站、队分工合作，密切配合，确保我局政务公开工作持续有效开展。</w:t>
      </w:r>
      <w:r>
        <w:rPr>
          <w:rFonts w:hint="eastAsia" w:ascii="仿宋_GB2312" w:hAnsi="仿宋_GB2312" w:eastAsia="仿宋_GB2312" w:cs="仿宋_GB2312"/>
          <w:b/>
          <w:bCs/>
          <w:sz w:val="32"/>
          <w:szCs w:val="32"/>
          <w:lang w:val="en-US" w:eastAsia="zh-CN"/>
        </w:rPr>
        <w:t>二是</w:t>
      </w:r>
      <w:r>
        <w:rPr>
          <w:rFonts w:hint="eastAsia" w:ascii="仿宋_GB2312" w:hAnsi="仿宋_GB2312" w:eastAsia="仿宋_GB2312" w:cs="仿宋_GB2312"/>
          <w:b w:val="0"/>
          <w:bCs w:val="0"/>
          <w:sz w:val="32"/>
          <w:szCs w:val="32"/>
          <w:lang w:val="en-US" w:eastAsia="zh-CN"/>
        </w:rPr>
        <w:t>不断健全和完善制度。制定《龙岩市上杭生态环境局政务公开工作实施方案》，进一步明确工作职责，理清公开范围和内容；建立并完善了信息发布常态化监测制度等确保政务公开安全，从制度上规范了政务公开工作。</w:t>
      </w:r>
      <w:r>
        <w:rPr>
          <w:rFonts w:hint="eastAsia" w:ascii="仿宋_GB2312" w:hAnsi="仿宋_GB2312" w:eastAsia="仿宋_GB2312" w:cs="仿宋_GB2312"/>
          <w:b/>
          <w:bCs/>
          <w:sz w:val="32"/>
          <w:szCs w:val="32"/>
          <w:lang w:val="en-US" w:eastAsia="zh-CN"/>
        </w:rPr>
        <w:t>三是</w:t>
      </w:r>
      <w:r>
        <w:rPr>
          <w:rFonts w:hint="eastAsia" w:ascii="仿宋_GB2312" w:hAnsi="仿宋_GB2312" w:eastAsia="仿宋_GB2312" w:cs="仿宋_GB2312"/>
          <w:b w:val="0"/>
          <w:bCs w:val="0"/>
          <w:sz w:val="32"/>
          <w:szCs w:val="32"/>
          <w:lang w:val="en-US" w:eastAsia="zh-CN"/>
        </w:rPr>
        <w:t>强化学习，提高业务水平。积极参加县政府组织召开的政务公开各项培训会议，积极组织学习《中华人民共和国政府信息公开条例》等政务公开相关条例，不断强化业务水平。</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632" w:firstLineChars="200"/>
        <w:textAlignment w:val="auto"/>
        <w:rPr>
          <w:rFonts w:hint="eastAsia" w:ascii="仿宋_GB2312" w:hAnsi="仿宋_GB2312" w:eastAsia="仿宋_GB2312" w:cs="仿宋_GB2312"/>
          <w:b w:val="0"/>
          <w:bCs/>
          <w:color w:val="000000"/>
          <w:kern w:val="2"/>
          <w:sz w:val="32"/>
          <w:szCs w:val="32"/>
          <w:lang w:val="en-US" w:eastAsia="zh-CN" w:bidi="ar-SA"/>
        </w:rPr>
      </w:pPr>
      <w:r>
        <w:rPr>
          <w:rFonts w:hint="eastAsia" w:ascii="楷体_GB2312" w:hAnsi="楷体_GB2312" w:eastAsia="楷体_GB2312" w:cs="楷体_GB2312"/>
          <w:b/>
          <w:bCs w:val="0"/>
          <w:color w:val="000000"/>
          <w:kern w:val="2"/>
          <w:sz w:val="32"/>
          <w:szCs w:val="32"/>
          <w:lang w:val="en-US" w:eastAsia="zh-CN" w:bidi="ar-SA"/>
        </w:rPr>
        <w:t>（二）主动公开政府信息情况。</w:t>
      </w:r>
      <w:r>
        <w:rPr>
          <w:rFonts w:hint="eastAsia" w:ascii="仿宋_GB2312" w:hAnsi="仿宋_GB2312" w:eastAsia="仿宋_GB2312" w:cs="仿宋_GB2312"/>
          <w:b w:val="0"/>
          <w:bCs/>
          <w:color w:val="000000"/>
          <w:kern w:val="2"/>
          <w:sz w:val="32"/>
          <w:szCs w:val="32"/>
          <w:lang w:val="en-US" w:eastAsia="zh-CN" w:bidi="ar-SA"/>
        </w:rPr>
        <w:t>2021年，我局主动公开政府信息共305条。信息类别有：</w:t>
      </w:r>
      <w:r>
        <w:rPr>
          <w:rFonts w:hint="eastAsia" w:ascii="仿宋_GB2312" w:hAnsi="仿宋_GB2312" w:eastAsia="仿宋_GB2312" w:cs="仿宋_GB2312"/>
          <w:sz w:val="32"/>
          <w:szCs w:val="32"/>
          <w:lang w:val="en-US" w:eastAsia="zh-CN"/>
        </w:rPr>
        <w:t>重点污染源企业名录公示、各季度双随机抽查、建设项目环评审批受理及行政强制与处罚、水环境质量与空气环境质量，以及其他应公开的相关业务内容。</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632" w:firstLineChars="200"/>
        <w:textAlignment w:val="auto"/>
        <w:rPr>
          <w:rFonts w:hint="eastAsia" w:ascii="仿宋_GB2312" w:hAnsi="仿宋_GB2312" w:eastAsia="仿宋_GB2312" w:cs="仿宋_GB2312"/>
          <w:b w:val="0"/>
          <w:bCs/>
          <w:color w:val="000000"/>
          <w:kern w:val="2"/>
          <w:sz w:val="32"/>
          <w:szCs w:val="32"/>
          <w:lang w:val="en-US" w:eastAsia="zh-CN" w:bidi="ar-SA"/>
        </w:rPr>
      </w:pPr>
      <w:r>
        <w:rPr>
          <w:rFonts w:hint="eastAsia" w:ascii="楷体_GB2312" w:hAnsi="楷体_GB2312" w:eastAsia="楷体_GB2312" w:cs="楷体_GB2312"/>
          <w:b/>
          <w:bCs w:val="0"/>
          <w:color w:val="000000"/>
          <w:kern w:val="2"/>
          <w:sz w:val="32"/>
          <w:szCs w:val="32"/>
          <w:lang w:val="en-US" w:eastAsia="zh-CN" w:bidi="ar-SA"/>
        </w:rPr>
        <w:t>（三）依申请公开情况。</w:t>
      </w:r>
      <w:r>
        <w:rPr>
          <w:rFonts w:hint="eastAsia" w:ascii="仿宋_GB2312" w:hAnsi="仿宋_GB2312" w:eastAsia="仿宋_GB2312" w:cs="仿宋_GB2312"/>
          <w:b w:val="0"/>
          <w:bCs/>
          <w:color w:val="000000"/>
          <w:kern w:val="2"/>
          <w:sz w:val="32"/>
          <w:szCs w:val="32"/>
          <w:lang w:val="en-US" w:eastAsia="zh-CN" w:bidi="ar-SA"/>
        </w:rPr>
        <w:t>2021年，我局未收到依申请公开政府信息，没有办理依申请公开答复。</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632" w:firstLineChars="200"/>
        <w:textAlignment w:val="auto"/>
        <w:rPr>
          <w:rFonts w:hint="eastAsia" w:ascii="仿宋_GB2312" w:hAnsi="仿宋_GB2312" w:eastAsia="仿宋_GB2312" w:cs="仿宋_GB2312"/>
          <w:b w:val="0"/>
          <w:bCs/>
          <w:color w:val="000000"/>
          <w:kern w:val="2"/>
          <w:sz w:val="32"/>
          <w:szCs w:val="32"/>
          <w:lang w:val="en-US" w:eastAsia="zh-CN" w:bidi="ar-SA"/>
        </w:rPr>
      </w:pPr>
      <w:r>
        <w:rPr>
          <w:rFonts w:hint="eastAsia" w:ascii="楷体_GB2312" w:hAnsi="楷体_GB2312" w:eastAsia="楷体_GB2312" w:cs="楷体_GB2312"/>
          <w:b/>
          <w:bCs w:val="0"/>
          <w:color w:val="000000"/>
          <w:kern w:val="2"/>
          <w:sz w:val="32"/>
          <w:szCs w:val="32"/>
          <w:lang w:val="en-US" w:eastAsia="zh-CN" w:bidi="ar-SA"/>
        </w:rPr>
        <w:t>（四）政府信息管理。</w:t>
      </w:r>
      <w:r>
        <w:rPr>
          <w:rFonts w:hint="eastAsia" w:ascii="仿宋_GB2312" w:hAnsi="仿宋_GB2312" w:eastAsia="仿宋_GB2312" w:cs="仿宋_GB2312"/>
          <w:b w:val="0"/>
          <w:bCs/>
          <w:color w:val="000000"/>
          <w:kern w:val="2"/>
          <w:sz w:val="32"/>
          <w:szCs w:val="32"/>
          <w:lang w:val="en-US" w:eastAsia="zh-CN" w:bidi="ar-SA"/>
        </w:rPr>
        <w:t>严格按照《中华人民共和国政府信息公开条例》规定要求，认真落实《上杭县人民政府办公室关于印发2021年全县政务公开工作要点的通知》内容，制定《龙岩市上杭生态环境局落实2021年政务公开工作要点实施方案》。</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632" w:firstLineChars="200"/>
        <w:textAlignment w:val="auto"/>
        <w:rPr>
          <w:rFonts w:hint="eastAsia" w:ascii="仿宋_GB2312" w:hAnsi="仿宋_GB2312" w:eastAsia="仿宋_GB2312" w:cs="仿宋_GB2312"/>
          <w:b w:val="0"/>
          <w:bCs/>
          <w:color w:val="000000"/>
          <w:kern w:val="2"/>
          <w:sz w:val="32"/>
          <w:szCs w:val="32"/>
          <w:lang w:val="en-US" w:eastAsia="zh-CN" w:bidi="ar-SA"/>
        </w:rPr>
      </w:pPr>
      <w:r>
        <w:rPr>
          <w:rFonts w:hint="eastAsia" w:ascii="楷体_GB2312" w:hAnsi="楷体_GB2312" w:eastAsia="楷体_GB2312" w:cs="楷体_GB2312"/>
          <w:b/>
          <w:bCs w:val="0"/>
          <w:color w:val="000000"/>
          <w:kern w:val="2"/>
          <w:sz w:val="32"/>
          <w:szCs w:val="32"/>
          <w:lang w:val="en-US" w:eastAsia="zh-CN" w:bidi="ar-SA"/>
        </w:rPr>
        <w:t>（五）平台建设。</w:t>
      </w:r>
      <w:r>
        <w:rPr>
          <w:rFonts w:hint="eastAsia" w:ascii="仿宋_GB2312" w:hAnsi="仿宋_GB2312" w:eastAsia="仿宋_GB2312" w:cs="仿宋_GB2312"/>
          <w:b w:val="0"/>
          <w:bCs/>
          <w:color w:val="000000"/>
          <w:kern w:val="2"/>
          <w:sz w:val="32"/>
          <w:szCs w:val="32"/>
          <w:lang w:val="en-US" w:eastAsia="zh-CN" w:bidi="ar-SA"/>
        </w:rPr>
        <w:t>按照县委、县政府的统一部署，我局门户网站设置五个栏目（机构职能、政务公开、政府信息公开、污染源环境监管信息公开、环评审批），下设21个子栏目。并根据《上杭县人民政府办公室关于印发上杭县政务公开标准化规范化工作实施方案的通知》（杭政办〔2020〕48号）要求，按照权责清单于2020年11月份编制我局基层政务公开标准目录。能通过平台及时更新生态环境工作实时动态，丰富平台信息资源。</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632" w:firstLineChars="200"/>
        <w:textAlignment w:val="auto"/>
        <w:rPr>
          <w:rFonts w:hint="default" w:ascii="仿宋_GB2312" w:hAnsi="仿宋_GB2312" w:eastAsia="仿宋_GB2312" w:cs="仿宋_GB2312"/>
          <w:b w:val="0"/>
          <w:bCs/>
          <w:color w:val="000000"/>
          <w:kern w:val="2"/>
          <w:sz w:val="32"/>
          <w:szCs w:val="32"/>
          <w:lang w:val="en-US" w:eastAsia="zh-CN" w:bidi="ar-SA"/>
        </w:rPr>
      </w:pPr>
      <w:r>
        <w:rPr>
          <w:rFonts w:hint="eastAsia" w:ascii="楷体_GB2312" w:hAnsi="楷体_GB2312" w:eastAsia="楷体_GB2312" w:cs="楷体_GB2312"/>
          <w:b/>
          <w:bCs w:val="0"/>
          <w:color w:val="000000"/>
          <w:kern w:val="2"/>
          <w:sz w:val="32"/>
          <w:szCs w:val="32"/>
          <w:lang w:val="en-US" w:eastAsia="zh-CN" w:bidi="ar-SA"/>
        </w:rPr>
        <w:t>（六）监督保障。</w:t>
      </w:r>
      <w:r>
        <w:rPr>
          <w:rFonts w:hint="eastAsia" w:ascii="仿宋_GB2312" w:hAnsi="仿宋_GB2312" w:eastAsia="仿宋_GB2312" w:cs="仿宋_GB2312"/>
          <w:b/>
          <w:bCs w:val="0"/>
          <w:color w:val="000000"/>
          <w:kern w:val="2"/>
          <w:sz w:val="32"/>
          <w:szCs w:val="32"/>
          <w:lang w:val="en-US" w:eastAsia="zh-CN" w:bidi="ar-SA"/>
        </w:rPr>
        <w:t>一是</w:t>
      </w:r>
      <w:r>
        <w:rPr>
          <w:rFonts w:hint="eastAsia" w:ascii="仿宋_GB2312" w:hAnsi="仿宋_GB2312" w:eastAsia="仿宋_GB2312" w:cs="仿宋_GB2312"/>
          <w:b w:val="0"/>
          <w:bCs/>
          <w:color w:val="000000"/>
          <w:kern w:val="2"/>
          <w:sz w:val="32"/>
          <w:szCs w:val="32"/>
          <w:lang w:val="en-US" w:eastAsia="zh-CN" w:bidi="ar-SA"/>
        </w:rPr>
        <w:t>严格落实工作考核机制。按照政务公开考评细则，认真做好各项指标的自查自评工作；</w:t>
      </w:r>
      <w:r>
        <w:rPr>
          <w:rFonts w:hint="eastAsia" w:ascii="仿宋_GB2312" w:hAnsi="仿宋_GB2312" w:eastAsia="仿宋_GB2312" w:cs="仿宋_GB2312"/>
          <w:b/>
          <w:bCs w:val="0"/>
          <w:color w:val="000000"/>
          <w:kern w:val="2"/>
          <w:sz w:val="32"/>
          <w:szCs w:val="32"/>
          <w:lang w:val="en-US" w:eastAsia="zh-CN" w:bidi="ar-SA"/>
        </w:rPr>
        <w:t>二是</w:t>
      </w:r>
      <w:r>
        <w:rPr>
          <w:rFonts w:hint="eastAsia" w:ascii="仿宋_GB2312" w:hAnsi="仿宋_GB2312" w:eastAsia="仿宋_GB2312" w:cs="仿宋_GB2312"/>
          <w:b w:val="0"/>
          <w:bCs/>
          <w:color w:val="000000"/>
          <w:kern w:val="2"/>
          <w:sz w:val="32"/>
          <w:szCs w:val="32"/>
          <w:lang w:val="en-US" w:eastAsia="zh-CN" w:bidi="ar-SA"/>
        </w:rPr>
        <w:t>充分发挥社会监督、评议作用。通过投诉举报热线、意见箱、办事服务等方式，广泛听取人民群众的意见和建议；</w:t>
      </w:r>
      <w:r>
        <w:rPr>
          <w:rFonts w:hint="eastAsia" w:ascii="仿宋_GB2312" w:hAnsi="仿宋_GB2312" w:eastAsia="仿宋_GB2312" w:cs="仿宋_GB2312"/>
          <w:b/>
          <w:bCs w:val="0"/>
          <w:color w:val="000000"/>
          <w:kern w:val="2"/>
          <w:sz w:val="32"/>
          <w:szCs w:val="32"/>
          <w:lang w:val="en-US" w:eastAsia="zh-CN" w:bidi="ar-SA"/>
        </w:rPr>
        <w:t>三是</w:t>
      </w:r>
      <w:r>
        <w:rPr>
          <w:rFonts w:hint="eastAsia" w:ascii="仿宋_GB2312" w:hAnsi="仿宋_GB2312" w:eastAsia="仿宋_GB2312" w:cs="仿宋_GB2312"/>
          <w:b w:val="0"/>
          <w:bCs/>
          <w:color w:val="000000"/>
          <w:kern w:val="2"/>
          <w:sz w:val="32"/>
          <w:szCs w:val="32"/>
          <w:lang w:val="en-US" w:eastAsia="zh-CN" w:bidi="ar-SA"/>
        </w:rPr>
        <w:t>责任追究结果情况。按照“谁起草谁负责、先审查再公开”的原则，严格规范公开程序，做好保密审查工作，确保不出现失密泄密问题。</w:t>
      </w:r>
    </w:p>
    <w:p>
      <w:pPr>
        <w:pStyle w:val="6"/>
        <w:keepNext w:val="0"/>
        <w:keepLines w:val="0"/>
        <w:pageBreakBefore w:val="0"/>
        <w:widowControl/>
        <w:kinsoku/>
        <w:wordWrap/>
        <w:overflowPunct/>
        <w:topLinePunct w:val="0"/>
        <w:autoSpaceDE/>
        <w:autoSpaceDN/>
        <w:bidi w:val="0"/>
        <w:adjustRightInd/>
        <w:snapToGrid/>
        <w:spacing w:before="0" w:beforeAutospacing="0" w:after="0" w:afterAutospacing="0" w:line="540" w:lineRule="exact"/>
        <w:ind w:firstLine="632" w:firstLineChars="200"/>
        <w:textAlignment w:val="auto"/>
        <w:rPr>
          <w:rFonts w:hint="default" w:ascii="黑体" w:hAnsi="黑体" w:eastAsia="黑体" w:cs="黑体"/>
          <w:b w:val="0"/>
          <w:bCs/>
          <w:color w:val="000000"/>
          <w:kern w:val="2"/>
          <w:sz w:val="32"/>
          <w:szCs w:val="32"/>
        </w:rPr>
      </w:pPr>
      <w:r>
        <w:rPr>
          <w:rFonts w:hint="default" w:ascii="黑体" w:hAnsi="黑体" w:eastAsia="黑体" w:cs="黑体"/>
          <w:b w:val="0"/>
          <w:bCs/>
          <w:color w:val="000000"/>
          <w:kern w:val="2"/>
          <w:sz w:val="32"/>
          <w:szCs w:val="32"/>
        </w:rPr>
        <w:t>二、主动公开政府信息情况</w:t>
      </w:r>
    </w:p>
    <w:tbl>
      <w:tblPr>
        <w:tblStyle w:val="7"/>
        <w:tblW w:w="922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2302"/>
        <w:gridCol w:w="2130"/>
        <w:gridCol w:w="2392"/>
        <w:gridCol w:w="2396"/>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9" w:hRule="atLeast"/>
          <w:jc w:val="center"/>
        </w:trPr>
        <w:tc>
          <w:tcPr>
            <w:tcW w:w="9220" w:type="dxa"/>
            <w:gridSpan w:val="4"/>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第二十条第（一）项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9" w:hRule="atLeast"/>
          <w:jc w:val="center"/>
        </w:trPr>
        <w:tc>
          <w:tcPr>
            <w:tcW w:w="2302" w:type="dxa"/>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信息内容</w:t>
            </w:r>
          </w:p>
        </w:tc>
        <w:tc>
          <w:tcPr>
            <w:tcW w:w="2130" w:type="dxa"/>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本年制发件数</w:t>
            </w:r>
          </w:p>
        </w:tc>
        <w:tc>
          <w:tcPr>
            <w:tcW w:w="2392" w:type="dxa"/>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本年废止件数</w:t>
            </w:r>
          </w:p>
        </w:tc>
        <w:tc>
          <w:tcPr>
            <w:tcW w:w="2396" w:type="dxa"/>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现行有效件数</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9" w:hRule="atLeast"/>
          <w:jc w:val="center"/>
        </w:trPr>
        <w:tc>
          <w:tcPr>
            <w:tcW w:w="2302" w:type="dxa"/>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规章</w:t>
            </w:r>
          </w:p>
        </w:tc>
        <w:tc>
          <w:tcPr>
            <w:tcW w:w="2130" w:type="dxa"/>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c>
          <w:tcPr>
            <w:tcW w:w="2392" w:type="dxa"/>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c>
          <w:tcPr>
            <w:tcW w:w="2396" w:type="dxa"/>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9" w:hRule="atLeast"/>
          <w:jc w:val="center"/>
        </w:trPr>
        <w:tc>
          <w:tcPr>
            <w:tcW w:w="2302" w:type="dxa"/>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行政规范性文件</w:t>
            </w:r>
          </w:p>
        </w:tc>
        <w:tc>
          <w:tcPr>
            <w:tcW w:w="2130" w:type="dxa"/>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c>
          <w:tcPr>
            <w:tcW w:w="2392" w:type="dxa"/>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c>
          <w:tcPr>
            <w:tcW w:w="2396" w:type="dxa"/>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11</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9" w:hRule="atLeast"/>
          <w:jc w:val="center"/>
        </w:trPr>
        <w:tc>
          <w:tcPr>
            <w:tcW w:w="9220" w:type="dxa"/>
            <w:gridSpan w:val="4"/>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第二十条第（五）项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9" w:hRule="atLeast"/>
          <w:jc w:val="center"/>
        </w:trPr>
        <w:tc>
          <w:tcPr>
            <w:tcW w:w="2302" w:type="dxa"/>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信息内容</w:t>
            </w:r>
          </w:p>
        </w:tc>
        <w:tc>
          <w:tcPr>
            <w:tcW w:w="6918" w:type="dxa"/>
            <w:gridSpan w:val="3"/>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本年处理决定数量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9" w:hRule="atLeast"/>
          <w:jc w:val="center"/>
        </w:trPr>
        <w:tc>
          <w:tcPr>
            <w:tcW w:w="2302" w:type="dxa"/>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行政许可</w:t>
            </w:r>
          </w:p>
        </w:tc>
        <w:tc>
          <w:tcPr>
            <w:tcW w:w="6918" w:type="dxa"/>
            <w:gridSpan w:val="3"/>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112</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9" w:hRule="atLeast"/>
          <w:jc w:val="center"/>
        </w:trPr>
        <w:tc>
          <w:tcPr>
            <w:tcW w:w="9220" w:type="dxa"/>
            <w:gridSpan w:val="4"/>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第二十条第（六）项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9" w:hRule="atLeast"/>
          <w:jc w:val="center"/>
        </w:trPr>
        <w:tc>
          <w:tcPr>
            <w:tcW w:w="2302" w:type="dxa"/>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信息内容</w:t>
            </w:r>
          </w:p>
        </w:tc>
        <w:tc>
          <w:tcPr>
            <w:tcW w:w="6918" w:type="dxa"/>
            <w:gridSpan w:val="3"/>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本年处理决定数量</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9" w:hRule="atLeast"/>
          <w:jc w:val="center"/>
        </w:trPr>
        <w:tc>
          <w:tcPr>
            <w:tcW w:w="2302" w:type="dxa"/>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行政处罚</w:t>
            </w:r>
          </w:p>
        </w:tc>
        <w:tc>
          <w:tcPr>
            <w:tcW w:w="6918" w:type="dxa"/>
            <w:gridSpan w:val="3"/>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30</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55" w:hRule="atLeast"/>
          <w:jc w:val="center"/>
        </w:trPr>
        <w:tc>
          <w:tcPr>
            <w:tcW w:w="2302" w:type="dxa"/>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行政强制</w:t>
            </w:r>
          </w:p>
        </w:tc>
        <w:tc>
          <w:tcPr>
            <w:tcW w:w="6918" w:type="dxa"/>
            <w:gridSpan w:val="3"/>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3</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59" w:hRule="atLeast"/>
          <w:jc w:val="center"/>
        </w:trPr>
        <w:tc>
          <w:tcPr>
            <w:tcW w:w="9220" w:type="dxa"/>
            <w:gridSpan w:val="4"/>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第二十条第（八）项</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79" w:hRule="atLeast"/>
          <w:jc w:val="center"/>
        </w:trPr>
        <w:tc>
          <w:tcPr>
            <w:tcW w:w="2302" w:type="dxa"/>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信息内容</w:t>
            </w:r>
          </w:p>
        </w:tc>
        <w:tc>
          <w:tcPr>
            <w:tcW w:w="6918" w:type="dxa"/>
            <w:gridSpan w:val="3"/>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本年收费金额（单位：万元）</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82" w:hRule="atLeast"/>
          <w:jc w:val="center"/>
        </w:trPr>
        <w:tc>
          <w:tcPr>
            <w:tcW w:w="2302" w:type="dxa"/>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行政事业性收费</w:t>
            </w:r>
          </w:p>
        </w:tc>
        <w:tc>
          <w:tcPr>
            <w:tcW w:w="6918" w:type="dxa"/>
            <w:gridSpan w:val="3"/>
            <w:tcBorders>
              <w:tl2br w:val="nil"/>
              <w:tr2bl w:val="nil"/>
            </w:tcBorders>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r>
    </w:tbl>
    <w:p>
      <w:pPr>
        <w:keepNext w:val="0"/>
        <w:keepLines w:val="0"/>
        <w:pageBreakBefore w:val="0"/>
        <w:widowControl/>
        <w:shd w:val="clear" w:color="auto" w:fill="FFFFFF"/>
        <w:kinsoku/>
        <w:wordWrap/>
        <w:overflowPunct/>
        <w:topLinePunct w:val="0"/>
        <w:autoSpaceDE/>
        <w:autoSpaceDN/>
        <w:bidi w:val="0"/>
        <w:adjustRightInd/>
        <w:snapToGrid/>
        <w:ind w:firstLine="316" w:firstLineChars="100"/>
        <w:textAlignment w:val="auto"/>
        <w:rPr>
          <w:rFonts w:hint="eastAsia" w:ascii="黑体" w:hAnsi="黑体" w:eastAsia="黑体" w:cs="黑体"/>
          <w:b w:val="0"/>
          <w:bCs/>
          <w:color w:val="000000"/>
          <w:kern w:val="2"/>
          <w:sz w:val="32"/>
          <w:szCs w:val="32"/>
          <w:lang w:val="en-US" w:eastAsia="zh-CN" w:bidi="ar-SA"/>
        </w:rPr>
      </w:pPr>
      <w:r>
        <w:rPr>
          <w:rFonts w:hint="eastAsia" w:ascii="黑体" w:hAnsi="黑体" w:eastAsia="黑体" w:cs="黑体"/>
          <w:b w:val="0"/>
          <w:bCs/>
          <w:color w:val="000000"/>
          <w:kern w:val="2"/>
          <w:sz w:val="32"/>
          <w:szCs w:val="32"/>
          <w:lang w:val="en-US" w:eastAsia="zh-CN" w:bidi="ar-SA"/>
        </w:rPr>
        <w:t>三、收到和处理政府信息公开申请情况</w:t>
      </w:r>
    </w:p>
    <w:tbl>
      <w:tblPr>
        <w:tblStyle w:val="7"/>
        <w:tblW w:w="9679"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58"/>
        <w:gridCol w:w="1067"/>
        <w:gridCol w:w="2918"/>
        <w:gridCol w:w="716"/>
        <w:gridCol w:w="797"/>
        <w:gridCol w:w="679"/>
        <w:gridCol w:w="679"/>
        <w:gridCol w:w="679"/>
        <w:gridCol w:w="698"/>
        <w:gridCol w:w="68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1" w:hRule="atLeast"/>
          <w:jc w:val="center"/>
        </w:trPr>
        <w:tc>
          <w:tcPr>
            <w:tcW w:w="4743" w:type="dxa"/>
            <w:gridSpan w:val="3"/>
            <w:vMerge w:val="restart"/>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（本列数据的勾稽关系为：第一项加第二项之和，等于第三项加第四项之和）</w:t>
            </w:r>
          </w:p>
        </w:tc>
        <w:tc>
          <w:tcPr>
            <w:tcW w:w="4936" w:type="dxa"/>
            <w:gridSpan w:val="7"/>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申请人情况</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6" w:hRule="atLeast"/>
          <w:jc w:val="center"/>
        </w:trPr>
        <w:tc>
          <w:tcPr>
            <w:tcW w:w="4743" w:type="dxa"/>
            <w:gridSpan w:val="3"/>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716" w:type="dxa"/>
            <w:vMerge w:val="restart"/>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自然人</w:t>
            </w:r>
          </w:p>
        </w:tc>
        <w:tc>
          <w:tcPr>
            <w:tcW w:w="3532" w:type="dxa"/>
            <w:gridSpan w:val="5"/>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法人或其他组织</w:t>
            </w:r>
          </w:p>
        </w:tc>
        <w:tc>
          <w:tcPr>
            <w:tcW w:w="688" w:type="dxa"/>
            <w:vMerge w:val="restart"/>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总计</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02" w:hRule="atLeast"/>
          <w:jc w:val="center"/>
        </w:trPr>
        <w:tc>
          <w:tcPr>
            <w:tcW w:w="4743" w:type="dxa"/>
            <w:gridSpan w:val="3"/>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716"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商业</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企业</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科研</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机构</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社会公益组织</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法律服务机构</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其他</w:t>
            </w:r>
          </w:p>
        </w:tc>
        <w:tc>
          <w:tcPr>
            <w:tcW w:w="68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6" w:hRule="atLeast"/>
          <w:jc w:val="center"/>
        </w:trPr>
        <w:tc>
          <w:tcPr>
            <w:tcW w:w="4743" w:type="dxa"/>
            <w:gridSpan w:val="3"/>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一、本年新收政府信息公开申请数量</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6" w:hRule="atLeast"/>
          <w:jc w:val="center"/>
        </w:trPr>
        <w:tc>
          <w:tcPr>
            <w:tcW w:w="4743" w:type="dxa"/>
            <w:gridSpan w:val="3"/>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二、上年结转政府信息公开申请数量</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6" w:hRule="atLeast"/>
          <w:jc w:val="center"/>
        </w:trPr>
        <w:tc>
          <w:tcPr>
            <w:tcW w:w="758" w:type="dxa"/>
            <w:vMerge w:val="restart"/>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三、本年度办理结果</w:t>
            </w:r>
          </w:p>
        </w:tc>
        <w:tc>
          <w:tcPr>
            <w:tcW w:w="3985" w:type="dxa"/>
            <w:gridSpan w:val="2"/>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（一）予以公开</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44" w:hRule="atLeast"/>
          <w:jc w:val="center"/>
        </w:trPr>
        <w:tc>
          <w:tcPr>
            <w:tcW w:w="7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3985" w:type="dxa"/>
            <w:gridSpan w:val="2"/>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（二）部分公开（区分处理的，只计这一情形，不计其他情形）</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6" w:hRule="atLeast"/>
          <w:jc w:val="center"/>
        </w:trPr>
        <w:tc>
          <w:tcPr>
            <w:tcW w:w="7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1067" w:type="dxa"/>
            <w:vMerge w:val="restart"/>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（三）不予</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公开</w:t>
            </w:r>
          </w:p>
        </w:tc>
        <w:tc>
          <w:tcPr>
            <w:tcW w:w="291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1.属于国家秘密</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13" w:hRule="atLeast"/>
          <w:jc w:val="center"/>
        </w:trPr>
        <w:tc>
          <w:tcPr>
            <w:tcW w:w="7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291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2.其他法律行政法规禁止公开</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6" w:hRule="atLeast"/>
          <w:jc w:val="center"/>
        </w:trPr>
        <w:tc>
          <w:tcPr>
            <w:tcW w:w="7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291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3.危及“三安全一稳定”</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6" w:hRule="atLeast"/>
          <w:jc w:val="center"/>
        </w:trPr>
        <w:tc>
          <w:tcPr>
            <w:tcW w:w="7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291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4.保护第三方合法权益</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83" w:hRule="atLeast"/>
          <w:jc w:val="center"/>
        </w:trPr>
        <w:tc>
          <w:tcPr>
            <w:tcW w:w="7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291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5.属于三类内部事务信息</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6" w:hRule="atLeast"/>
          <w:jc w:val="center"/>
        </w:trPr>
        <w:tc>
          <w:tcPr>
            <w:tcW w:w="7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291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6.属于四类过程性信息</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6" w:hRule="atLeast"/>
          <w:jc w:val="center"/>
        </w:trPr>
        <w:tc>
          <w:tcPr>
            <w:tcW w:w="7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291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7.属于行政执法案卷</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6" w:hRule="atLeast"/>
          <w:jc w:val="center"/>
        </w:trPr>
        <w:tc>
          <w:tcPr>
            <w:tcW w:w="7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291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8.属于行政查询事项</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28" w:hRule="atLeast"/>
          <w:jc w:val="center"/>
        </w:trPr>
        <w:tc>
          <w:tcPr>
            <w:tcW w:w="7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1067" w:type="dxa"/>
            <w:vMerge w:val="restart"/>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（四）无法</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提供</w:t>
            </w:r>
          </w:p>
        </w:tc>
        <w:tc>
          <w:tcPr>
            <w:tcW w:w="291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1.本机关不掌握相关政府信息</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98" w:hRule="atLeast"/>
          <w:jc w:val="center"/>
        </w:trPr>
        <w:tc>
          <w:tcPr>
            <w:tcW w:w="7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291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2.没有现成信息需要另行制作</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68" w:hRule="atLeast"/>
          <w:jc w:val="center"/>
        </w:trPr>
        <w:tc>
          <w:tcPr>
            <w:tcW w:w="7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291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3.补正后申请内容仍不明确</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7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1067" w:type="dxa"/>
            <w:vMerge w:val="restart"/>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（五）不予</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处理</w:t>
            </w:r>
          </w:p>
        </w:tc>
        <w:tc>
          <w:tcPr>
            <w:tcW w:w="291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1.信访举报投诉类申请</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10" w:hRule="atLeast"/>
          <w:jc w:val="center"/>
        </w:trPr>
        <w:tc>
          <w:tcPr>
            <w:tcW w:w="7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291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2.重复申请</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6" w:hRule="atLeast"/>
          <w:jc w:val="center"/>
        </w:trPr>
        <w:tc>
          <w:tcPr>
            <w:tcW w:w="7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291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3.要求提供公开出版物</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78" w:hRule="atLeast"/>
          <w:jc w:val="center"/>
        </w:trPr>
        <w:tc>
          <w:tcPr>
            <w:tcW w:w="7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291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4.无正当理由大量反复申请</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15" w:hRule="atLeast"/>
          <w:jc w:val="center"/>
        </w:trPr>
        <w:tc>
          <w:tcPr>
            <w:tcW w:w="7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291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5.要求行政机关确认或重新出具已获取信息</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01" w:hRule="atLeast"/>
          <w:jc w:val="center"/>
        </w:trPr>
        <w:tc>
          <w:tcPr>
            <w:tcW w:w="7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1067" w:type="dxa"/>
            <w:vMerge w:val="restart"/>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（六）其他</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处理</w:t>
            </w:r>
          </w:p>
        </w:tc>
        <w:tc>
          <w:tcPr>
            <w:tcW w:w="291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1.申请人无正当理由逾期不补正、行政机关不再处理其政府信息公开申请</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78" w:hRule="atLeast"/>
          <w:jc w:val="center"/>
        </w:trPr>
        <w:tc>
          <w:tcPr>
            <w:tcW w:w="7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291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2.申请人逾期未按收费通知要求缴纳费用、行政机关不再处理其政府信息公开申请</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6" w:hRule="atLeast"/>
          <w:jc w:val="center"/>
        </w:trPr>
        <w:tc>
          <w:tcPr>
            <w:tcW w:w="7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106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291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3.其他</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1" w:hRule="atLeast"/>
          <w:jc w:val="center"/>
        </w:trPr>
        <w:tc>
          <w:tcPr>
            <w:tcW w:w="758"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3985" w:type="dxa"/>
            <w:gridSpan w:val="2"/>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（七）总计</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01" w:hRule="atLeast"/>
          <w:jc w:val="center"/>
        </w:trPr>
        <w:tc>
          <w:tcPr>
            <w:tcW w:w="4743" w:type="dxa"/>
            <w:gridSpan w:val="3"/>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left"/>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四、结转下年度继续办理</w:t>
            </w:r>
          </w:p>
        </w:tc>
        <w:tc>
          <w:tcPr>
            <w:tcW w:w="716"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797"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79"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9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c>
          <w:tcPr>
            <w:tcW w:w="688" w:type="dxa"/>
            <w:noWrap w:val="0"/>
            <w:tcMar>
              <w:top w:w="0" w:type="dxa"/>
              <w:left w:w="57" w:type="dxa"/>
              <w:bottom w:w="0" w:type="dxa"/>
              <w:right w:w="57"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0</w:t>
            </w:r>
          </w:p>
        </w:tc>
      </w:tr>
    </w:tbl>
    <w:p>
      <w:pPr>
        <w:widowControl/>
        <w:shd w:val="clear" w:color="auto" w:fill="FFFFFF"/>
        <w:ind w:firstLine="200"/>
        <w:rPr>
          <w:rFonts w:hint="eastAsia" w:ascii="黑体" w:hAnsi="黑体" w:eastAsia="黑体" w:cs="黑体"/>
          <w:b w:val="0"/>
          <w:bCs/>
          <w:color w:val="000000"/>
          <w:kern w:val="2"/>
          <w:sz w:val="32"/>
          <w:szCs w:val="32"/>
          <w:lang w:val="en-US" w:eastAsia="zh-CN" w:bidi="ar-SA"/>
        </w:rPr>
      </w:pPr>
      <w:r>
        <w:rPr>
          <w:rFonts w:hint="eastAsia" w:ascii="黑体" w:hAnsi="黑体" w:eastAsia="黑体" w:cs="黑体"/>
          <w:b w:val="0"/>
          <w:bCs/>
          <w:color w:val="000000"/>
          <w:kern w:val="2"/>
          <w:sz w:val="32"/>
          <w:szCs w:val="32"/>
          <w:lang w:val="en-US" w:eastAsia="zh-CN" w:bidi="ar-SA"/>
        </w:rPr>
        <w:t>四、政府信息公开行政复议、行政诉讼情况</w:t>
      </w:r>
    </w:p>
    <w:tbl>
      <w:tblPr>
        <w:tblStyle w:val="7"/>
        <w:tblW w:w="9739" w:type="dxa"/>
        <w:jc w:val="center"/>
        <w:tblLayout w:type="autofit"/>
        <w:tblCellMar>
          <w:top w:w="0" w:type="dxa"/>
          <w:left w:w="0" w:type="dxa"/>
          <w:bottom w:w="0" w:type="dxa"/>
          <w:right w:w="0" w:type="dxa"/>
        </w:tblCellMar>
      </w:tblPr>
      <w:tblGrid>
        <w:gridCol w:w="644"/>
        <w:gridCol w:w="644"/>
        <w:gridCol w:w="644"/>
        <w:gridCol w:w="644"/>
        <w:gridCol w:w="663"/>
        <w:gridCol w:w="644"/>
        <w:gridCol w:w="644"/>
        <w:gridCol w:w="645"/>
        <w:gridCol w:w="645"/>
        <w:gridCol w:w="664"/>
        <w:gridCol w:w="646"/>
        <w:gridCol w:w="646"/>
        <w:gridCol w:w="646"/>
        <w:gridCol w:w="646"/>
        <w:gridCol w:w="674"/>
      </w:tblGrid>
      <w:tr>
        <w:tblPrEx>
          <w:tblCellMar>
            <w:top w:w="0" w:type="dxa"/>
            <w:left w:w="0" w:type="dxa"/>
            <w:bottom w:w="0" w:type="dxa"/>
            <w:right w:w="0" w:type="dxa"/>
          </w:tblCellMar>
        </w:tblPrEx>
        <w:trPr>
          <w:trHeight w:val="466" w:hRule="atLeast"/>
          <w:jc w:val="center"/>
        </w:trPr>
        <w:tc>
          <w:tcPr>
            <w:tcW w:w="3239" w:type="dxa"/>
            <w:gridSpan w:val="5"/>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行政复议</w:t>
            </w:r>
          </w:p>
        </w:tc>
        <w:tc>
          <w:tcPr>
            <w:tcW w:w="6500" w:type="dxa"/>
            <w:gridSpan w:val="10"/>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行政诉讼</w:t>
            </w:r>
          </w:p>
        </w:tc>
      </w:tr>
      <w:tr>
        <w:tblPrEx>
          <w:tblCellMar>
            <w:top w:w="0" w:type="dxa"/>
            <w:left w:w="0" w:type="dxa"/>
            <w:bottom w:w="0" w:type="dxa"/>
            <w:right w:w="0" w:type="dxa"/>
          </w:tblCellMar>
        </w:tblPrEx>
        <w:trPr>
          <w:trHeight w:val="482" w:hRule="atLeast"/>
          <w:jc w:val="center"/>
        </w:trPr>
        <w:tc>
          <w:tcPr>
            <w:tcW w:w="644"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结果维持</w:t>
            </w:r>
          </w:p>
        </w:tc>
        <w:tc>
          <w:tcPr>
            <w:tcW w:w="644"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结果纠正</w:t>
            </w:r>
          </w:p>
        </w:tc>
        <w:tc>
          <w:tcPr>
            <w:tcW w:w="644" w:type="dxa"/>
            <w:vMerge w:val="restar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其他结果</w:t>
            </w:r>
          </w:p>
        </w:tc>
        <w:tc>
          <w:tcPr>
            <w:tcW w:w="644" w:type="dxa"/>
            <w:vMerge w:val="restar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尚未审结</w:t>
            </w:r>
          </w:p>
        </w:tc>
        <w:tc>
          <w:tcPr>
            <w:tcW w:w="663" w:type="dxa"/>
            <w:vMerge w:val="restart"/>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总计</w:t>
            </w:r>
          </w:p>
        </w:tc>
        <w:tc>
          <w:tcPr>
            <w:tcW w:w="3242" w:type="dxa"/>
            <w:gridSpan w:val="5"/>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未经复议直接起诉</w:t>
            </w:r>
          </w:p>
        </w:tc>
        <w:tc>
          <w:tcPr>
            <w:tcW w:w="3258" w:type="dxa"/>
            <w:gridSpan w:val="5"/>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复议后起诉</w:t>
            </w:r>
          </w:p>
        </w:tc>
      </w:tr>
      <w:tr>
        <w:tblPrEx>
          <w:tblCellMar>
            <w:top w:w="0" w:type="dxa"/>
            <w:left w:w="0" w:type="dxa"/>
            <w:bottom w:w="0" w:type="dxa"/>
            <w:right w:w="0" w:type="dxa"/>
          </w:tblCellMar>
        </w:tblPrEx>
        <w:trPr>
          <w:trHeight w:val="1404" w:hRule="atLeast"/>
          <w:jc w:val="center"/>
        </w:trPr>
        <w:tc>
          <w:tcPr>
            <w:tcW w:w="0" w:type="auto"/>
            <w:vMerge w:val="continue"/>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0" w:type="auto"/>
            <w:vMerge w:val="continue"/>
            <w:tcBorders>
              <w:top w:val="nil"/>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0" w:type="auto"/>
            <w:vMerge w:val="continue"/>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0" w:type="auto"/>
            <w:vMerge w:val="continue"/>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0" w:type="auto"/>
            <w:vMerge w:val="continue"/>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00"/>
              <w:jc w:val="center"/>
              <w:textAlignment w:val="auto"/>
              <w:rPr>
                <w:rFonts w:hint="eastAsia" w:ascii="仿宋_GB2312" w:hAnsi="仿宋_GB2312" w:eastAsia="仿宋_GB2312" w:cs="仿宋_GB2312"/>
                <w:color w:val="000000"/>
                <w:sz w:val="28"/>
                <w:szCs w:val="28"/>
              </w:rPr>
            </w:pPr>
          </w:p>
        </w:tc>
        <w:tc>
          <w:tcPr>
            <w:tcW w:w="6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结果维持</w:t>
            </w:r>
          </w:p>
        </w:tc>
        <w:tc>
          <w:tcPr>
            <w:tcW w:w="6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结果纠正</w:t>
            </w:r>
          </w:p>
        </w:tc>
        <w:tc>
          <w:tcPr>
            <w:tcW w:w="64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其他</w:t>
            </w:r>
            <w:r>
              <w:rPr>
                <w:rFonts w:hint="eastAsia" w:ascii="仿宋_GB2312" w:hAnsi="仿宋_GB2312" w:eastAsia="仿宋_GB2312" w:cs="仿宋_GB2312"/>
                <w:color w:val="000000"/>
                <w:sz w:val="28"/>
                <w:szCs w:val="28"/>
              </w:rPr>
              <w:br w:type="textWrapping"/>
            </w:r>
            <w:r>
              <w:rPr>
                <w:rFonts w:hint="eastAsia" w:ascii="仿宋_GB2312" w:hAnsi="仿宋_GB2312" w:eastAsia="仿宋_GB2312" w:cs="仿宋_GB2312"/>
                <w:color w:val="000000"/>
                <w:sz w:val="28"/>
                <w:szCs w:val="28"/>
              </w:rPr>
              <w:t>结果</w:t>
            </w:r>
          </w:p>
        </w:tc>
        <w:tc>
          <w:tcPr>
            <w:tcW w:w="645"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尚未审结</w:t>
            </w:r>
          </w:p>
        </w:tc>
        <w:tc>
          <w:tcPr>
            <w:tcW w:w="66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总计</w:t>
            </w:r>
          </w:p>
        </w:tc>
        <w:tc>
          <w:tcPr>
            <w:tcW w:w="646"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结果维持</w:t>
            </w:r>
          </w:p>
        </w:tc>
        <w:tc>
          <w:tcPr>
            <w:tcW w:w="646"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结果纠正</w:t>
            </w:r>
          </w:p>
        </w:tc>
        <w:tc>
          <w:tcPr>
            <w:tcW w:w="646"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其他结果</w:t>
            </w:r>
          </w:p>
        </w:tc>
        <w:tc>
          <w:tcPr>
            <w:tcW w:w="646"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尚未审结</w:t>
            </w:r>
          </w:p>
        </w:tc>
        <w:tc>
          <w:tcPr>
            <w:tcW w:w="674" w:type="dxa"/>
            <w:tcBorders>
              <w:top w:val="single" w:color="auto" w:sz="8" w:space="0"/>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总计</w:t>
            </w:r>
          </w:p>
        </w:tc>
      </w:tr>
      <w:tr>
        <w:tblPrEx>
          <w:tblCellMar>
            <w:top w:w="0" w:type="dxa"/>
            <w:left w:w="0" w:type="dxa"/>
            <w:bottom w:w="0" w:type="dxa"/>
            <w:right w:w="0" w:type="dxa"/>
          </w:tblCellMar>
        </w:tblPrEx>
        <w:trPr>
          <w:trHeight w:val="840" w:hRule="atLeast"/>
          <w:jc w:val="center"/>
        </w:trPr>
        <w:tc>
          <w:tcPr>
            <w:tcW w:w="6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c>
          <w:tcPr>
            <w:tcW w:w="6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c>
          <w:tcPr>
            <w:tcW w:w="6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c>
          <w:tcPr>
            <w:tcW w:w="6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c>
          <w:tcPr>
            <w:tcW w:w="663"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c>
          <w:tcPr>
            <w:tcW w:w="6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c>
          <w:tcPr>
            <w:tcW w:w="64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c>
          <w:tcPr>
            <w:tcW w:w="64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c>
          <w:tcPr>
            <w:tcW w:w="645"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c>
          <w:tcPr>
            <w:tcW w:w="66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c>
          <w:tcPr>
            <w:tcW w:w="64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c>
          <w:tcPr>
            <w:tcW w:w="64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c>
          <w:tcPr>
            <w:tcW w:w="64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c>
          <w:tcPr>
            <w:tcW w:w="64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c>
          <w:tcPr>
            <w:tcW w:w="674"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0</w:t>
            </w:r>
          </w:p>
        </w:tc>
      </w:tr>
    </w:tbl>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32" w:firstLineChars="200"/>
        <w:jc w:val="left"/>
        <w:textAlignment w:val="auto"/>
        <w:rPr>
          <w:rFonts w:hint="eastAsia" w:ascii="黑体" w:hAnsi="黑体" w:eastAsia="黑体" w:cs="黑体"/>
          <w:b w:val="0"/>
          <w:bCs/>
          <w:color w:val="000000"/>
          <w:kern w:val="2"/>
          <w:sz w:val="32"/>
          <w:szCs w:val="32"/>
          <w:lang w:val="en-US" w:eastAsia="zh-CN" w:bidi="ar-SA"/>
        </w:rPr>
      </w:pPr>
      <w:r>
        <w:rPr>
          <w:rFonts w:hint="eastAsia" w:ascii="黑体" w:hAnsi="黑体" w:eastAsia="黑体" w:cs="黑体"/>
          <w:b w:val="0"/>
          <w:bCs/>
          <w:color w:val="000000"/>
          <w:kern w:val="2"/>
          <w:sz w:val="32"/>
          <w:szCs w:val="32"/>
          <w:lang w:val="en-US" w:eastAsia="zh-CN" w:bidi="ar-SA"/>
        </w:rPr>
        <w:t>五、存在的主要问题及改进情况</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32" w:firstLineChars="200"/>
        <w:jc w:val="left"/>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sz w:val="32"/>
          <w:szCs w:val="32"/>
          <w:lang w:val="en-US" w:eastAsia="zh-CN"/>
        </w:rPr>
        <w:t>2021年，我局严格按照县政府关于政务公开工作要点分工任务认真贯彻落实各项工作，总体情况较好，但还存在一些问题：</w:t>
      </w:r>
      <w:r>
        <w:rPr>
          <w:rFonts w:hint="eastAsia" w:ascii="仿宋_GB2312" w:hAnsi="仿宋_GB2312" w:eastAsia="仿宋_GB2312" w:cs="仿宋_GB2312"/>
          <w:b/>
          <w:bCs w:val="0"/>
          <w:sz w:val="32"/>
          <w:szCs w:val="32"/>
          <w:lang w:val="en-US" w:eastAsia="zh-CN"/>
        </w:rPr>
        <w:t>一是</w:t>
      </w:r>
      <w:r>
        <w:rPr>
          <w:rFonts w:hint="eastAsia" w:ascii="仿宋_GB2312" w:hAnsi="仿宋_GB2312" w:eastAsia="仿宋_GB2312" w:cs="仿宋_GB2312"/>
          <w:sz w:val="32"/>
          <w:szCs w:val="32"/>
          <w:lang w:val="en-US" w:eastAsia="zh-CN"/>
        </w:rPr>
        <w:t>部分信息发布和栏目更新不及时、信息内容提炼优化不够、与群众互动交流还存在一定的差距；</w:t>
      </w:r>
      <w:r>
        <w:rPr>
          <w:rFonts w:hint="eastAsia" w:ascii="仿宋_GB2312" w:hAnsi="仿宋_GB2312" w:eastAsia="仿宋_GB2312" w:cs="仿宋_GB2312"/>
          <w:b/>
          <w:bCs w:val="0"/>
          <w:color w:val="000000"/>
          <w:sz w:val="32"/>
          <w:szCs w:val="32"/>
        </w:rPr>
        <w:t>二是</w:t>
      </w:r>
      <w:r>
        <w:rPr>
          <w:rFonts w:hint="eastAsia" w:ascii="仿宋_GB2312" w:hAnsi="仿宋_GB2312" w:eastAsia="仿宋_GB2312" w:cs="仿宋_GB2312"/>
          <w:b w:val="0"/>
          <w:bCs/>
          <w:color w:val="000000"/>
          <w:sz w:val="32"/>
          <w:szCs w:val="32"/>
        </w:rPr>
        <w:t>监督力度有待进一步</w:t>
      </w:r>
      <w:r>
        <w:rPr>
          <w:rFonts w:hint="eastAsia" w:ascii="仿宋_GB2312" w:hAnsi="仿宋_GB2312" w:eastAsia="仿宋_GB2312" w:cs="仿宋_GB2312"/>
          <w:b w:val="0"/>
          <w:bCs/>
          <w:color w:val="000000"/>
          <w:sz w:val="32"/>
          <w:szCs w:val="32"/>
          <w:lang w:val="en-US" w:eastAsia="zh-CN"/>
        </w:rPr>
        <w:t>加</w:t>
      </w:r>
      <w:r>
        <w:rPr>
          <w:rFonts w:hint="eastAsia" w:ascii="仿宋_GB2312" w:hAnsi="仿宋_GB2312" w:eastAsia="仿宋_GB2312" w:cs="仿宋_GB2312"/>
          <w:b w:val="0"/>
          <w:bCs/>
          <w:color w:val="000000"/>
          <w:sz w:val="32"/>
          <w:szCs w:val="32"/>
        </w:rPr>
        <w:t>强。</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32" w:firstLineChars="200"/>
        <w:jc w:val="left"/>
        <w:textAlignment w:val="auto"/>
        <w:rPr>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bCs w:val="0"/>
          <w:color w:val="000000"/>
          <w:sz w:val="32"/>
          <w:szCs w:val="32"/>
        </w:rPr>
        <w:t>改进措施：</w:t>
      </w:r>
      <w:r>
        <w:rPr>
          <w:rFonts w:hint="eastAsia" w:ascii="仿宋_GB2312" w:hAnsi="仿宋_GB2312" w:eastAsia="仿宋_GB2312" w:cs="仿宋_GB2312"/>
          <w:b/>
          <w:bCs w:val="0"/>
          <w:sz w:val="32"/>
          <w:szCs w:val="32"/>
          <w:lang w:val="en-US" w:eastAsia="zh-CN"/>
        </w:rPr>
        <w:t>一是</w:t>
      </w:r>
      <w:r>
        <w:rPr>
          <w:rFonts w:hint="eastAsia" w:ascii="仿宋_GB2312" w:hAnsi="仿宋_GB2312" w:eastAsia="仿宋_GB2312" w:cs="仿宋_GB2312"/>
          <w:sz w:val="32"/>
          <w:szCs w:val="32"/>
          <w:lang w:val="en-US" w:eastAsia="zh-CN"/>
        </w:rPr>
        <w:t>我局将</w:t>
      </w:r>
      <w:r>
        <w:rPr>
          <w:rFonts w:hint="eastAsia" w:ascii="仿宋_GB2312" w:hAnsi="仿宋_GB2312" w:eastAsia="仿宋_GB2312" w:cs="仿宋_GB2312"/>
          <w:b w:val="0"/>
          <w:bCs/>
          <w:color w:val="000000"/>
          <w:sz w:val="32"/>
          <w:szCs w:val="32"/>
        </w:rPr>
        <w:t>提高公开质量</w:t>
      </w:r>
      <w:r>
        <w:rPr>
          <w:rFonts w:hint="eastAsia" w:ascii="仿宋_GB2312" w:hAnsi="仿宋_GB2312" w:eastAsia="仿宋_GB2312" w:cs="仿宋_GB2312"/>
          <w:b w:val="0"/>
          <w:bCs/>
          <w:color w:val="000000"/>
          <w:sz w:val="32"/>
          <w:szCs w:val="32"/>
          <w:lang w:val="en-US" w:eastAsia="zh-CN"/>
        </w:rPr>
        <w:t>和时效</w:t>
      </w:r>
      <w:r>
        <w:rPr>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b w:val="0"/>
          <w:bCs/>
          <w:color w:val="000000"/>
          <w:sz w:val="32"/>
          <w:szCs w:val="32"/>
        </w:rPr>
        <w:t>确保完整、及时、准确地向社会公开政府信息</w:t>
      </w:r>
      <w:r>
        <w:rPr>
          <w:rFonts w:hint="eastAsia" w:ascii="仿宋_GB2312" w:hAnsi="仿宋_GB2312" w:eastAsia="仿宋_GB2312" w:cs="仿宋_GB2312"/>
          <w:b w:val="0"/>
          <w:bCs/>
          <w:color w:val="000000"/>
          <w:sz w:val="32"/>
          <w:szCs w:val="32"/>
          <w:lang w:eastAsia="zh-CN"/>
        </w:rPr>
        <w:t>，</w:t>
      </w:r>
      <w:r>
        <w:rPr>
          <w:rFonts w:hint="eastAsia" w:ascii="仿宋_GB2312" w:hAnsi="仿宋_GB2312" w:eastAsia="仿宋_GB2312" w:cs="仿宋_GB2312"/>
          <w:sz w:val="32"/>
          <w:szCs w:val="32"/>
          <w:lang w:val="en-US" w:eastAsia="zh-CN"/>
        </w:rPr>
        <w:t>严格按照信息公开相关制度要求开展工作，进一步健全政务信息公开的工作制度，提高业务水平，</w:t>
      </w:r>
      <w:r>
        <w:rPr>
          <w:rFonts w:hint="eastAsia" w:ascii="仿宋_GB2312" w:hAnsi="仿宋_GB2312" w:eastAsia="仿宋_GB2312" w:cs="仿宋_GB2312"/>
          <w:b/>
          <w:bCs w:val="0"/>
          <w:color w:val="000000"/>
          <w:sz w:val="32"/>
          <w:szCs w:val="32"/>
        </w:rPr>
        <w:t>二是</w:t>
      </w:r>
      <w:r>
        <w:rPr>
          <w:rFonts w:hint="eastAsia" w:ascii="仿宋_GB2312" w:hAnsi="仿宋_GB2312" w:eastAsia="仿宋_GB2312" w:cs="仿宋_GB2312"/>
          <w:b w:val="0"/>
          <w:bCs/>
          <w:color w:val="000000"/>
          <w:sz w:val="32"/>
          <w:szCs w:val="32"/>
        </w:rPr>
        <w:t>进一步完善政府信息公开的内部审查、协调发布、监督检查等制度，确保政府信息公开工作落到实处。</w:t>
      </w:r>
      <w:r>
        <w:rPr>
          <w:rFonts w:hint="eastAsia" w:ascii="仿宋_GB2312" w:hAnsi="仿宋_GB2312" w:eastAsia="仿宋_GB2312" w:cs="仿宋_GB2312"/>
          <w:sz w:val="32"/>
          <w:szCs w:val="32"/>
          <w:lang w:val="en-US" w:eastAsia="zh-CN"/>
        </w:rPr>
        <w:t>让我局的政务公开工作更上一个新台阶。</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32" w:firstLineChars="200"/>
        <w:jc w:val="left"/>
        <w:textAlignment w:val="auto"/>
        <w:rPr>
          <w:rFonts w:hint="eastAsia" w:ascii="黑体" w:hAnsi="黑体" w:eastAsia="黑体" w:cs="黑体"/>
          <w:b w:val="0"/>
          <w:bCs/>
          <w:color w:val="000000"/>
          <w:kern w:val="2"/>
          <w:sz w:val="32"/>
          <w:szCs w:val="32"/>
          <w:lang w:val="en-US" w:eastAsia="zh-CN" w:bidi="ar-SA"/>
        </w:rPr>
      </w:pPr>
      <w:r>
        <w:rPr>
          <w:rFonts w:hint="eastAsia" w:ascii="黑体" w:hAnsi="黑体" w:eastAsia="黑体" w:cs="黑体"/>
          <w:b w:val="0"/>
          <w:bCs/>
          <w:color w:val="000000"/>
          <w:kern w:val="2"/>
          <w:sz w:val="32"/>
          <w:szCs w:val="32"/>
          <w:lang w:val="en-US" w:eastAsia="zh-CN" w:bidi="ar-SA"/>
        </w:rPr>
        <w:t>六、其他需要报告的事项</w:t>
      </w:r>
    </w:p>
    <w:p>
      <w:pPr>
        <w:pStyle w:val="2"/>
        <w:shd w:val="clear" w:color="auto" w:fill="FFFFFF"/>
        <w:spacing w:before="0" w:beforeAutospacing="0" w:after="0" w:afterAutospacing="0" w:line="580" w:lineRule="exact"/>
        <w:ind w:firstLine="632" w:firstLineChars="200"/>
        <w:rPr>
          <w:rFonts w:hint="eastAsia" w:ascii="仿宋_GB2312" w:hAnsi="Times New Roman" w:eastAsia="仿宋_GB2312" w:cs="Times New Roman"/>
          <w:b w:val="0"/>
          <w:bCs w:val="0"/>
          <w:kern w:val="2"/>
          <w:sz w:val="32"/>
          <w:szCs w:val="32"/>
        </w:rPr>
      </w:pPr>
      <w:r>
        <w:rPr>
          <w:rFonts w:hint="eastAsia" w:ascii="仿宋_GB2312" w:hAnsi="Times New Roman" w:eastAsia="仿宋_GB2312" w:cs="Times New Roman"/>
          <w:b w:val="0"/>
          <w:bCs w:val="0"/>
          <w:kern w:val="2"/>
          <w:sz w:val="32"/>
          <w:szCs w:val="32"/>
          <w:lang w:val="en-US" w:eastAsia="zh-CN"/>
        </w:rPr>
        <w:t>我局</w:t>
      </w:r>
      <w:r>
        <w:rPr>
          <w:rFonts w:hint="eastAsia" w:ascii="仿宋_GB2312" w:hAnsi="Times New Roman" w:eastAsia="仿宋_GB2312" w:cs="Times New Roman"/>
          <w:b w:val="0"/>
          <w:bCs w:val="0"/>
          <w:kern w:val="2"/>
          <w:sz w:val="32"/>
          <w:szCs w:val="32"/>
        </w:rPr>
        <w:t>严格</w:t>
      </w:r>
      <w:r>
        <w:rPr>
          <w:rFonts w:hint="eastAsia" w:ascii="仿宋_GB2312" w:hAnsi="Times New Roman" w:eastAsia="仿宋_GB2312" w:cs="Times New Roman"/>
          <w:b w:val="0"/>
          <w:bCs w:val="0"/>
          <w:kern w:val="2"/>
          <w:sz w:val="32"/>
          <w:szCs w:val="32"/>
          <w:lang w:val="en-US" w:eastAsia="zh-CN"/>
        </w:rPr>
        <w:t>按照</w:t>
      </w:r>
      <w:r>
        <w:rPr>
          <w:rFonts w:hint="eastAsia" w:ascii="仿宋_GB2312" w:hAnsi="Times New Roman" w:eastAsia="仿宋_GB2312" w:cs="Times New Roman"/>
          <w:b w:val="0"/>
          <w:bCs w:val="0"/>
          <w:kern w:val="2"/>
          <w:sz w:val="32"/>
          <w:szCs w:val="32"/>
        </w:rPr>
        <w:t>《政府信息公开信息处理费管理办法》（国办函〔2020〕109号）、《财政部办公厅关于政府信息公开信息处理费收入收缴管理有关事宜的通知》（财办库〔2020〕254号）、《福建省财政厅关于做好政府信息公开信息处理费收入收缴管理有关事项的通知》（闽财非税函〔2021〕1号）做好信息处理费收取工作，因未达到收缴条件，2021年</w:t>
      </w:r>
      <w:r>
        <w:rPr>
          <w:rFonts w:hint="eastAsia" w:ascii="仿宋_GB2312" w:hAnsi="Times New Roman" w:eastAsia="仿宋_GB2312" w:cs="Times New Roman"/>
          <w:b w:val="0"/>
          <w:bCs w:val="0"/>
          <w:kern w:val="2"/>
          <w:sz w:val="32"/>
          <w:szCs w:val="32"/>
          <w:lang w:val="en-US" w:eastAsia="zh-CN"/>
        </w:rPr>
        <w:t>我局</w:t>
      </w:r>
      <w:r>
        <w:rPr>
          <w:rFonts w:hint="eastAsia" w:ascii="仿宋_GB2312" w:hAnsi="Times New Roman" w:eastAsia="仿宋_GB2312" w:cs="Times New Roman"/>
          <w:b w:val="0"/>
          <w:bCs w:val="0"/>
          <w:kern w:val="2"/>
          <w:sz w:val="32"/>
          <w:szCs w:val="32"/>
        </w:rPr>
        <w:t>未收取信息处理费。</w:t>
      </w:r>
    </w:p>
    <w:p>
      <w:pPr>
        <w:keepNext w:val="0"/>
        <w:keepLines w:val="0"/>
        <w:pageBreakBefore w:val="0"/>
        <w:widowControl/>
        <w:kinsoku/>
        <w:wordWrap/>
        <w:overflowPunct/>
        <w:topLinePunct w:val="0"/>
        <w:autoSpaceDE/>
        <w:autoSpaceDN/>
        <w:bidi w:val="0"/>
        <w:adjustRightInd/>
        <w:snapToGrid/>
        <w:spacing w:beforeAutospacing="0" w:afterAutospacing="0" w:line="560" w:lineRule="exact"/>
        <w:ind w:firstLine="632" w:firstLineChars="200"/>
        <w:jc w:val="left"/>
        <w:textAlignment w:val="auto"/>
        <w:rPr>
          <w:rFonts w:hint="default" w:ascii="仿宋_GB2312" w:hAnsi="仿宋_GB2312" w:eastAsia="仿宋_GB2312" w:cs="仿宋_GB2312"/>
          <w:b w:val="0"/>
          <w:bCs/>
          <w:color w:val="000000"/>
          <w:sz w:val="32"/>
          <w:szCs w:val="32"/>
          <w:lang w:val="en-US" w:eastAsia="zh-CN"/>
        </w:rPr>
      </w:pPr>
      <w:bookmarkStart w:id="0" w:name="_GoBack"/>
      <w:bookmarkEnd w:id="0"/>
    </w:p>
    <w:sectPr>
      <w:footerReference r:id="rId3" w:type="default"/>
      <w:pgSz w:w="11906" w:h="16838"/>
      <w:pgMar w:top="1928" w:right="1474" w:bottom="1701" w:left="1587" w:header="851" w:footer="992" w:gutter="0"/>
      <w:cols w:space="0" w:num="1"/>
      <w:rtlGutter w:val="0"/>
      <w:docGrid w:type="linesAndChars" w:linePitch="600" w:charSpace="-88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HorizontalSpacing w:val="103"/>
  <w:drawingGridVerticalSpacing w:val="300"/>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712D8E"/>
    <w:rsid w:val="04BF25BC"/>
    <w:rsid w:val="08712D8E"/>
    <w:rsid w:val="09AD05AA"/>
    <w:rsid w:val="0F3E766C"/>
    <w:rsid w:val="21E742C3"/>
    <w:rsid w:val="24654BD8"/>
    <w:rsid w:val="2ED44FB2"/>
    <w:rsid w:val="32C01A0A"/>
    <w:rsid w:val="391138BB"/>
    <w:rsid w:val="42B83BC8"/>
    <w:rsid w:val="48BC72CE"/>
    <w:rsid w:val="4E9F2ADE"/>
    <w:rsid w:val="55990A2C"/>
    <w:rsid w:val="562F3EA3"/>
    <w:rsid w:val="59185C3D"/>
    <w:rsid w:val="5A4C7C35"/>
    <w:rsid w:val="5D402872"/>
    <w:rsid w:val="5E4D0545"/>
    <w:rsid w:val="66985762"/>
    <w:rsid w:val="715A41CC"/>
    <w:rsid w:val="74C44610"/>
    <w:rsid w:val="75C44E97"/>
    <w:rsid w:val="76A30B20"/>
    <w:rsid w:val="778D0658"/>
    <w:rsid w:val="78E87D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8">
    <w:name w:val="Default Paragraph Font"/>
    <w:link w:val="9"/>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3">
    <w:name w:val="Document Map"/>
    <w:basedOn w:val="1"/>
    <w:semiHidden/>
    <w:qFormat/>
    <w:uiPriority w:val="0"/>
    <w:pPr>
      <w:shd w:val="clear" w:color="auto" w:fill="00008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99"/>
    <w:pPr>
      <w:widowControl/>
      <w:spacing w:before="100" w:beforeAutospacing="1" w:after="100" w:afterAutospacing="1"/>
      <w:jc w:val="left"/>
    </w:pPr>
    <w:rPr>
      <w:rFonts w:ascii="宋体" w:hAnsi="宋体" w:eastAsia="宋体" w:cs="宋体"/>
      <w:kern w:val="0"/>
      <w:sz w:val="18"/>
      <w:szCs w:val="18"/>
    </w:rPr>
  </w:style>
  <w:style w:type="paragraph" w:customStyle="1" w:styleId="9">
    <w:name w:val="Char Char Char"/>
    <w:basedOn w:val="3"/>
    <w:link w:val="8"/>
    <w:qFormat/>
    <w:uiPriority w:val="0"/>
    <w:pPr>
      <w:adjustRightInd w:val="0"/>
      <w:spacing w:line="436" w:lineRule="exact"/>
      <w:ind w:left="357"/>
      <w:jc w:val="left"/>
      <w:outlineLvl w:val="3"/>
    </w:pPr>
  </w:style>
  <w:style w:type="character" w:styleId="10">
    <w:name w:val="page number"/>
    <w:basedOn w:val="8"/>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2022-01-11T02:33:00Z</dcterms:created>
  <dc:creator>Administrator</dc:creator>
  <cp:lastModifiedBy>Administrator</cp:lastModifiedBy>
  <cp:lastPrinted>2022-01-12T01:44:00Z</cp:lastPrinted>
  <dcterms:modified xsi:type="dcterms:W3CDTF">2022-01-26T06:49:05Z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FE68FB534B6B4C41B6637C397EA291A7</vt:lpwstr>
  </property>
</Properties>
</file>