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sz w:val="32"/>
          <w:szCs w:val="32"/>
        </w:rPr>
      </w:pPr>
    </w:p>
    <w:p>
      <w:pPr>
        <w:jc w:val="center"/>
        <w:rPr>
          <w:rFonts w:hint="eastAsia" w:ascii="黑体" w:eastAsia="黑体"/>
          <w:b/>
          <w:sz w:val="32"/>
          <w:szCs w:val="32"/>
        </w:rPr>
      </w:pPr>
    </w:p>
    <w:p>
      <w:pPr>
        <w:jc w:val="center"/>
        <w:rPr>
          <w:rFonts w:hint="eastAsia" w:ascii="黑体" w:eastAsia="黑体"/>
          <w:b/>
          <w:sz w:val="32"/>
          <w:szCs w:val="32"/>
        </w:rPr>
      </w:pPr>
    </w:p>
    <w:p>
      <w:pPr>
        <w:jc w:val="center"/>
        <w:rPr>
          <w:rFonts w:hint="eastAsia" w:ascii="仿宋" w:hAnsi="仿宋" w:eastAsia="仿宋"/>
          <w:sz w:val="32"/>
          <w:szCs w:val="32"/>
        </w:rPr>
      </w:pPr>
      <w:r>
        <w:rPr>
          <w:rFonts w:hint="eastAsia" w:ascii="仿宋" w:hAnsi="仿宋" w:eastAsia="仿宋"/>
          <w:sz w:val="32"/>
          <w:szCs w:val="32"/>
        </w:rPr>
        <w:t>杭环评[2018]</w:t>
      </w:r>
      <w:r>
        <w:rPr>
          <w:rFonts w:hint="eastAsia" w:ascii="仿宋" w:hAnsi="仿宋" w:eastAsia="仿宋"/>
          <w:sz w:val="32"/>
          <w:szCs w:val="32"/>
          <w:lang w:val="en-US" w:eastAsia="zh-CN"/>
        </w:rPr>
        <w:t>34</w:t>
      </w:r>
      <w:bookmarkStart w:id="0" w:name="_GoBack"/>
      <w:bookmarkEnd w:id="0"/>
      <w:r>
        <w:rPr>
          <w:rFonts w:hint="eastAsia" w:ascii="仿宋" w:hAnsi="仿宋" w:eastAsia="仿宋"/>
          <w:sz w:val="32"/>
          <w:szCs w:val="32"/>
        </w:rPr>
        <w:t>号</w:t>
      </w:r>
    </w:p>
    <w:p>
      <w:pPr>
        <w:jc w:val="center"/>
        <w:rPr>
          <w:rFonts w:hint="eastAsia" w:ascii="黑体" w:eastAsia="黑体"/>
          <w:b/>
          <w:sz w:val="32"/>
          <w:szCs w:val="32"/>
        </w:rPr>
      </w:pPr>
    </w:p>
    <w:p>
      <w:pPr>
        <w:jc w:val="center"/>
        <w:rPr>
          <w:rFonts w:hint="eastAsia" w:ascii="黑体" w:eastAsia="黑体"/>
          <w:b/>
          <w:sz w:val="32"/>
          <w:szCs w:val="32"/>
        </w:rPr>
      </w:pP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上杭县环境保护局关于</w:t>
      </w: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rPr>
        <w:t>上杭</w:t>
      </w:r>
      <w:r>
        <w:rPr>
          <w:rFonts w:hint="eastAsia" w:ascii="方正小标宋简体" w:eastAsia="方正小标宋简体"/>
          <w:sz w:val="44"/>
          <w:szCs w:val="44"/>
          <w:lang w:eastAsia="zh-CN"/>
        </w:rPr>
        <w:t>宏齐置业</w:t>
      </w:r>
      <w:r>
        <w:rPr>
          <w:rFonts w:hint="eastAsia" w:ascii="方正小标宋简体" w:eastAsia="方正小标宋简体"/>
          <w:sz w:val="44"/>
          <w:szCs w:val="44"/>
        </w:rPr>
        <w:t>有限公司</w:t>
      </w:r>
      <w:r>
        <w:rPr>
          <w:rFonts w:hint="eastAsia" w:ascii="方正小标宋简体" w:eastAsia="方正小标宋简体"/>
          <w:sz w:val="44"/>
          <w:szCs w:val="44"/>
          <w:lang w:eastAsia="zh-CN"/>
        </w:rPr>
        <w:t>宏盛园</w:t>
      </w:r>
    </w:p>
    <w:p>
      <w:pPr>
        <w:spacing w:line="600" w:lineRule="exact"/>
        <w:jc w:val="center"/>
        <w:rPr>
          <w:rFonts w:hint="eastAsia" w:ascii="方正小标宋简体" w:eastAsia="方正小标宋简体"/>
          <w:sz w:val="44"/>
          <w:szCs w:val="44"/>
        </w:rPr>
      </w:pPr>
      <w:r>
        <w:rPr>
          <w:rFonts w:hint="eastAsia" w:ascii="方正小标宋简体" w:eastAsia="方正小标宋简体"/>
          <w:sz w:val="44"/>
          <w:szCs w:val="44"/>
          <w:lang w:eastAsia="zh-CN"/>
        </w:rPr>
        <w:t>建设项目</w:t>
      </w:r>
      <w:r>
        <w:rPr>
          <w:rFonts w:hint="eastAsia" w:ascii="方正小标宋简体" w:eastAsia="方正小标宋简体"/>
          <w:sz w:val="44"/>
          <w:szCs w:val="44"/>
        </w:rPr>
        <w:t>环境影响报告表的批复</w:t>
      </w:r>
    </w:p>
    <w:p>
      <w:pPr>
        <w:spacing w:line="560" w:lineRule="exact"/>
        <w:rPr>
          <w:rFonts w:hint="eastAsia"/>
          <w:sz w:val="32"/>
          <w:szCs w:val="32"/>
        </w:rPr>
      </w:pPr>
    </w:p>
    <w:p>
      <w:pPr>
        <w:spacing w:line="600" w:lineRule="exact"/>
        <w:rPr>
          <w:rFonts w:hint="eastAsia" w:ascii="仿宋" w:hAnsi="仿宋" w:eastAsia="仿宋"/>
          <w:sz w:val="32"/>
          <w:szCs w:val="32"/>
        </w:rPr>
      </w:pPr>
      <w:r>
        <w:rPr>
          <w:rFonts w:hint="eastAsia" w:ascii="仿宋" w:hAnsi="仿宋" w:eastAsia="仿宋"/>
          <w:sz w:val="32"/>
          <w:szCs w:val="32"/>
        </w:rPr>
        <w:t>上杭</w:t>
      </w:r>
      <w:r>
        <w:rPr>
          <w:rFonts w:hint="eastAsia" w:ascii="仿宋" w:hAnsi="仿宋" w:eastAsia="仿宋"/>
          <w:sz w:val="32"/>
          <w:szCs w:val="32"/>
          <w:lang w:eastAsia="zh-CN"/>
        </w:rPr>
        <w:t>宏齐置业</w:t>
      </w:r>
      <w:r>
        <w:rPr>
          <w:rFonts w:hint="eastAsia" w:ascii="仿宋" w:hAnsi="仿宋" w:eastAsia="仿宋"/>
          <w:sz w:val="32"/>
          <w:szCs w:val="32"/>
        </w:rPr>
        <w:t>有限公司：</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你公司报送的《</w:t>
      </w:r>
      <w:r>
        <w:rPr>
          <w:rFonts w:hint="eastAsia" w:ascii="仿宋" w:hAnsi="仿宋" w:eastAsia="仿宋"/>
          <w:sz w:val="32"/>
          <w:szCs w:val="32"/>
          <w:lang w:eastAsia="zh-CN"/>
        </w:rPr>
        <w:t>宏盛园建设项目</w:t>
      </w:r>
      <w:r>
        <w:rPr>
          <w:rFonts w:hint="eastAsia" w:ascii="仿宋" w:hAnsi="仿宋" w:eastAsia="仿宋"/>
          <w:sz w:val="32"/>
          <w:szCs w:val="32"/>
        </w:rPr>
        <w:t>环境影响报告表》及</w:t>
      </w:r>
      <w:r>
        <w:rPr>
          <w:rFonts w:hint="eastAsia" w:ascii="仿宋" w:hAnsi="仿宋" w:eastAsia="仿宋"/>
          <w:sz w:val="32"/>
          <w:szCs w:val="32"/>
          <w:lang w:eastAsia="zh-CN"/>
        </w:rPr>
        <w:t>申请审批的</w:t>
      </w:r>
      <w:r>
        <w:rPr>
          <w:rFonts w:hint="eastAsia" w:ascii="仿宋" w:hAnsi="仿宋" w:eastAsia="仿宋"/>
          <w:sz w:val="32"/>
          <w:szCs w:val="32"/>
        </w:rPr>
        <w:t xml:space="preserve">资料收悉。经研究，现批复如下： </w:t>
      </w:r>
    </w:p>
    <w:p>
      <w:pPr>
        <w:spacing w:line="600" w:lineRule="exact"/>
        <w:ind w:firstLine="632" w:firstLineChars="200"/>
        <w:rPr>
          <w:rFonts w:hint="eastAsia" w:ascii="黑体" w:hAnsi="黑体" w:eastAsia="黑体"/>
          <w:sz w:val="32"/>
          <w:szCs w:val="32"/>
        </w:rPr>
      </w:pPr>
      <w:r>
        <w:rPr>
          <w:rFonts w:hint="eastAsia" w:ascii="黑体" w:hAnsi="黑体" w:eastAsia="黑体"/>
          <w:sz w:val="32"/>
          <w:szCs w:val="32"/>
        </w:rPr>
        <w:t>一、项目建设内容</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上杭</w:t>
      </w:r>
      <w:r>
        <w:rPr>
          <w:rFonts w:hint="eastAsia" w:ascii="仿宋" w:hAnsi="仿宋" w:eastAsia="仿宋"/>
          <w:sz w:val="32"/>
          <w:szCs w:val="32"/>
          <w:lang w:eastAsia="zh-CN"/>
        </w:rPr>
        <w:t>宏齐置业有限</w:t>
      </w:r>
      <w:r>
        <w:rPr>
          <w:rFonts w:hint="eastAsia" w:ascii="仿宋" w:hAnsi="仿宋" w:eastAsia="仿宋"/>
          <w:sz w:val="32"/>
          <w:szCs w:val="32"/>
        </w:rPr>
        <w:t>公司</w:t>
      </w:r>
      <w:r>
        <w:rPr>
          <w:rFonts w:hint="eastAsia" w:ascii="仿宋" w:hAnsi="仿宋" w:eastAsia="仿宋"/>
          <w:sz w:val="32"/>
          <w:szCs w:val="32"/>
          <w:lang w:eastAsia="zh-CN"/>
        </w:rPr>
        <w:t>宏盛园建设</w:t>
      </w:r>
      <w:r>
        <w:rPr>
          <w:rFonts w:hint="eastAsia" w:ascii="仿宋" w:hAnsi="仿宋" w:eastAsia="仿宋"/>
          <w:sz w:val="32"/>
          <w:szCs w:val="32"/>
        </w:rPr>
        <w:t>项目位于上杭县</w:t>
      </w:r>
      <w:r>
        <w:rPr>
          <w:rFonts w:hint="eastAsia" w:ascii="仿宋" w:hAnsi="仿宋" w:eastAsia="仿宋"/>
          <w:sz w:val="32"/>
          <w:szCs w:val="32"/>
          <w:lang w:eastAsia="zh-CN"/>
        </w:rPr>
        <w:t>临城镇金山路与二环路交叉口西南侧。</w:t>
      </w:r>
      <w:r>
        <w:rPr>
          <w:rFonts w:hint="eastAsia" w:ascii="仿宋" w:hAnsi="仿宋" w:eastAsia="仿宋"/>
          <w:sz w:val="32"/>
          <w:szCs w:val="32"/>
        </w:rPr>
        <w:t>项目总用地面积</w:t>
      </w:r>
      <w:r>
        <w:rPr>
          <w:rFonts w:hint="eastAsia" w:ascii="仿宋" w:hAnsi="仿宋" w:eastAsia="仿宋"/>
          <w:sz w:val="32"/>
          <w:szCs w:val="32"/>
          <w:lang w:val="en-US" w:eastAsia="zh-CN"/>
        </w:rPr>
        <w:t>57251</w:t>
      </w:r>
      <w:r>
        <w:rPr>
          <w:rFonts w:hint="eastAsia" w:ascii="仿宋" w:hAnsi="仿宋" w:eastAsia="仿宋"/>
          <w:sz w:val="32"/>
          <w:szCs w:val="32"/>
        </w:rPr>
        <w:t>m</w:t>
      </w:r>
      <w:r>
        <w:rPr>
          <w:rFonts w:hint="eastAsia" w:ascii="仿宋" w:hAnsi="仿宋" w:eastAsia="仿宋"/>
          <w:sz w:val="32"/>
          <w:szCs w:val="32"/>
          <w:vertAlign w:val="superscript"/>
        </w:rPr>
        <w:t>2</w:t>
      </w:r>
      <w:r>
        <w:rPr>
          <w:rFonts w:hint="eastAsia" w:ascii="仿宋" w:hAnsi="仿宋" w:eastAsia="仿宋"/>
          <w:sz w:val="32"/>
          <w:szCs w:val="32"/>
        </w:rPr>
        <w:t>，总建筑面积</w:t>
      </w:r>
      <w:r>
        <w:rPr>
          <w:rFonts w:hint="eastAsia" w:ascii="仿宋" w:hAnsi="仿宋" w:eastAsia="仿宋"/>
          <w:sz w:val="32"/>
          <w:szCs w:val="32"/>
          <w:lang w:val="en-US" w:eastAsia="zh-CN"/>
        </w:rPr>
        <w:t>158453.12</w:t>
      </w:r>
      <w:r>
        <w:rPr>
          <w:rFonts w:hint="eastAsia" w:ascii="仿宋" w:hAnsi="仿宋" w:eastAsia="仿宋"/>
          <w:sz w:val="32"/>
          <w:szCs w:val="32"/>
        </w:rPr>
        <w:t>m</w:t>
      </w:r>
      <w:r>
        <w:rPr>
          <w:rFonts w:hint="eastAsia" w:ascii="仿宋" w:hAnsi="仿宋" w:eastAsia="仿宋"/>
          <w:sz w:val="32"/>
          <w:szCs w:val="32"/>
          <w:vertAlign w:val="superscript"/>
        </w:rPr>
        <w:t>2</w:t>
      </w:r>
      <w:r>
        <w:rPr>
          <w:rFonts w:hint="eastAsia" w:ascii="仿宋" w:hAnsi="仿宋" w:eastAsia="仿宋"/>
          <w:sz w:val="32"/>
          <w:szCs w:val="32"/>
        </w:rPr>
        <w:t>,</w:t>
      </w:r>
      <w:r>
        <w:rPr>
          <w:rFonts w:hint="eastAsia" w:ascii="仿宋" w:hAnsi="仿宋" w:eastAsia="仿宋"/>
          <w:sz w:val="32"/>
          <w:szCs w:val="32"/>
          <w:lang w:eastAsia="zh-CN"/>
        </w:rPr>
        <w:t>绿地面积</w:t>
      </w:r>
      <w:r>
        <w:rPr>
          <w:rFonts w:hint="eastAsia" w:ascii="仿宋" w:hAnsi="仿宋" w:eastAsia="仿宋"/>
          <w:sz w:val="32"/>
          <w:szCs w:val="32"/>
          <w:lang w:val="en-US" w:eastAsia="zh-CN"/>
        </w:rPr>
        <w:t>17175㎡，</w:t>
      </w:r>
      <w:r>
        <w:rPr>
          <w:rFonts w:hint="eastAsia" w:ascii="仿宋" w:hAnsi="仿宋" w:eastAsia="仿宋"/>
          <w:sz w:val="32"/>
          <w:szCs w:val="32"/>
          <w:lang w:eastAsia="zh-CN"/>
        </w:rPr>
        <w:t>新建住宅小区共</w:t>
      </w:r>
      <w:r>
        <w:rPr>
          <w:rFonts w:hint="eastAsia" w:ascii="仿宋" w:hAnsi="仿宋" w:eastAsia="仿宋"/>
          <w:sz w:val="32"/>
          <w:szCs w:val="32"/>
          <w:lang w:val="en-US" w:eastAsia="zh-CN"/>
        </w:rPr>
        <w:t>17栋，层数为1至26层</w:t>
      </w:r>
      <w:r>
        <w:rPr>
          <w:rFonts w:hint="eastAsia" w:ascii="仿宋" w:hAnsi="仿宋" w:eastAsia="仿宋"/>
          <w:sz w:val="32"/>
          <w:szCs w:val="32"/>
          <w:lang w:eastAsia="zh-CN"/>
        </w:rPr>
        <w:t>。项目主要建设高低层住宅、养老服务用房、社区服务用房、商业区、物业用房、健身活动室、幼儿园等等</w:t>
      </w:r>
      <w:r>
        <w:rPr>
          <w:rFonts w:hint="eastAsia" w:ascii="仿宋" w:hAnsi="仿宋" w:eastAsia="仿宋"/>
          <w:sz w:val="32"/>
          <w:szCs w:val="32"/>
        </w:rPr>
        <w:t>，</w:t>
      </w:r>
      <w:r>
        <w:rPr>
          <w:rFonts w:hint="eastAsia" w:ascii="仿宋" w:hAnsi="仿宋" w:eastAsia="仿宋"/>
          <w:sz w:val="32"/>
          <w:szCs w:val="32"/>
          <w:lang w:eastAsia="zh-CN"/>
        </w:rPr>
        <w:t>并设有机动车</w:t>
      </w:r>
      <w:r>
        <w:rPr>
          <w:rFonts w:hint="eastAsia" w:ascii="仿宋" w:hAnsi="仿宋" w:eastAsia="仿宋"/>
          <w:sz w:val="32"/>
          <w:szCs w:val="32"/>
        </w:rPr>
        <w:t>停车位</w:t>
      </w:r>
      <w:r>
        <w:rPr>
          <w:rFonts w:hint="eastAsia" w:ascii="仿宋" w:hAnsi="仿宋" w:eastAsia="仿宋"/>
          <w:sz w:val="32"/>
          <w:szCs w:val="32"/>
          <w:lang w:val="en-US" w:eastAsia="zh-CN"/>
        </w:rPr>
        <w:t>1154</w:t>
      </w:r>
      <w:r>
        <w:rPr>
          <w:rFonts w:hint="eastAsia" w:ascii="仿宋" w:hAnsi="仿宋" w:eastAsia="仿宋"/>
          <w:sz w:val="32"/>
          <w:szCs w:val="32"/>
        </w:rPr>
        <w:t>个（其中地上停车位11</w:t>
      </w:r>
      <w:r>
        <w:rPr>
          <w:rFonts w:hint="eastAsia" w:ascii="仿宋" w:hAnsi="仿宋" w:eastAsia="仿宋"/>
          <w:sz w:val="32"/>
          <w:szCs w:val="32"/>
          <w:lang w:val="en-US" w:eastAsia="zh-CN"/>
        </w:rPr>
        <w:t>5</w:t>
      </w:r>
      <w:r>
        <w:rPr>
          <w:rFonts w:hint="eastAsia" w:ascii="仿宋" w:hAnsi="仿宋" w:eastAsia="仿宋"/>
          <w:sz w:val="32"/>
          <w:szCs w:val="32"/>
        </w:rPr>
        <w:t>个，地下停车位</w:t>
      </w:r>
      <w:r>
        <w:rPr>
          <w:rFonts w:hint="eastAsia" w:ascii="仿宋" w:hAnsi="仿宋" w:eastAsia="仿宋"/>
          <w:sz w:val="32"/>
          <w:szCs w:val="32"/>
          <w:lang w:val="en-US" w:eastAsia="zh-CN"/>
        </w:rPr>
        <w:t>1039</w:t>
      </w:r>
      <w:r>
        <w:rPr>
          <w:rFonts w:hint="eastAsia" w:ascii="仿宋" w:hAnsi="仿宋" w:eastAsia="仿宋"/>
          <w:sz w:val="32"/>
          <w:szCs w:val="32"/>
        </w:rPr>
        <w:t>个）</w:t>
      </w:r>
      <w:r>
        <w:rPr>
          <w:rFonts w:hint="eastAsia" w:ascii="仿宋" w:hAnsi="仿宋" w:eastAsia="仿宋"/>
          <w:sz w:val="32"/>
          <w:szCs w:val="32"/>
          <w:lang w:eastAsia="zh-CN"/>
        </w:rPr>
        <w:t>，非机动车位</w:t>
      </w:r>
      <w:r>
        <w:rPr>
          <w:rFonts w:hint="eastAsia" w:ascii="仿宋" w:hAnsi="仿宋" w:eastAsia="仿宋"/>
          <w:sz w:val="32"/>
          <w:szCs w:val="32"/>
          <w:lang w:val="en-US" w:eastAsia="zh-CN"/>
        </w:rPr>
        <w:t>1494个。</w:t>
      </w:r>
      <w:r>
        <w:rPr>
          <w:rFonts w:hint="eastAsia" w:ascii="仿宋" w:hAnsi="仿宋" w:eastAsia="仿宋"/>
          <w:sz w:val="32"/>
          <w:szCs w:val="32"/>
        </w:rPr>
        <w:t>项目总投资</w:t>
      </w:r>
      <w:r>
        <w:rPr>
          <w:rFonts w:hint="eastAsia" w:ascii="仿宋" w:hAnsi="仿宋" w:eastAsia="仿宋"/>
          <w:sz w:val="32"/>
          <w:szCs w:val="32"/>
          <w:lang w:val="en-US" w:eastAsia="zh-CN"/>
        </w:rPr>
        <w:t>101000</w:t>
      </w:r>
      <w:r>
        <w:rPr>
          <w:rFonts w:hint="eastAsia" w:ascii="仿宋" w:hAnsi="仿宋" w:eastAsia="仿宋"/>
          <w:sz w:val="32"/>
          <w:szCs w:val="32"/>
        </w:rPr>
        <w:t>万元,其中环保投资</w:t>
      </w:r>
      <w:r>
        <w:rPr>
          <w:rFonts w:hint="eastAsia" w:ascii="仿宋" w:hAnsi="仿宋" w:eastAsia="仿宋"/>
          <w:sz w:val="32"/>
          <w:szCs w:val="32"/>
          <w:lang w:val="en-US" w:eastAsia="zh-CN"/>
        </w:rPr>
        <w:t>665</w:t>
      </w:r>
      <w:r>
        <w:rPr>
          <w:rFonts w:hint="eastAsia" w:ascii="仿宋" w:hAnsi="仿宋" w:eastAsia="仿宋"/>
          <w:sz w:val="32"/>
          <w:szCs w:val="32"/>
        </w:rPr>
        <w:t>万元，属新建项目。</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该项目在落实环评报告表提出的各项环境保护措施和本批复提出的要求后，可以满足国家环境保护相关法规和标准的要求，因此，我局同意你单位按照报告表中所列的项目性质、规模、地点和拟采取的环境保护措施开展项目建设。</w:t>
      </w:r>
    </w:p>
    <w:p>
      <w:pPr>
        <w:spacing w:line="600" w:lineRule="exact"/>
        <w:ind w:firstLine="632" w:firstLineChars="200"/>
        <w:rPr>
          <w:rFonts w:hint="eastAsia" w:ascii="黑体" w:hAnsi="黑体" w:eastAsia="黑体"/>
          <w:sz w:val="32"/>
          <w:szCs w:val="32"/>
        </w:rPr>
      </w:pPr>
      <w:r>
        <w:rPr>
          <w:rFonts w:hint="eastAsia" w:ascii="黑体" w:hAnsi="黑体" w:eastAsia="黑体"/>
          <w:sz w:val="32"/>
          <w:szCs w:val="32"/>
        </w:rPr>
        <w:t>二、项目建设及运行中应重点做好的工作</w:t>
      </w:r>
    </w:p>
    <w:p>
      <w:pPr>
        <w:spacing w:line="600" w:lineRule="exact"/>
        <w:ind w:firstLine="632" w:firstLineChars="200"/>
        <w:rPr>
          <w:rFonts w:hint="eastAsia" w:ascii="楷体" w:hAnsi="楷体" w:eastAsia="楷体"/>
          <w:sz w:val="32"/>
          <w:szCs w:val="32"/>
        </w:rPr>
      </w:pPr>
      <w:r>
        <w:rPr>
          <w:rFonts w:hint="eastAsia" w:ascii="楷体" w:hAnsi="楷体" w:eastAsia="楷体"/>
          <w:sz w:val="32"/>
          <w:szCs w:val="32"/>
        </w:rPr>
        <w:t>（一）加强施工期的环境保护工作，落实各项生态保护和污染防治措施。要合理安排工期，制定合理的施工方案，尽量减少对植被的破坏。要采取有效防尘、降噪措施，不得扰民。</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1.施工场地应定期洒水，保持湿润；作业场地要</w:t>
      </w:r>
      <w:r>
        <w:rPr>
          <w:rFonts w:hint="eastAsia" w:ascii="仿宋" w:hAnsi="仿宋" w:eastAsia="仿宋"/>
          <w:sz w:val="32"/>
          <w:szCs w:val="32"/>
          <w:lang w:eastAsia="zh-CN"/>
        </w:rPr>
        <w:t>设</w:t>
      </w:r>
      <w:r>
        <w:rPr>
          <w:rFonts w:hint="eastAsia" w:ascii="仿宋" w:hAnsi="仿宋" w:eastAsia="仿宋"/>
          <w:sz w:val="32"/>
          <w:szCs w:val="32"/>
        </w:rPr>
        <w:t>不低于2米高的围挡以减少扬尘扩散；工地进出口处应设置清洗轮胎、车厢装置及废水沉淀池；场地内土堆、料堆要加遮盖，防止扬尘扩散；运输车辆不宜装载过满，要采取相应的遮盖、封闭措施，不甚洒落的沙土和建筑材料应及时清理。</w:t>
      </w:r>
    </w:p>
    <w:p>
      <w:pPr>
        <w:spacing w:line="600" w:lineRule="exact"/>
        <w:ind w:firstLine="632" w:firstLineChars="200"/>
        <w:rPr>
          <w:rFonts w:hint="eastAsia" w:ascii="仿宋" w:hAnsi="仿宋" w:eastAsia="仿宋"/>
          <w:sz w:val="32"/>
          <w:szCs w:val="32"/>
          <w:lang w:eastAsia="zh-CN"/>
        </w:rPr>
      </w:pPr>
      <w:r>
        <w:rPr>
          <w:rFonts w:hint="eastAsia" w:ascii="仿宋" w:hAnsi="仿宋" w:eastAsia="仿宋"/>
          <w:sz w:val="32"/>
          <w:szCs w:val="32"/>
        </w:rPr>
        <w:t>2.建筑垃圾除用作填埋洼地外，多余的运往城建部门指定的地点堆放，不得随意丢弃；可回收的集中</w:t>
      </w:r>
      <w:r>
        <w:rPr>
          <w:rFonts w:hint="eastAsia" w:ascii="仿宋" w:hAnsi="仿宋" w:eastAsia="仿宋"/>
          <w:sz w:val="32"/>
          <w:szCs w:val="32"/>
          <w:lang w:eastAsia="zh-CN"/>
        </w:rPr>
        <w:t>收集</w:t>
      </w:r>
      <w:r>
        <w:rPr>
          <w:rFonts w:hint="eastAsia" w:ascii="仿宋" w:hAnsi="仿宋" w:eastAsia="仿宋"/>
          <w:sz w:val="32"/>
          <w:szCs w:val="32"/>
        </w:rPr>
        <w:t>后出售给废品收购商；生活垃圾应集中收集交环卫部门处理。施工废水经隔油沉淀处理后用于洒水降尘或回用。</w:t>
      </w:r>
      <w:r>
        <w:rPr>
          <w:rFonts w:hint="eastAsia" w:ascii="仿宋" w:hAnsi="仿宋" w:eastAsia="仿宋"/>
          <w:sz w:val="32"/>
          <w:szCs w:val="32"/>
          <w:lang w:eastAsia="zh-CN"/>
        </w:rPr>
        <w:t>生活污水经三级化粪池处理后排入市政污水管网。</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3.使用低噪声设备，合理安排高噪声设备作业时段，建筑施工期间噪声应符合《建筑施工场界环境噪声排放</w:t>
      </w:r>
      <w:r>
        <w:rPr>
          <w:rFonts w:hint="eastAsia" w:ascii="仿宋" w:hAnsi="仿宋" w:eastAsia="仿宋"/>
          <w:sz w:val="32"/>
          <w:szCs w:val="32"/>
          <w:lang w:eastAsia="zh-CN"/>
        </w:rPr>
        <w:t>限值</w:t>
      </w:r>
      <w:r>
        <w:rPr>
          <w:rFonts w:hint="eastAsia" w:ascii="仿宋" w:hAnsi="仿宋" w:eastAsia="仿宋"/>
          <w:sz w:val="32"/>
          <w:szCs w:val="32"/>
        </w:rPr>
        <w:t>》（GB12523-2011）的</w:t>
      </w:r>
      <w:r>
        <w:rPr>
          <w:rFonts w:hint="eastAsia" w:ascii="仿宋" w:hAnsi="仿宋" w:eastAsia="仿宋"/>
          <w:sz w:val="32"/>
          <w:szCs w:val="32"/>
          <w:lang w:eastAsia="zh-CN"/>
        </w:rPr>
        <w:t>表</w:t>
      </w:r>
      <w:r>
        <w:rPr>
          <w:rFonts w:hint="eastAsia" w:ascii="仿宋" w:hAnsi="仿宋" w:eastAsia="仿宋"/>
          <w:sz w:val="32"/>
          <w:szCs w:val="32"/>
          <w:lang w:val="en-US" w:eastAsia="zh-CN"/>
        </w:rPr>
        <w:t>1的标准限值</w:t>
      </w:r>
      <w:r>
        <w:rPr>
          <w:rFonts w:hint="eastAsia" w:ascii="仿宋" w:hAnsi="仿宋" w:eastAsia="仿宋"/>
          <w:sz w:val="32"/>
          <w:szCs w:val="32"/>
        </w:rPr>
        <w:t>，严禁在昼间12：00-14：</w:t>
      </w:r>
      <w:r>
        <w:rPr>
          <w:rFonts w:hint="eastAsia" w:ascii="仿宋" w:hAnsi="仿宋" w:eastAsia="仿宋"/>
          <w:sz w:val="32"/>
          <w:szCs w:val="32"/>
          <w:lang w:val="en-US" w:eastAsia="zh-CN"/>
        </w:rPr>
        <w:t>0</w:t>
      </w:r>
      <w:r>
        <w:rPr>
          <w:rFonts w:hint="eastAsia" w:ascii="仿宋" w:hAnsi="仿宋" w:eastAsia="仿宋"/>
          <w:sz w:val="32"/>
          <w:szCs w:val="32"/>
        </w:rPr>
        <w:t>0、夜间22：00-次日6：00进行噪声扰民的施工作业</w:t>
      </w:r>
      <w:r>
        <w:rPr>
          <w:rFonts w:hint="eastAsia" w:ascii="仿宋" w:hAnsi="仿宋" w:eastAsia="仿宋"/>
          <w:sz w:val="32"/>
          <w:szCs w:val="32"/>
          <w:lang w:eastAsia="zh-CN"/>
        </w:rPr>
        <w:t>。</w:t>
      </w:r>
      <w:r>
        <w:rPr>
          <w:rFonts w:hint="eastAsia" w:ascii="仿宋" w:hAnsi="仿宋" w:eastAsia="仿宋"/>
          <w:sz w:val="32"/>
          <w:szCs w:val="32"/>
        </w:rPr>
        <w:t>因特殊生产工艺要求必须连续作业的应报批，并公告附近居民。</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4.做好水土保持工作，做到随挖、随填、随运；在施工边界开挖截洪沟，排水出口处设沉砂池；施工扰动的地表应及时压实，若施工期间适逢下雨，则须用塑料布覆盖松软作业面及土堆；施工结束后，裸露地表及边坡应及时进行绿化或硬化。</w:t>
      </w:r>
    </w:p>
    <w:p>
      <w:pPr>
        <w:spacing w:line="600" w:lineRule="exact"/>
        <w:ind w:firstLine="632" w:firstLineChars="200"/>
        <w:rPr>
          <w:rFonts w:hint="eastAsia" w:ascii="楷体" w:hAnsi="楷体" w:eastAsia="楷体"/>
          <w:sz w:val="32"/>
          <w:szCs w:val="32"/>
        </w:rPr>
      </w:pPr>
      <w:r>
        <w:rPr>
          <w:rFonts w:hint="eastAsia" w:ascii="楷体" w:hAnsi="楷体" w:eastAsia="楷体"/>
          <w:sz w:val="32"/>
          <w:szCs w:val="32"/>
        </w:rPr>
        <w:t>（二）运营期应采取有效措施，严格控制废气、废水、固体废物、噪声等对外界的影响。</w:t>
      </w:r>
    </w:p>
    <w:p>
      <w:pPr>
        <w:spacing w:line="600" w:lineRule="exact"/>
        <w:ind w:firstLine="632" w:firstLineChars="200"/>
        <w:rPr>
          <w:rFonts w:hint="eastAsia" w:ascii="仿宋" w:hAnsi="仿宋" w:eastAsia="仿宋"/>
          <w:color w:val="0000FF"/>
          <w:sz w:val="32"/>
          <w:szCs w:val="32"/>
        </w:rPr>
      </w:pPr>
      <w:r>
        <w:rPr>
          <w:rFonts w:hint="eastAsia" w:ascii="仿宋" w:hAnsi="仿宋" w:eastAsia="仿宋"/>
          <w:sz w:val="32"/>
          <w:szCs w:val="32"/>
        </w:rPr>
        <w:t>1.地下车库应设换气装置，应急柴油发电机燃油废气由设备房通风排气口排放，废气排放均达到《大气污染物综合排放标准》（GB16297-1996）表2二级标准；</w:t>
      </w:r>
      <w:r>
        <w:rPr>
          <w:rFonts w:hint="eastAsia" w:ascii="仿宋" w:hAnsi="仿宋" w:eastAsia="仿宋"/>
          <w:sz w:val="32"/>
          <w:szCs w:val="32"/>
          <w:lang w:eastAsia="zh-CN"/>
        </w:rPr>
        <w:t>幼儿园油烟废气经油烟净化设施处理后由排气筒引至楼顶排放</w:t>
      </w:r>
      <w:r>
        <w:rPr>
          <w:rFonts w:hint="eastAsia" w:ascii="仿宋" w:hAnsi="仿宋" w:eastAsia="仿宋"/>
          <w:color w:val="000000" w:themeColor="text1"/>
          <w:sz w:val="32"/>
          <w:szCs w:val="32"/>
          <w:lang w:eastAsia="zh-CN"/>
          <w14:textFill>
            <w14:solidFill>
              <w14:schemeClr w14:val="tx1"/>
            </w14:solidFill>
          </w14:textFill>
        </w:rPr>
        <w:t>；</w:t>
      </w:r>
      <w:r>
        <w:rPr>
          <w:rFonts w:hint="eastAsia" w:ascii="仿宋" w:hAnsi="仿宋" w:eastAsia="仿宋"/>
          <w:color w:val="000000" w:themeColor="text1"/>
          <w:sz w:val="32"/>
          <w:szCs w:val="32"/>
          <w14:textFill>
            <w14:solidFill>
              <w14:schemeClr w14:val="tx1"/>
            </w14:solidFill>
          </w14:textFill>
        </w:rPr>
        <w:t>居民厨房油烟经油烟净化</w:t>
      </w:r>
      <w:r>
        <w:rPr>
          <w:rFonts w:hint="eastAsia" w:ascii="仿宋" w:hAnsi="仿宋" w:eastAsia="仿宋"/>
          <w:color w:val="000000" w:themeColor="text1"/>
          <w:sz w:val="32"/>
          <w:szCs w:val="32"/>
          <w:lang w:eastAsia="zh-CN"/>
          <w14:textFill>
            <w14:solidFill>
              <w14:schemeClr w14:val="tx1"/>
            </w14:solidFill>
          </w14:textFill>
        </w:rPr>
        <w:t>设施处理</w:t>
      </w:r>
      <w:r>
        <w:rPr>
          <w:rFonts w:hint="eastAsia" w:ascii="仿宋" w:hAnsi="仿宋" w:eastAsia="仿宋"/>
          <w:color w:val="000000" w:themeColor="text1"/>
          <w:sz w:val="32"/>
          <w:szCs w:val="32"/>
          <w14:textFill>
            <w14:solidFill>
              <w14:schemeClr w14:val="tx1"/>
            </w14:solidFill>
          </w14:textFill>
        </w:rPr>
        <w:t>后由专用排烟管道引至楼顶排放</w:t>
      </w:r>
      <w:r>
        <w:rPr>
          <w:rFonts w:hint="eastAsia" w:ascii="仿宋" w:hAnsi="仿宋" w:eastAsia="仿宋"/>
          <w:color w:val="000000" w:themeColor="text1"/>
          <w:sz w:val="32"/>
          <w:szCs w:val="32"/>
          <w:lang w:eastAsia="zh-CN"/>
          <w14:textFill>
            <w14:solidFill>
              <w14:schemeClr w14:val="tx1"/>
            </w14:solidFill>
          </w14:textFill>
        </w:rPr>
        <w:t>，达到《饮食业油烟排放标准》（</w:t>
      </w:r>
      <w:r>
        <w:rPr>
          <w:rFonts w:hint="eastAsia" w:ascii="仿宋" w:hAnsi="仿宋" w:eastAsia="仿宋"/>
          <w:color w:val="000000" w:themeColor="text1"/>
          <w:sz w:val="32"/>
          <w:szCs w:val="32"/>
          <w:lang w:val="en-US" w:eastAsia="zh-CN"/>
          <w14:textFill>
            <w14:solidFill>
              <w14:schemeClr w14:val="tx1"/>
            </w14:solidFill>
          </w14:textFill>
        </w:rPr>
        <w:t>GB18483-2001</w:t>
      </w:r>
      <w:r>
        <w:rPr>
          <w:rFonts w:hint="eastAsia" w:ascii="仿宋" w:hAnsi="仿宋" w:eastAsia="仿宋"/>
          <w:color w:val="000000" w:themeColor="text1"/>
          <w:sz w:val="32"/>
          <w:szCs w:val="32"/>
          <w:lang w:eastAsia="zh-CN"/>
          <w14:textFill>
            <w14:solidFill>
              <w14:schemeClr w14:val="tx1"/>
            </w14:solidFill>
          </w14:textFill>
        </w:rPr>
        <w:t>）中的油烟最高允许排放标准</w:t>
      </w:r>
      <w:r>
        <w:rPr>
          <w:rFonts w:hint="eastAsia" w:ascii="仿宋" w:hAnsi="仿宋" w:eastAsia="仿宋"/>
          <w:color w:val="000000" w:themeColor="text1"/>
          <w:sz w:val="32"/>
          <w:szCs w:val="32"/>
          <w14:textFill>
            <w14:solidFill>
              <w14:schemeClr w14:val="tx1"/>
            </w14:solidFill>
          </w14:textFill>
        </w:rPr>
        <w:t>。</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2.厨房废水经隔油池处理后再与生活污水一起经三级化粪池处理达到《污水综合排放标准》（GB8978-1996）表4中的三级排放标准(其中氨氮</w:t>
      </w:r>
      <w:r>
        <w:rPr>
          <w:rFonts w:hint="eastAsia" w:ascii="仿宋" w:hAnsi="仿宋" w:eastAsia="仿宋"/>
          <w:sz w:val="32"/>
          <w:szCs w:val="32"/>
          <w:lang w:eastAsia="zh-CN"/>
        </w:rPr>
        <w:t>标准限值满足</w:t>
      </w:r>
      <w:r>
        <w:rPr>
          <w:rFonts w:hint="eastAsia" w:ascii="仿宋" w:hAnsi="仿宋" w:eastAsia="仿宋"/>
          <w:sz w:val="32"/>
          <w:szCs w:val="32"/>
        </w:rPr>
        <w:t>《污水排入城镇下水道水质标准》（GB/T31962-2015）表1中的B级标准</w:t>
      </w:r>
      <w:r>
        <w:rPr>
          <w:rFonts w:hint="eastAsia" w:ascii="仿宋" w:hAnsi="仿宋" w:eastAsia="仿宋"/>
          <w:sz w:val="32"/>
          <w:szCs w:val="32"/>
          <w:lang w:eastAsia="zh-CN"/>
        </w:rPr>
        <w:t>限值</w:t>
      </w:r>
      <w:r>
        <w:rPr>
          <w:rFonts w:hint="eastAsia" w:ascii="仿宋" w:hAnsi="仿宋" w:eastAsia="仿宋"/>
          <w:sz w:val="32"/>
          <w:szCs w:val="32"/>
        </w:rPr>
        <w:t>)后排入市政污水管网</w:t>
      </w:r>
      <w:r>
        <w:rPr>
          <w:rFonts w:hint="eastAsia" w:ascii="仿宋" w:hAnsi="仿宋" w:eastAsia="仿宋"/>
          <w:sz w:val="32"/>
          <w:szCs w:val="32"/>
          <w:lang w:eastAsia="zh-CN"/>
        </w:rPr>
        <w:t>，最终进入污水处理厂处理</w:t>
      </w:r>
      <w:r>
        <w:rPr>
          <w:rFonts w:hint="eastAsia" w:ascii="仿宋" w:hAnsi="仿宋" w:eastAsia="仿宋"/>
          <w:sz w:val="32"/>
          <w:szCs w:val="32"/>
        </w:rPr>
        <w:t>。</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3.生活垃圾</w:t>
      </w:r>
      <w:r>
        <w:rPr>
          <w:rFonts w:hint="eastAsia" w:ascii="仿宋" w:hAnsi="仿宋" w:eastAsia="仿宋"/>
          <w:sz w:val="32"/>
          <w:szCs w:val="32"/>
          <w:lang w:eastAsia="zh-CN"/>
        </w:rPr>
        <w:t>、商铺垃圾等</w:t>
      </w:r>
      <w:r>
        <w:rPr>
          <w:rFonts w:hint="eastAsia" w:ascii="仿宋" w:hAnsi="仿宋" w:eastAsia="仿宋"/>
          <w:sz w:val="32"/>
          <w:szCs w:val="32"/>
        </w:rPr>
        <w:t>分类收集，能回收利用的集中收集外售，不能回收的交由环卫部门统一清运处理。</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4.选用低噪声设备、合理布局、加强区内绿化、规范管理商业噪声等措施，</w:t>
      </w:r>
      <w:r>
        <w:rPr>
          <w:rFonts w:hint="eastAsia" w:ascii="仿宋" w:hAnsi="仿宋" w:eastAsia="仿宋"/>
          <w:sz w:val="32"/>
          <w:szCs w:val="32"/>
          <w:lang w:eastAsia="zh-CN"/>
        </w:rPr>
        <w:t>项目西南</w:t>
      </w:r>
      <w:r>
        <w:rPr>
          <w:rFonts w:hint="eastAsia" w:ascii="仿宋" w:hAnsi="仿宋" w:eastAsia="仿宋"/>
          <w:sz w:val="32"/>
          <w:szCs w:val="32"/>
        </w:rPr>
        <w:t>侧执行《社会生活环境噪声排放标准》（GB22337-2008）</w:t>
      </w:r>
      <w:r>
        <w:rPr>
          <w:rFonts w:hint="eastAsia" w:ascii="仿宋" w:hAnsi="仿宋" w:eastAsia="仿宋"/>
          <w:sz w:val="32"/>
          <w:szCs w:val="32"/>
          <w:lang w:val="en-US" w:eastAsia="zh-CN"/>
        </w:rPr>
        <w:t>2</w:t>
      </w:r>
      <w:r>
        <w:rPr>
          <w:rFonts w:hint="eastAsia" w:ascii="仿宋" w:hAnsi="仿宋" w:eastAsia="仿宋"/>
          <w:sz w:val="32"/>
          <w:szCs w:val="32"/>
        </w:rPr>
        <w:t>类标准，其他区域执行</w:t>
      </w:r>
      <w:r>
        <w:rPr>
          <w:rFonts w:hint="eastAsia" w:ascii="仿宋" w:hAnsi="仿宋" w:eastAsia="仿宋"/>
          <w:sz w:val="32"/>
          <w:szCs w:val="32"/>
          <w:lang w:val="en-US" w:eastAsia="zh-CN"/>
        </w:rPr>
        <w:t>4</w:t>
      </w:r>
      <w:r>
        <w:rPr>
          <w:rFonts w:hint="eastAsia" w:ascii="仿宋" w:hAnsi="仿宋" w:eastAsia="仿宋"/>
          <w:sz w:val="32"/>
          <w:szCs w:val="32"/>
        </w:rPr>
        <w:t>类标准。</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三、严格执行配套的环境保护设施与主体工程同时设计、</w:t>
      </w:r>
      <w:r>
        <w:rPr>
          <w:rFonts w:hint="eastAsia" w:ascii="仿宋" w:hAnsi="仿宋" w:eastAsia="仿宋"/>
          <w:sz w:val="32"/>
          <w:szCs w:val="32"/>
          <w:lang w:eastAsia="zh-CN"/>
        </w:rPr>
        <w:t>同时</w:t>
      </w:r>
      <w:r>
        <w:rPr>
          <w:rFonts w:hint="eastAsia" w:ascii="仿宋" w:hAnsi="仿宋" w:eastAsia="仿宋"/>
          <w:sz w:val="32"/>
          <w:szCs w:val="32"/>
        </w:rPr>
        <w:t>施工、同时投产使用的环保“三同时</w:t>
      </w:r>
      <w:r>
        <w:rPr>
          <w:rFonts w:hint="eastAsia" w:ascii="仿宋" w:hAnsi="仿宋" w:eastAsia="仿宋"/>
          <w:sz w:val="32"/>
          <w:szCs w:val="32"/>
          <w:lang w:eastAsia="zh-CN"/>
        </w:rPr>
        <w:t>”</w:t>
      </w:r>
      <w:r>
        <w:rPr>
          <w:rFonts w:hint="eastAsia" w:ascii="仿宋" w:hAnsi="仿宋" w:eastAsia="仿宋"/>
          <w:sz w:val="32"/>
          <w:szCs w:val="32"/>
        </w:rPr>
        <w:t>制度。项目建成后，应按规定程序自行开展竣工环境保护验收，验收合格后方可投入运营。</w:t>
      </w:r>
    </w:p>
    <w:p>
      <w:pPr>
        <w:spacing w:line="600" w:lineRule="exact"/>
        <w:ind w:firstLine="632" w:firstLineChars="200"/>
        <w:rPr>
          <w:rFonts w:hint="eastAsia" w:ascii="仿宋" w:hAnsi="仿宋" w:eastAsia="仿宋"/>
          <w:sz w:val="32"/>
          <w:szCs w:val="32"/>
        </w:rPr>
      </w:pPr>
      <w:r>
        <w:rPr>
          <w:rFonts w:hint="eastAsia" w:ascii="仿宋" w:hAnsi="仿宋" w:eastAsia="仿宋"/>
          <w:sz w:val="32"/>
          <w:szCs w:val="32"/>
        </w:rPr>
        <w:t>四、项目的环境影响报告表经批准后，项目的性质、规模、地点或者防治污染、防止生态破坏的措施发生重大变化的，应重新报批工程的环评文件。</w:t>
      </w:r>
    </w:p>
    <w:p>
      <w:pPr>
        <w:spacing w:line="600" w:lineRule="exact"/>
        <w:rPr>
          <w:rFonts w:hint="eastAsia" w:ascii="仿宋_GB2312" w:eastAsia="仿宋_GB2312"/>
          <w:sz w:val="32"/>
          <w:szCs w:val="32"/>
        </w:rPr>
      </w:pPr>
    </w:p>
    <w:p>
      <w:pPr>
        <w:spacing w:line="600" w:lineRule="exact"/>
        <w:jc w:val="right"/>
        <w:rPr>
          <w:rFonts w:hint="eastAsia" w:ascii="仿宋_GB2312" w:eastAsia="仿宋_GB2312"/>
          <w:sz w:val="32"/>
          <w:szCs w:val="32"/>
        </w:rPr>
      </w:pPr>
    </w:p>
    <w:p>
      <w:pPr>
        <w:wordWrap w:val="0"/>
        <w:spacing w:line="600" w:lineRule="exact"/>
        <w:ind w:left="0" w:leftChars="0" w:right="632" w:firstLine="0" w:firstLineChars="0"/>
        <w:jc w:val="right"/>
        <w:rPr>
          <w:rFonts w:hint="eastAsia" w:ascii="仿宋" w:hAnsi="仿宋" w:eastAsia="仿宋"/>
          <w:sz w:val="32"/>
          <w:szCs w:val="32"/>
          <w:lang w:val="en-US" w:eastAsia="zh-CN"/>
        </w:rPr>
      </w:pPr>
      <w:r>
        <w:rPr>
          <w:rFonts w:hint="eastAsia" w:ascii="仿宋" w:hAnsi="仿宋" w:eastAsia="仿宋"/>
          <w:sz w:val="32"/>
          <w:szCs w:val="32"/>
        </w:rPr>
        <w:t>上杭县环境保护局</w:t>
      </w:r>
      <w:r>
        <w:rPr>
          <w:rFonts w:hint="eastAsia" w:ascii="仿宋" w:hAnsi="仿宋" w:eastAsia="仿宋"/>
          <w:sz w:val="32"/>
          <w:szCs w:val="32"/>
          <w:lang w:val="en-US" w:eastAsia="zh-CN"/>
        </w:rPr>
        <w:t xml:space="preserve">        </w:t>
      </w:r>
    </w:p>
    <w:p>
      <w:pPr>
        <w:wordWrap w:val="0"/>
        <w:spacing w:line="600" w:lineRule="exact"/>
        <w:ind w:left="0" w:leftChars="0" w:right="632" w:firstLine="0" w:firstLineChars="0"/>
        <w:jc w:val="right"/>
        <w:rPr>
          <w:rFonts w:hint="eastAsia" w:ascii="仿宋" w:hAnsi="仿宋" w:eastAsia="仿宋"/>
          <w:sz w:val="32"/>
          <w:szCs w:val="32"/>
          <w:lang w:val="en-US" w:eastAsia="zh-CN"/>
        </w:rPr>
      </w:pPr>
      <w:r>
        <w:rPr>
          <w:rFonts w:hint="eastAsia" w:ascii="仿宋" w:hAnsi="仿宋" w:eastAsia="仿宋"/>
          <w:sz w:val="32"/>
          <w:szCs w:val="32"/>
        </w:rPr>
        <w:t>2018年</w:t>
      </w:r>
      <w:r>
        <w:rPr>
          <w:rFonts w:hint="eastAsia" w:ascii="仿宋" w:hAnsi="仿宋" w:eastAsia="仿宋"/>
          <w:sz w:val="32"/>
          <w:szCs w:val="32"/>
          <w:lang w:val="en-US" w:eastAsia="zh-CN"/>
        </w:rPr>
        <w:t>11</w:t>
      </w:r>
      <w:r>
        <w:rPr>
          <w:rFonts w:hint="eastAsia" w:ascii="仿宋" w:hAnsi="仿宋" w:eastAsia="仿宋"/>
          <w:sz w:val="32"/>
          <w:szCs w:val="32"/>
        </w:rPr>
        <w:t>月</w:t>
      </w:r>
      <w:r>
        <w:rPr>
          <w:rFonts w:hint="eastAsia" w:ascii="仿宋" w:hAnsi="仿宋" w:eastAsia="仿宋"/>
          <w:sz w:val="32"/>
          <w:szCs w:val="32"/>
          <w:lang w:val="en-US" w:eastAsia="zh-CN"/>
        </w:rPr>
        <w:t>12</w:t>
      </w:r>
      <w:r>
        <w:rPr>
          <w:rFonts w:hint="eastAsia" w:ascii="仿宋" w:hAnsi="仿宋" w:eastAsia="仿宋"/>
          <w:sz w:val="32"/>
          <w:szCs w:val="32"/>
        </w:rPr>
        <w:t>日</w:t>
      </w:r>
      <w:r>
        <w:rPr>
          <w:rFonts w:hint="eastAsia" w:ascii="仿宋" w:hAnsi="仿宋" w:eastAsia="仿宋"/>
          <w:sz w:val="32"/>
          <w:szCs w:val="32"/>
          <w:lang w:val="en-US" w:eastAsia="zh-CN"/>
        </w:rPr>
        <w:t xml:space="preserve">        </w:t>
      </w:r>
    </w:p>
    <w:p>
      <w:pPr>
        <w:spacing w:line="600" w:lineRule="exact"/>
        <w:rPr>
          <w:rFonts w:hint="eastAsia" w:ascii="仿宋_GB2312" w:eastAsia="仿宋_GB2312"/>
          <w:sz w:val="32"/>
          <w:szCs w:val="32"/>
        </w:rPr>
      </w:pPr>
    </w:p>
    <w:p>
      <w:pPr>
        <w:spacing w:line="600" w:lineRule="exact"/>
        <w:rPr>
          <w:rFonts w:hint="eastAsia" w:ascii="仿宋_GB2312" w:eastAsia="仿宋_GB2312"/>
          <w:sz w:val="32"/>
          <w:szCs w:val="32"/>
        </w:rPr>
      </w:pPr>
    </w:p>
    <w:p>
      <w:pPr>
        <w:pBdr>
          <w:bottom w:val="single" w:color="auto" w:sz="6" w:space="1"/>
        </w:pBdr>
        <w:spacing w:line="600" w:lineRule="exact"/>
        <w:rPr>
          <w:rFonts w:hint="eastAsia" w:ascii="仿宋_GB2312" w:eastAsia="仿宋_GB2312"/>
          <w:sz w:val="32"/>
          <w:szCs w:val="32"/>
        </w:rPr>
      </w:pPr>
    </w:p>
    <w:p>
      <w:pPr>
        <w:spacing w:line="600" w:lineRule="exact"/>
        <w:ind w:firstLine="276" w:firstLineChars="100"/>
        <w:rPr>
          <w:rFonts w:hint="eastAsia" w:ascii="仿宋" w:hAnsi="仿宋" w:eastAsia="仿宋" w:cs="仿宋"/>
          <w:sz w:val="28"/>
          <w:szCs w:val="28"/>
        </w:rPr>
      </w:pPr>
      <w:r>
        <w:rPr>
          <w:rFonts w:hint="eastAsia" w:ascii="仿宋" w:hAnsi="仿宋" w:eastAsia="仿宋" w:cs="仿宋"/>
          <w:sz w:val="28"/>
          <w:szCs w:val="28"/>
        </w:rPr>
        <w:t>抄送：县环境监察大队，存档。</w:t>
      </w:r>
    </w:p>
    <w:p>
      <w:pPr>
        <w:pBdr>
          <w:top w:val="single" w:color="auto" w:sz="6" w:space="1"/>
          <w:bottom w:val="single" w:color="auto" w:sz="6" w:space="1"/>
        </w:pBdr>
        <w:spacing w:line="600" w:lineRule="exact"/>
        <w:rPr>
          <w:rFonts w:hint="eastAsia" w:ascii="仿宋_GB2312" w:eastAsia="仿宋_GB2312"/>
          <w:sz w:val="32"/>
          <w:szCs w:val="32"/>
        </w:rPr>
      </w:pPr>
      <w:r>
        <w:rPr>
          <w:rFonts w:hint="eastAsia" w:ascii="仿宋" w:hAnsi="仿宋" w:eastAsia="仿宋" w:cs="仿宋"/>
          <w:sz w:val="28"/>
          <w:szCs w:val="28"/>
        </w:rPr>
        <w:t xml:space="preserve">  上杭县环境保护局                       2018年</w:t>
      </w:r>
      <w:r>
        <w:rPr>
          <w:rFonts w:hint="eastAsia" w:ascii="仿宋" w:hAnsi="仿宋" w:eastAsia="仿宋" w:cs="仿宋"/>
          <w:sz w:val="28"/>
          <w:szCs w:val="28"/>
          <w:lang w:val="en-US" w:eastAsia="zh-CN"/>
        </w:rPr>
        <w:t xml:space="preserve"> 11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12 </w:t>
      </w:r>
      <w:r>
        <w:rPr>
          <w:rFonts w:hint="eastAsia" w:ascii="仿宋" w:hAnsi="仿宋" w:eastAsia="仿宋" w:cs="仿宋"/>
          <w:sz w:val="28"/>
          <w:szCs w:val="28"/>
        </w:rPr>
        <w:t>日印发</w:t>
      </w:r>
    </w:p>
    <w:p/>
    <w:sectPr>
      <w:footerReference r:id="rId3" w:type="default"/>
      <w:footerReference r:id="rId4" w:type="even"/>
      <w:pgSz w:w="11906" w:h="16838"/>
      <w:pgMar w:top="2098" w:right="1474" w:bottom="1985" w:left="1588" w:header="851" w:footer="992" w:gutter="0"/>
      <w:cols w:space="720" w:num="1"/>
      <w:docGrid w:type="linesAndChars" w:linePitch="579" w:charSpace="-88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Fonts w:hint="eastAsia" w:ascii="宋体" w:hAnsi="宋体"/>
        <w:sz w:val="28"/>
        <w:szCs w:val="28"/>
      </w:rPr>
    </w:pPr>
    <w:r>
      <w:rPr>
        <w:rStyle w:val="5"/>
        <w:rFonts w:hint="eastAsia" w:ascii="宋体" w:hAnsi="宋体"/>
        <w:sz w:val="28"/>
        <w:szCs w:val="28"/>
      </w:rPr>
      <w:t xml:space="preserve">— </w:t>
    </w:r>
    <w:r>
      <w:rPr>
        <w:rFonts w:ascii="宋体" w:hAnsi="宋体"/>
        <w:sz w:val="28"/>
        <w:szCs w:val="28"/>
      </w:rPr>
      <w:fldChar w:fldCharType="begin"/>
    </w:r>
    <w:r>
      <w:rPr>
        <w:rStyle w:val="5"/>
        <w:rFonts w:ascii="宋体" w:hAnsi="宋体"/>
        <w:sz w:val="28"/>
        <w:szCs w:val="28"/>
      </w:rPr>
      <w:instrText xml:space="preserve">PAGE  </w:instrText>
    </w:r>
    <w:r>
      <w:rPr>
        <w:rFonts w:ascii="宋体" w:hAnsi="宋体"/>
        <w:sz w:val="28"/>
        <w:szCs w:val="28"/>
      </w:rPr>
      <w:fldChar w:fldCharType="separate"/>
    </w:r>
    <w:r>
      <w:rPr>
        <w:rStyle w:val="5"/>
        <w:rFonts w:ascii="宋体" w:hAnsi="宋体"/>
        <w:sz w:val="28"/>
        <w:szCs w:val="28"/>
      </w:rPr>
      <w:t>3</w:t>
    </w:r>
    <w:r>
      <w:rPr>
        <w:rFonts w:ascii="宋体" w:hAnsi="宋体"/>
        <w:sz w:val="28"/>
        <w:szCs w:val="28"/>
      </w:rPr>
      <w:fldChar w:fldCharType="end"/>
    </w:r>
    <w:r>
      <w:rPr>
        <w:rStyle w:val="5"/>
        <w:rFonts w:hint="eastAsia" w:ascii="宋体" w:hAnsi="宋体"/>
        <w:sz w:val="28"/>
        <w:szCs w:val="28"/>
      </w:rPr>
      <w:t xml:space="preserve"> —</w:t>
    </w:r>
  </w:p>
  <w:p>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5"/>
      </w:rPr>
    </w:pPr>
    <w:r>
      <w:fldChar w:fldCharType="begin"/>
    </w:r>
    <w:r>
      <w:rPr>
        <w:rStyle w:val="5"/>
      </w:rPr>
      <w:instrText xml:space="preserve">PAGE  </w:instrText>
    </w:r>
    <w:r>
      <w:fldChar w:fldCharType="end"/>
    </w:r>
  </w:p>
  <w:p>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BA7B18"/>
    <w:rsid w:val="031E2D12"/>
    <w:rsid w:val="29685BA8"/>
    <w:rsid w:val="2C097D36"/>
    <w:rsid w:val="2C997892"/>
    <w:rsid w:val="2CB11DF9"/>
    <w:rsid w:val="36D7438C"/>
    <w:rsid w:val="402E5FF1"/>
    <w:rsid w:val="42FC4EFE"/>
    <w:rsid w:val="462E540D"/>
    <w:rsid w:val="463720B2"/>
    <w:rsid w:val="47A95EE3"/>
    <w:rsid w:val="491E33DB"/>
    <w:rsid w:val="4DF368C5"/>
    <w:rsid w:val="510C108D"/>
    <w:rsid w:val="52A0575A"/>
    <w:rsid w:val="52C610E1"/>
    <w:rsid w:val="5E0F5A1D"/>
    <w:rsid w:val="662A51B4"/>
    <w:rsid w:val="683D67D9"/>
    <w:rsid w:val="78186380"/>
    <w:rsid w:val="7C4E1E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link w:val="4"/>
    <w:semiHidden/>
    <w:uiPriority w:val="0"/>
    <w:rPr>
      <w:sz w:val="24"/>
    </w:rPr>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customStyle="1" w:styleId="4">
    <w:name w:val="_Style 6"/>
    <w:basedOn w:val="1"/>
    <w:link w:val="3"/>
    <w:qFormat/>
    <w:uiPriority w:val="0"/>
    <w:rPr>
      <w:sz w:val="24"/>
    </w:rPr>
  </w:style>
  <w:style w:type="character" w:styleId="5">
    <w:name w:val="page number"/>
    <w:basedOn w:val="3"/>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Office_10.1.0.7521_F1E327BC-269C-435d-A152-05C5408002CA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xhzxcw01</dc:creator>
  <cp:lastModifiedBy>Administrator</cp:lastModifiedBy>
  <cp:lastPrinted>2018-11-12T02:43:34Z</cp:lastPrinted>
  <dcterms:modified xsi:type="dcterms:W3CDTF">2018-11-12T02:53:38Z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