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黑体" w:hAnsi="黑体" w:eastAsia="黑体"/>
          <w:sz w:val="32"/>
          <w:szCs w:val="32"/>
        </w:rPr>
      </w:pPr>
      <w:r>
        <w:rPr>
          <w:rFonts w:hint="eastAsia" w:ascii="黑体" w:hAnsi="黑体" w:eastAsia="黑体"/>
          <w:sz w:val="32"/>
          <w:szCs w:val="32"/>
        </w:rPr>
        <w:t>附件1</w:t>
      </w:r>
    </w:p>
    <w:p>
      <w:pPr>
        <w:widowControl/>
        <w:rPr>
          <w:sz w:val="32"/>
          <w:szCs w:val="32"/>
        </w:rPr>
      </w:pPr>
    </w:p>
    <w:p>
      <w:pPr>
        <w:widowControl/>
        <w:jc w:val="center"/>
        <w:rPr>
          <w:rFonts w:hint="eastAsia"/>
          <w:sz w:val="84"/>
          <w:szCs w:val="84"/>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lang w:val="en-US" w:eastAsia="zh-CN"/>
        </w:rPr>
        <w:t>2022</w:t>
      </w:r>
      <w:r>
        <w:rPr>
          <w:rFonts w:hint="eastAsia" w:ascii="方正小标宋简体" w:eastAsia="方正小标宋简体"/>
          <w:sz w:val="84"/>
          <w:szCs w:val="84"/>
        </w:rPr>
        <w:t>年度</w:t>
      </w:r>
    </w:p>
    <w:p>
      <w:pPr>
        <w:widowControl/>
        <w:jc w:val="center"/>
        <w:rPr>
          <w:rFonts w:hint="default" w:eastAsia="方正小标宋简体" w:asciiTheme="minorEastAsia" w:hAnsiTheme="minorEastAsia"/>
          <w:sz w:val="84"/>
          <w:szCs w:val="84"/>
          <w:lang w:val="en-US" w:eastAsia="zh-CN"/>
        </w:rPr>
      </w:pPr>
      <w:r>
        <w:rPr>
          <w:rFonts w:hint="eastAsia" w:ascii="方正小标宋简体" w:eastAsia="方正小标宋简体"/>
          <w:sz w:val="84"/>
          <w:szCs w:val="84"/>
          <w:lang w:val="en-US" w:eastAsia="zh-CN"/>
        </w:rPr>
        <w:t>上杭县蛟洋工业区管理委员会</w:t>
      </w:r>
    </w:p>
    <w:p>
      <w:pPr>
        <w:widowControl/>
        <w:jc w:val="center"/>
        <w:rPr>
          <w:rFonts w:ascii="方正小标宋简体" w:eastAsia="方正小标宋简体"/>
          <w:sz w:val="84"/>
          <w:szCs w:val="84"/>
        </w:rPr>
      </w:pPr>
      <w:r>
        <w:rPr>
          <w:rFonts w:hint="eastAsia" w:ascii="方正小标宋简体" w:eastAsia="方正小标宋简体"/>
          <w:sz w:val="84"/>
          <w:szCs w:val="84"/>
        </w:rPr>
        <w:t>部门预算</w:t>
      </w:r>
    </w:p>
    <w:p>
      <w:pPr>
        <w:widowControl/>
        <w:rPr>
          <w:sz w:val="84"/>
          <w:szCs w:val="84"/>
        </w:rPr>
      </w:pPr>
      <w:r>
        <w:rPr>
          <w:sz w:val="84"/>
          <w:szCs w:val="84"/>
        </w:rPr>
        <w:br w:type="page"/>
      </w:r>
    </w:p>
    <w:p>
      <w:pPr>
        <w:pStyle w:val="3"/>
        <w:jc w:val="center"/>
        <w:rPr>
          <w:rFonts w:ascii="方正小标宋简体" w:eastAsia="方正小标宋简体" w:hAnsiTheme="majorEastAsia"/>
          <w:b w:val="0"/>
          <w:sz w:val="44"/>
          <w:lang w:eastAsia="zh-CN"/>
        </w:rPr>
      </w:pPr>
      <w:r>
        <w:rPr>
          <w:rFonts w:hint="eastAsia" w:ascii="方正小标宋简体" w:eastAsia="方正小标宋简体" w:cs="Times New Roman" w:hAnsiTheme="majorEastAsia"/>
          <w:b w:val="0"/>
          <w:kern w:val="0"/>
          <w:sz w:val="44"/>
          <w:szCs w:val="20"/>
          <w:lang w:eastAsia="zh-CN"/>
        </w:rPr>
        <w:t>目</w:t>
      </w:r>
      <w:r>
        <w:rPr>
          <w:rFonts w:ascii="方正小标宋简体" w:eastAsia="方正小标宋简体" w:cs="Times New Roman" w:hAnsiTheme="majorEastAsia"/>
          <w:b w:val="0"/>
          <w:kern w:val="0"/>
          <w:sz w:val="44"/>
          <w:szCs w:val="20"/>
          <w:lang w:eastAsia="zh-CN"/>
        </w:rPr>
        <w:t xml:space="preserve">  </w:t>
      </w:r>
      <w:r>
        <w:rPr>
          <w:rFonts w:hint="eastAsia" w:ascii="方正小标宋简体" w:eastAsia="方正小标宋简体" w:cs="Times New Roman" w:hAnsiTheme="majorEastAsia"/>
          <w:b w:val="0"/>
          <w:kern w:val="0"/>
          <w:sz w:val="44"/>
          <w:szCs w:val="20"/>
          <w:lang w:eastAsia="zh-CN"/>
        </w:rPr>
        <w:t>录</w:t>
      </w:r>
    </w:p>
    <w:p>
      <w:pPr>
        <w:pStyle w:val="3"/>
        <w:rPr>
          <w:rFonts w:asciiTheme="majorEastAsia" w:hAnsiTheme="majorEastAsia" w:eastAsiaTheme="majorEastAsia"/>
          <w:sz w:val="36"/>
          <w:lang w:eastAsia="zh-CN"/>
        </w:rPr>
      </w:pPr>
    </w:p>
    <w:p>
      <w:pPr>
        <w:pStyle w:val="3"/>
        <w:rPr>
          <w:rFonts w:hint="default" w:ascii="仿宋" w:hAnsi="仿宋" w:eastAsia="仿宋"/>
          <w:b/>
          <w:sz w:val="36"/>
          <w:lang w:val="en-US" w:eastAsia="zh-CN"/>
        </w:rPr>
      </w:pPr>
      <w:r>
        <w:rPr>
          <w:rFonts w:hint="eastAsia" w:ascii="仿宋" w:hAnsi="仿宋" w:eastAsia="仿宋" w:cs="Times New Roman"/>
          <w:b/>
          <w:kern w:val="0"/>
          <w:sz w:val="36"/>
          <w:szCs w:val="20"/>
          <w:lang w:eastAsia="zh-CN"/>
        </w:rPr>
        <w:t>第一部分</w:t>
      </w:r>
      <w:r>
        <w:rPr>
          <w:rFonts w:ascii="仿宋" w:hAnsi="仿宋" w:eastAsia="仿宋" w:cs="Times New Roman"/>
          <w:b/>
          <w:kern w:val="0"/>
          <w:sz w:val="36"/>
          <w:szCs w:val="20"/>
          <w:lang w:eastAsia="zh-CN"/>
        </w:rPr>
        <w:t xml:space="preserve"> </w:t>
      </w:r>
      <w:r>
        <w:rPr>
          <w:rFonts w:hint="eastAsia" w:ascii="仿宋" w:hAnsi="仿宋" w:eastAsia="仿宋" w:cs="Times New Roman"/>
          <w:b/>
          <w:kern w:val="0"/>
          <w:sz w:val="36"/>
          <w:szCs w:val="20"/>
          <w:lang w:eastAsia="zh-CN"/>
        </w:rPr>
        <w:t>部门概况</w:t>
      </w:r>
      <w:r>
        <w:rPr>
          <w:rFonts w:ascii="仿宋" w:hAnsi="仿宋" w:eastAsia="仿宋" w:cs="Times New Roman"/>
          <w:b/>
          <w:kern w:val="0"/>
          <w:sz w:val="36"/>
          <w:szCs w:val="20"/>
          <w:lang w:eastAsia="zh-CN"/>
        </w:rPr>
        <w:t>…………………………………</w:t>
      </w:r>
      <w:r>
        <w:rPr>
          <w:rFonts w:hint="eastAsia" w:ascii="仿宋" w:hAnsi="仿宋" w:eastAsia="仿宋" w:cs="Times New Roman"/>
          <w:b/>
          <w:kern w:val="0"/>
          <w:sz w:val="36"/>
          <w:szCs w:val="20"/>
          <w:lang w:val="en-US" w:eastAsia="zh-CN"/>
        </w:rPr>
        <w:t>4</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一、部门主要职责</w:t>
      </w:r>
      <w:r>
        <w:rPr>
          <w:rFonts w:ascii="仿宋" w:hAnsi="仿宋" w:eastAsia="仿宋"/>
          <w:sz w:val="36"/>
          <w:lang w:eastAsia="zh-CN"/>
        </w:rPr>
        <w:t>…………………………………</w:t>
      </w:r>
      <w:r>
        <w:rPr>
          <w:rFonts w:hint="eastAsia" w:ascii="仿宋" w:hAnsi="仿宋" w:eastAsia="仿宋"/>
          <w:sz w:val="36"/>
          <w:lang w:val="en-US" w:eastAsia="zh-CN"/>
        </w:rPr>
        <w:t>5</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二、部门预算单位构成</w:t>
      </w:r>
      <w:r>
        <w:rPr>
          <w:rFonts w:ascii="仿宋" w:hAnsi="仿宋" w:eastAsia="仿宋"/>
          <w:sz w:val="36"/>
          <w:lang w:eastAsia="zh-CN"/>
        </w:rPr>
        <w:t>……………………………</w:t>
      </w:r>
      <w:r>
        <w:rPr>
          <w:rFonts w:hint="eastAsia" w:ascii="仿宋" w:hAnsi="仿宋" w:eastAsia="仿宋"/>
          <w:sz w:val="36"/>
          <w:lang w:val="en-US" w:eastAsia="zh-CN"/>
        </w:rPr>
        <w:t>6</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三、部门主要工作任务</w:t>
      </w:r>
      <w:r>
        <w:rPr>
          <w:rFonts w:ascii="仿宋" w:hAnsi="仿宋" w:eastAsia="仿宋"/>
          <w:sz w:val="36"/>
          <w:lang w:eastAsia="zh-CN"/>
        </w:rPr>
        <w:t>……………………………</w:t>
      </w:r>
      <w:r>
        <w:rPr>
          <w:rFonts w:hint="eastAsia" w:ascii="仿宋" w:hAnsi="仿宋" w:eastAsia="仿宋"/>
          <w:sz w:val="36"/>
          <w:lang w:val="en-US" w:eastAsia="zh-CN"/>
        </w:rPr>
        <w:t>6</w:t>
      </w:r>
    </w:p>
    <w:p>
      <w:pPr>
        <w:pStyle w:val="3"/>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cs="Times New Roman"/>
          <w:b/>
          <w:sz w:val="36"/>
          <w:lang w:val="en-US" w:eastAsia="zh-CN"/>
        </w:rPr>
        <w:t>2022</w:t>
      </w:r>
      <w:r>
        <w:rPr>
          <w:rFonts w:hint="eastAsia" w:ascii="仿宋" w:hAnsi="仿宋" w:eastAsia="仿宋"/>
          <w:b/>
          <w:sz w:val="36"/>
          <w:lang w:eastAsia="zh-CN"/>
        </w:rPr>
        <w:t>年度部门预算表</w:t>
      </w:r>
      <w:r>
        <w:rPr>
          <w:rFonts w:ascii="仿宋" w:hAnsi="仿宋" w:eastAsia="仿宋"/>
          <w:sz w:val="36"/>
          <w:lang w:eastAsia="zh-CN"/>
        </w:rPr>
        <w:t>……………………</w:t>
      </w:r>
      <w:r>
        <w:rPr>
          <w:rFonts w:hint="eastAsia" w:ascii="仿宋" w:hAnsi="仿宋" w:eastAsia="仿宋"/>
          <w:sz w:val="36"/>
          <w:lang w:val="en-US" w:eastAsia="zh-CN"/>
        </w:rPr>
        <w:t>10</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11</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13</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15</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16</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17</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18</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18</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19</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20</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24</w:t>
      </w:r>
    </w:p>
    <w:p>
      <w:pPr>
        <w:pStyle w:val="3"/>
        <w:ind w:firstLine="360" w:firstLineChars="100"/>
        <w:rPr>
          <w:rFonts w:hint="default" w:ascii="仿宋" w:hAnsi="仿宋" w:eastAsia="仿宋"/>
          <w:sz w:val="36"/>
          <w:lang w:val="en-US" w:eastAsia="zh-CN"/>
        </w:rPr>
      </w:pPr>
      <w:r>
        <w:rPr>
          <w:rFonts w:hint="eastAsia" w:ascii="仿宋" w:hAnsi="仿宋" w:eastAsia="仿宋"/>
          <w:sz w:val="36"/>
          <w:lang w:eastAsia="zh-CN"/>
        </w:rPr>
        <w:t>十一、部门专项资金管理清单目录</w:t>
      </w:r>
      <w:r>
        <w:rPr>
          <w:rFonts w:ascii="仿宋" w:hAnsi="仿宋" w:eastAsia="仿宋"/>
          <w:sz w:val="36"/>
          <w:lang w:eastAsia="zh-CN"/>
        </w:rPr>
        <w:t>………………</w:t>
      </w:r>
      <w:r>
        <w:rPr>
          <w:rFonts w:hint="eastAsia" w:ascii="仿宋" w:hAnsi="仿宋" w:eastAsia="仿宋"/>
          <w:sz w:val="36"/>
          <w:lang w:val="en-US" w:eastAsia="zh-CN"/>
        </w:rPr>
        <w:t>25</w:t>
      </w:r>
    </w:p>
    <w:p>
      <w:pPr>
        <w:widowControl/>
        <w:rPr>
          <w:rFonts w:hint="default" w:ascii="仿宋" w:hAnsi="仿宋" w:eastAsia="仿宋"/>
          <w:b/>
          <w:sz w:val="40"/>
          <w:lang w:val="en-US"/>
        </w:rPr>
      </w:pPr>
      <w:r>
        <w:rPr>
          <w:rFonts w:hint="eastAsia" w:ascii="仿宋" w:hAnsi="仿宋" w:eastAsia="仿宋" w:cstheme="minorBidi"/>
          <w:b/>
          <w:kern w:val="2"/>
          <w:sz w:val="40"/>
          <w:szCs w:val="22"/>
          <w:lang w:eastAsia="zh-CN"/>
        </w:rPr>
        <w:t>第三部分</w:t>
      </w:r>
      <w:r>
        <w:rPr>
          <w:rFonts w:ascii="仿宋" w:hAnsi="仿宋" w:eastAsia="仿宋" w:cstheme="minorBidi"/>
          <w:b/>
          <w:kern w:val="2"/>
          <w:sz w:val="40"/>
          <w:szCs w:val="22"/>
          <w:lang w:eastAsia="zh-CN"/>
        </w:rPr>
        <w:t xml:space="preserve"> </w:t>
      </w:r>
      <w:r>
        <w:rPr>
          <w:rFonts w:hint="eastAsia" w:ascii="仿宋" w:hAnsi="仿宋" w:eastAsia="仿宋" w:cstheme="minorBidi"/>
          <w:b/>
          <w:kern w:val="2"/>
          <w:sz w:val="40"/>
          <w:szCs w:val="22"/>
          <w:lang w:val="en-US" w:eastAsia="zh-CN"/>
        </w:rPr>
        <w:t>2022</w:t>
      </w:r>
      <w:r>
        <w:rPr>
          <w:rFonts w:hint="eastAsia" w:ascii="仿宋" w:hAnsi="仿宋" w:eastAsia="仿宋" w:cstheme="minorBidi"/>
          <w:b/>
          <w:kern w:val="2"/>
          <w:sz w:val="40"/>
          <w:szCs w:val="22"/>
          <w:lang w:eastAsia="zh-CN"/>
        </w:rPr>
        <w:t>年度部门预算情况说明</w:t>
      </w:r>
      <w:r>
        <w:rPr>
          <w:rFonts w:ascii="仿宋" w:hAnsi="仿宋" w:eastAsia="仿宋" w:cstheme="minorBidi"/>
          <w:kern w:val="2"/>
          <w:sz w:val="36"/>
          <w:szCs w:val="22"/>
          <w:lang w:eastAsia="zh-CN"/>
        </w:rPr>
        <w:t>………</w:t>
      </w:r>
      <w:r>
        <w:rPr>
          <w:rFonts w:hint="eastAsia" w:ascii="仿宋" w:hAnsi="仿宋" w:eastAsia="仿宋" w:cstheme="minorBidi"/>
          <w:kern w:val="2"/>
          <w:sz w:val="36"/>
          <w:szCs w:val="22"/>
          <w:lang w:val="en-US" w:eastAsia="zh-CN"/>
        </w:rPr>
        <w:t>27</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28</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28</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29</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29</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五、财政拨款预算基本支出情况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29</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30</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31</w:t>
      </w:r>
    </w:p>
    <w:p>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32</w:t>
      </w:r>
    </w:p>
    <w:p>
      <w:pPr>
        <w:pStyle w:val="3"/>
        <w:spacing w:before="3"/>
        <w:rPr>
          <w:rFonts w:hint="default" w:ascii="仿宋" w:hAnsi="仿宋" w:eastAsia="仿宋"/>
          <w:sz w:val="26"/>
          <w:lang w:val="en-US" w:eastAsia="zh-CN"/>
        </w:rPr>
      </w:pPr>
      <w:r>
        <w:rPr>
          <w:rFonts w:hint="eastAsia" w:ascii="仿宋" w:hAnsi="仿宋" w:eastAsia="仿宋" w:cs="Times New Roman"/>
          <w:b/>
          <w:kern w:val="0"/>
          <w:sz w:val="40"/>
          <w:szCs w:val="20"/>
          <w:lang w:eastAsia="zh-CN"/>
        </w:rPr>
        <w:t>第四部分</w:t>
      </w:r>
      <w:r>
        <w:rPr>
          <w:rFonts w:ascii="仿宋" w:hAnsi="仿宋" w:eastAsia="仿宋" w:cs="Times New Roman"/>
          <w:b/>
          <w:kern w:val="0"/>
          <w:sz w:val="40"/>
          <w:szCs w:val="20"/>
          <w:lang w:eastAsia="zh-CN"/>
        </w:rPr>
        <w:t xml:space="preserve"> </w:t>
      </w:r>
      <w:r>
        <w:rPr>
          <w:rFonts w:hint="eastAsia" w:ascii="仿宋" w:hAnsi="仿宋" w:eastAsia="仿宋" w:cs="Times New Roman"/>
          <w:b/>
          <w:kern w:val="0"/>
          <w:sz w:val="40"/>
          <w:szCs w:val="20"/>
          <w:lang w:eastAsia="zh-CN"/>
        </w:rPr>
        <w:t>名词解释</w:t>
      </w:r>
      <w:r>
        <w:rPr>
          <w:rFonts w:ascii="仿宋" w:hAnsi="仿宋" w:eastAsia="仿宋" w:cs="Times New Roman"/>
          <w:kern w:val="0"/>
          <w:sz w:val="36"/>
          <w:szCs w:val="20"/>
          <w:lang w:eastAsia="zh-CN"/>
        </w:rPr>
        <w:t>………………………………</w:t>
      </w:r>
      <w:r>
        <w:rPr>
          <w:rFonts w:hint="eastAsia" w:ascii="仿宋" w:hAnsi="仿宋" w:eastAsia="仿宋" w:cs="Times New Roman"/>
          <w:kern w:val="0"/>
          <w:sz w:val="36"/>
          <w:szCs w:val="20"/>
          <w:lang w:val="en-US" w:eastAsia="zh-CN"/>
        </w:rPr>
        <w:t>33</w:t>
      </w:r>
    </w:p>
    <w:p>
      <w:pPr>
        <w:widowControl/>
      </w:pPr>
      <w:r>
        <w:tab/>
      </w:r>
    </w:p>
    <w:p>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left"/>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pPr>
        <w:pStyle w:val="3"/>
        <w:jc w:val="center"/>
        <w:rPr>
          <w:rFonts w:ascii="黑体" w:hAnsi="黑体" w:eastAsia="黑体"/>
          <w:sz w:val="56"/>
          <w:szCs w:val="36"/>
          <w:lang w:eastAsia="zh-CN"/>
        </w:rPr>
      </w:pPr>
      <w:r>
        <w:rPr>
          <w:rFonts w:hint="eastAsia" w:ascii="黑体" w:hAnsi="黑体" w:eastAsia="黑体"/>
          <w:sz w:val="56"/>
          <w:szCs w:val="36"/>
          <w:lang w:eastAsia="zh-CN"/>
        </w:rPr>
        <w:t>部门概况</w:t>
      </w:r>
    </w:p>
    <w:p>
      <w:pPr>
        <w:pStyle w:val="3"/>
        <w:rPr>
          <w:rFonts w:ascii="黑体" w:hAnsi="黑体" w:eastAsia="黑体"/>
          <w:sz w:val="36"/>
          <w:szCs w:val="36"/>
          <w:lang w:eastAsia="zh-CN"/>
        </w:rPr>
      </w:pPr>
    </w:p>
    <w:p>
      <w:pPr>
        <w:pStyle w:val="3"/>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pPr>
        <w:pStyle w:val="3"/>
        <w:rPr>
          <w:rFonts w:ascii="黑体" w:hAnsi="黑体" w:eastAsia="黑体" w:cstheme="minorBidi"/>
          <w:b w:val="0"/>
          <w:kern w:val="2"/>
          <w:sz w:val="32"/>
          <w:szCs w:val="32"/>
          <w:lang w:eastAsia="zh-CN"/>
        </w:rPr>
      </w:pPr>
      <w:r>
        <w:rPr>
          <w:rFonts w:hint="eastAsia" w:ascii="黑体" w:hAnsi="黑体" w:eastAsia="黑体" w:cstheme="minorBidi"/>
          <w:b w:val="0"/>
          <w:kern w:val="2"/>
          <w:sz w:val="32"/>
          <w:szCs w:val="32"/>
          <w:lang w:eastAsia="zh-CN"/>
        </w:rPr>
        <w:t>一、部门主要职责</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_GB2312"/>
          <w:sz w:val="32"/>
          <w:szCs w:val="32"/>
          <w:lang w:val="en-US" w:eastAsia="zh-CN"/>
        </w:rPr>
        <w:t>上杭县蛟洋工业区管理委员会</w:t>
      </w:r>
      <w:r>
        <w:rPr>
          <w:rFonts w:hint="eastAsia" w:ascii="仿宋" w:hAnsi="仿宋" w:eastAsia="仿宋"/>
          <w:sz w:val="32"/>
          <w:szCs w:val="32"/>
        </w:rPr>
        <w:t>的主要职责是</w:t>
      </w:r>
      <w:r>
        <w:rPr>
          <w:rFonts w:hint="eastAsia" w:ascii="仿宋" w:hAnsi="仿宋" w:eastAsia="仿宋" w:cs="仿宋"/>
          <w:sz w:val="32"/>
          <w:szCs w:val="32"/>
          <w:shd w:val="clear" w:color="auto" w:fill="FFFFFF"/>
          <w:lang w:val="en-US" w:eastAsia="zh-CN"/>
        </w:rPr>
        <w:t>根据《中共上杭县委机构编制委员会关于印发上杭县蛟洋工业区管理委员会主要职责、内设机构和人员编制规定的通知》（杭编[2017]7号），上杭县蛟洋工业区管理委员会</w:t>
      </w:r>
      <w:r>
        <w:rPr>
          <w:rFonts w:hint="eastAsia" w:ascii="仿宋" w:hAnsi="仿宋" w:eastAsia="仿宋" w:cs="仿宋"/>
          <w:sz w:val="32"/>
          <w:szCs w:val="32"/>
          <w:shd w:val="clear" w:color="auto" w:fill="FFFFFF"/>
        </w:rPr>
        <w:t>的主要职责是：贯彻执行国家、省、市</w:t>
      </w:r>
      <w:r>
        <w:rPr>
          <w:rFonts w:hint="eastAsia" w:ascii="仿宋" w:hAnsi="仿宋" w:eastAsia="仿宋" w:cs="仿宋"/>
          <w:sz w:val="32"/>
          <w:szCs w:val="32"/>
          <w:shd w:val="clear" w:color="auto" w:fill="FFFFFF"/>
          <w:lang w:eastAsia="zh-CN"/>
        </w:rPr>
        <w:t>、县</w:t>
      </w:r>
      <w:r>
        <w:rPr>
          <w:rFonts w:hint="eastAsia" w:ascii="仿宋" w:hAnsi="仿宋" w:eastAsia="仿宋" w:cs="仿宋"/>
          <w:sz w:val="32"/>
          <w:szCs w:val="32"/>
          <w:shd w:val="clear" w:color="auto" w:fill="FFFFFF"/>
        </w:rPr>
        <w:t>关于工业区的各项方针政策，按照职责要求全面开展工业区工作</w:t>
      </w:r>
      <w:r>
        <w:rPr>
          <w:rFonts w:hint="eastAsia" w:ascii="仿宋" w:hAnsi="仿宋" w:eastAsia="仿宋" w:cs="仿宋"/>
          <w:sz w:val="32"/>
          <w:szCs w:val="32"/>
          <w:shd w:val="clear" w:color="auto" w:fill="FFFFFF"/>
          <w:lang w:eastAsia="zh-CN"/>
        </w:rPr>
        <w:t>。</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负责</w:t>
      </w:r>
      <w:r>
        <w:rPr>
          <w:rFonts w:hint="eastAsia" w:ascii="仿宋" w:hAnsi="仿宋" w:eastAsia="仿宋" w:cs="仿宋"/>
          <w:sz w:val="32"/>
          <w:szCs w:val="32"/>
          <w:shd w:val="clear" w:color="auto" w:fill="FFFFFF"/>
          <w:lang w:eastAsia="zh-CN"/>
        </w:rPr>
        <w:t>规划、建设、管理</w:t>
      </w:r>
      <w:r>
        <w:rPr>
          <w:rFonts w:hint="eastAsia" w:ascii="仿宋" w:hAnsi="仿宋" w:eastAsia="仿宋" w:cs="仿宋"/>
          <w:sz w:val="32"/>
          <w:szCs w:val="32"/>
          <w:shd w:val="clear" w:color="auto" w:fill="FFFFFF"/>
        </w:rPr>
        <w:t>蛟洋工业区</w:t>
      </w:r>
      <w:r>
        <w:rPr>
          <w:rFonts w:hint="eastAsia" w:ascii="仿宋" w:hAnsi="仿宋" w:eastAsia="仿宋" w:cs="仿宋"/>
          <w:sz w:val="32"/>
          <w:szCs w:val="32"/>
          <w:shd w:val="clear" w:color="auto" w:fill="FFFFFF"/>
          <w:lang w:eastAsia="zh-CN"/>
        </w:rPr>
        <w:t>的各项基础设施和公共设施。</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根据县人民政府批准的总体规划和控制性规划组织编制蛟洋工业区详细区域规划并组织实施和管理。负责组织制定蛟洋工业区的发展战略和中长期发展</w:t>
      </w:r>
      <w:r>
        <w:rPr>
          <w:rFonts w:hint="eastAsia" w:ascii="仿宋" w:hAnsi="仿宋" w:eastAsia="仿宋" w:cs="仿宋"/>
          <w:sz w:val="32"/>
          <w:szCs w:val="32"/>
          <w:shd w:val="clear" w:color="auto" w:fill="FFFFFF"/>
          <w:lang w:eastAsia="zh-CN"/>
        </w:rPr>
        <w:t>规划。</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根据国家、省、市、县关于工业区有关政策等规定，制定相应的管理办法和制度，研究提出政府投资环境的政策、措施并组织实施，依法保护蛟洋工业区的企业自主经营</w:t>
      </w:r>
      <w:r>
        <w:rPr>
          <w:rFonts w:hint="eastAsia" w:ascii="仿宋" w:hAnsi="仿宋" w:eastAsia="仿宋" w:cs="仿宋"/>
          <w:sz w:val="32"/>
          <w:szCs w:val="32"/>
          <w:shd w:val="clear" w:color="auto" w:fill="FFFFFF"/>
          <w:lang w:eastAsia="zh-CN"/>
        </w:rPr>
        <w:t>。</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对蛟洋工业区企业进行宏观指导、管理和协调，综合签约项目、意向项目的跟踪服务，做好入园企业产前、产中、产后服务工作，落实各项优惠政策，创造良好的招商引资发展</w:t>
      </w:r>
      <w:r>
        <w:rPr>
          <w:rFonts w:hint="eastAsia" w:ascii="仿宋" w:hAnsi="仿宋" w:eastAsia="仿宋" w:cs="仿宋"/>
          <w:sz w:val="32"/>
          <w:szCs w:val="32"/>
          <w:shd w:val="clear" w:color="auto" w:fill="FFFFFF"/>
          <w:lang w:eastAsia="zh-CN"/>
        </w:rPr>
        <w:t>环境。</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负责蛟洋工业区内的对外经济技术合作、招商引资工作。根据国家、省、市、县的有关规定，对拟入</w:t>
      </w:r>
      <w:r>
        <w:rPr>
          <w:rFonts w:hint="eastAsia" w:ascii="仿宋" w:hAnsi="仿宋" w:eastAsia="仿宋" w:cs="仿宋"/>
          <w:sz w:val="32"/>
          <w:szCs w:val="32"/>
          <w:shd w:val="clear" w:color="auto" w:fill="FFFFFF"/>
          <w:lang w:eastAsia="zh-CN"/>
        </w:rPr>
        <w:t>工业区</w:t>
      </w:r>
      <w:r>
        <w:rPr>
          <w:rFonts w:hint="eastAsia" w:ascii="仿宋" w:hAnsi="仿宋" w:eastAsia="仿宋" w:cs="仿宋"/>
          <w:sz w:val="32"/>
          <w:szCs w:val="32"/>
          <w:shd w:val="clear" w:color="auto" w:fill="FFFFFF"/>
        </w:rPr>
        <w:t>的投资项目进行审核</w:t>
      </w:r>
      <w:r>
        <w:rPr>
          <w:rFonts w:hint="eastAsia" w:ascii="仿宋" w:hAnsi="仿宋" w:eastAsia="仿宋" w:cs="仿宋"/>
          <w:sz w:val="32"/>
          <w:szCs w:val="32"/>
          <w:shd w:val="clear" w:color="auto" w:fill="FFFFFF"/>
          <w:lang w:eastAsia="zh-CN"/>
        </w:rPr>
        <w:t>。</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负责蛟洋工业区开发建设资金的预算、筹集、管理和监督，办理蛟洋工业区基础设施工程建设预、决算以及征地、拆迁资金的</w:t>
      </w:r>
      <w:r>
        <w:rPr>
          <w:rFonts w:hint="eastAsia" w:ascii="仿宋" w:hAnsi="仿宋" w:eastAsia="仿宋" w:cs="仿宋"/>
          <w:sz w:val="32"/>
          <w:szCs w:val="32"/>
          <w:shd w:val="clear" w:color="auto" w:fill="FFFFFF"/>
          <w:lang w:eastAsia="zh-CN"/>
        </w:rPr>
        <w:t>审核。</w:t>
      </w:r>
    </w:p>
    <w:p>
      <w:pPr>
        <w:pStyle w:val="3"/>
        <w:numPr>
          <w:ilvl w:val="0"/>
          <w:numId w:val="1"/>
        </w:numPr>
        <w:ind w:left="-220" w:leftChars="0" w:firstLine="640" w:firstLineChars="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负责蛟洋工业区内企业安全生产、环境保护</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社会治安等工作</w:t>
      </w:r>
      <w:r>
        <w:rPr>
          <w:rFonts w:hint="eastAsia" w:ascii="仿宋" w:hAnsi="仿宋" w:eastAsia="仿宋" w:cs="仿宋"/>
          <w:sz w:val="32"/>
          <w:szCs w:val="32"/>
          <w:shd w:val="clear" w:color="auto" w:fill="FFFFFF"/>
          <w:lang w:eastAsia="zh-CN"/>
        </w:rPr>
        <w:t>。</w:t>
      </w:r>
    </w:p>
    <w:p>
      <w:pPr>
        <w:pStyle w:val="3"/>
        <w:ind w:firstLine="320" w:firstLineChars="100"/>
        <w:rPr>
          <w:rFonts w:ascii="仿宋" w:hAnsi="仿宋" w:eastAsia="仿宋"/>
          <w:sz w:val="32"/>
          <w:szCs w:val="32"/>
        </w:rPr>
      </w:pP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九</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完成县委、县人民政府交办的其他各项任务。</w:t>
      </w:r>
    </w:p>
    <w:p>
      <w:pPr>
        <w:pStyle w:val="3"/>
        <w:rPr>
          <w:rFonts w:ascii="黑体" w:hAnsi="黑体" w:eastAsia="黑体" w:cstheme="minorBidi"/>
          <w:b w:val="0"/>
          <w:kern w:val="2"/>
          <w:sz w:val="32"/>
          <w:szCs w:val="32"/>
          <w:lang w:eastAsia="zh-CN"/>
        </w:rPr>
      </w:pPr>
      <w:r>
        <w:rPr>
          <w:rFonts w:hint="eastAsia" w:ascii="黑体" w:hAnsi="黑体" w:eastAsia="黑体" w:cstheme="minorBidi"/>
          <w:b w:val="0"/>
          <w:kern w:val="2"/>
          <w:sz w:val="32"/>
          <w:szCs w:val="32"/>
          <w:lang w:eastAsia="zh-CN"/>
        </w:rPr>
        <w:t>二、部门预算单位构成</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cs="仿宋_GB2312"/>
          <w:sz w:val="32"/>
          <w:szCs w:val="32"/>
          <w:lang w:val="en-US" w:eastAsia="zh-CN"/>
        </w:rPr>
        <w:t>上杭县蛟洋工业区管理委员会</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个机关行政处（科）室及</w:t>
      </w:r>
      <w:r>
        <w:rPr>
          <w:rFonts w:hint="eastAsia" w:ascii="仿宋" w:hAnsi="仿宋" w:eastAsia="仿宋" w:cs="仿宋_GB2312"/>
          <w:sz w:val="32"/>
          <w:szCs w:val="32"/>
          <w:lang w:val="en-US" w:eastAsia="zh-CN"/>
        </w:rPr>
        <w:t>2</w:t>
      </w:r>
      <w:r>
        <w:rPr>
          <w:rFonts w:hint="eastAsia" w:ascii="仿宋" w:hAnsi="仿宋" w:eastAsia="仿宋"/>
          <w:sz w:val="32"/>
          <w:szCs w:val="32"/>
        </w:rPr>
        <w:t>个下属单位，其中：列入</w:t>
      </w:r>
      <w:r>
        <w:rPr>
          <w:rFonts w:hint="eastAsia" w:ascii="仿宋" w:hAnsi="仿宋" w:eastAsia="仿宋" w:cs="仿宋_GB2312"/>
          <w:sz w:val="32"/>
          <w:szCs w:val="32"/>
          <w:lang w:val="en-US" w:eastAsia="zh-CN"/>
        </w:rPr>
        <w:t>2022</w:t>
      </w:r>
      <w:r>
        <w:rPr>
          <w:rFonts w:hint="eastAsia" w:ascii="仿宋" w:hAnsi="仿宋" w:eastAsia="仿宋"/>
          <w:sz w:val="32"/>
          <w:szCs w:val="32"/>
        </w:rPr>
        <w:t>年部门预算编制范围的单位详细情况见下表:</w:t>
      </w:r>
    </w:p>
    <w:tbl>
      <w:tblPr>
        <w:tblStyle w:val="6"/>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rPr>
            </w:pPr>
            <w:r>
              <w:rPr>
                <w:rFonts w:hint="eastAsia" w:ascii="仿宋" w:hAnsi="仿宋" w:eastAsia="仿宋"/>
                <w:sz w:val="32"/>
                <w:szCs w:val="32"/>
              </w:rPr>
              <w:t>单位名称</w:t>
            </w:r>
          </w:p>
        </w:tc>
        <w:tc>
          <w:tcPr>
            <w:tcW w:w="2189"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rPr>
            </w:pPr>
            <w:r>
              <w:rPr>
                <w:rFonts w:hint="eastAsia" w:ascii="仿宋" w:hAnsi="仿宋" w:eastAsia="仿宋"/>
                <w:sz w:val="32"/>
                <w:szCs w:val="32"/>
              </w:rPr>
              <w:t>经费性质</w:t>
            </w:r>
          </w:p>
        </w:tc>
        <w:tc>
          <w:tcPr>
            <w:tcW w:w="2087"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rPr>
            </w:pPr>
            <w:r>
              <w:rPr>
                <w:rFonts w:hint="eastAsia" w:ascii="仿宋" w:hAnsi="仿宋" w:eastAsia="仿宋"/>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lang w:val="en-US" w:eastAsia="zh-CN"/>
              </w:rPr>
            </w:pPr>
            <w:r>
              <w:rPr>
                <w:rFonts w:hint="eastAsia" w:ascii="仿宋" w:hAnsi="仿宋" w:eastAsia="仿宋"/>
                <w:sz w:val="32"/>
                <w:szCs w:val="32"/>
                <w:lang w:val="en-US" w:eastAsia="zh-CN"/>
              </w:rPr>
              <w:t>上杭县蛟洋工业区管理委员</w:t>
            </w:r>
          </w:p>
        </w:tc>
        <w:tc>
          <w:tcPr>
            <w:tcW w:w="2189"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lang w:val="en-US" w:eastAsia="zh-CN"/>
              </w:rPr>
            </w:pPr>
            <w:r>
              <w:rPr>
                <w:rFonts w:hint="eastAsia" w:ascii="仿宋" w:hAnsi="仿宋" w:eastAsia="仿宋"/>
                <w:sz w:val="32"/>
                <w:szCs w:val="32"/>
                <w:lang w:val="en-US" w:eastAsia="zh-CN"/>
              </w:rPr>
              <w:t>财政核拨</w:t>
            </w:r>
          </w:p>
        </w:tc>
        <w:tc>
          <w:tcPr>
            <w:tcW w:w="2087"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eastAsia" w:ascii="仿宋" w:hAnsi="仿宋" w:eastAsia="仿宋"/>
                <w:sz w:val="32"/>
                <w:szCs w:val="32"/>
                <w:lang w:val="en-US" w:eastAsia="zh-CN"/>
              </w:rPr>
            </w:pPr>
            <w:r>
              <w:rPr>
                <w:rFonts w:hint="eastAsia" w:ascii="仿宋" w:hAnsi="仿宋" w:eastAsia="仿宋"/>
                <w:sz w:val="32"/>
                <w:szCs w:val="3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lang w:val="en-US" w:eastAsia="zh-CN"/>
              </w:rPr>
            </w:pPr>
            <w:r>
              <w:rPr>
                <w:rFonts w:hint="eastAsia" w:ascii="仿宋" w:hAnsi="仿宋" w:eastAsia="仿宋"/>
                <w:sz w:val="32"/>
                <w:szCs w:val="32"/>
                <w:lang w:val="en-US" w:eastAsia="zh-CN"/>
              </w:rPr>
              <w:t>上杭县蛟洋工业区企业服务中心</w:t>
            </w:r>
          </w:p>
        </w:tc>
        <w:tc>
          <w:tcPr>
            <w:tcW w:w="2189"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rPr>
            </w:pPr>
            <w:r>
              <w:rPr>
                <w:rFonts w:hint="eastAsia" w:ascii="仿宋" w:hAnsi="仿宋" w:eastAsia="仿宋"/>
                <w:sz w:val="32"/>
                <w:szCs w:val="32"/>
                <w:lang w:val="en-US" w:eastAsia="zh-CN"/>
              </w:rPr>
              <w:t>财政核拨</w:t>
            </w:r>
          </w:p>
        </w:tc>
        <w:tc>
          <w:tcPr>
            <w:tcW w:w="2087"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eastAsia" w:ascii="仿宋" w:hAnsi="仿宋" w:eastAsia="仿宋"/>
                <w:sz w:val="32"/>
                <w:szCs w:val="32"/>
                <w:lang w:val="en-US" w:eastAsia="zh-CN"/>
              </w:rPr>
            </w:pPr>
            <w:r>
              <w:rPr>
                <w:rFonts w:hint="eastAsia" w:ascii="仿宋" w:hAnsi="仿宋" w:eastAsia="仿宋"/>
                <w:sz w:val="32"/>
                <w:szCs w:val="32"/>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lang w:val="en-US" w:eastAsia="zh-CN"/>
              </w:rPr>
            </w:pPr>
            <w:r>
              <w:rPr>
                <w:rFonts w:hint="eastAsia" w:ascii="仿宋" w:hAnsi="仿宋" w:eastAsia="仿宋"/>
                <w:sz w:val="32"/>
                <w:szCs w:val="32"/>
                <w:lang w:val="en-US" w:eastAsia="zh-CN"/>
              </w:rPr>
              <w:t>上杭县蛟洋工业区安全环保巡查队</w:t>
            </w:r>
          </w:p>
        </w:tc>
        <w:tc>
          <w:tcPr>
            <w:tcW w:w="2189"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rPr>
            </w:pPr>
            <w:r>
              <w:rPr>
                <w:rFonts w:hint="eastAsia" w:ascii="仿宋" w:hAnsi="仿宋" w:eastAsia="仿宋"/>
                <w:sz w:val="32"/>
                <w:szCs w:val="32"/>
                <w:lang w:val="en-US" w:eastAsia="zh-CN"/>
              </w:rPr>
              <w:t>财政核拨</w:t>
            </w:r>
          </w:p>
        </w:tc>
        <w:tc>
          <w:tcPr>
            <w:tcW w:w="2087" w:type="dxa"/>
            <w:shd w:val="clear" w:color="auto" w:fill="auto"/>
          </w:tcPr>
          <w:p>
            <w:pPr>
              <w:keepNext w:val="0"/>
              <w:keepLines w:val="0"/>
              <w:suppressLineNumbers w:val="0"/>
              <w:tabs>
                <w:tab w:val="left" w:pos="7513"/>
              </w:tabs>
              <w:adjustRightInd w:val="0"/>
              <w:snapToGrid w:val="0"/>
              <w:spacing w:before="0" w:beforeAutospacing="0" w:after="0" w:afterAutospacing="0" w:line="600" w:lineRule="exact"/>
              <w:ind w:left="0" w:right="0"/>
              <w:rPr>
                <w:rFonts w:hint="eastAsia" w:ascii="仿宋" w:hAnsi="仿宋" w:eastAsia="仿宋"/>
                <w:sz w:val="32"/>
                <w:szCs w:val="32"/>
                <w:lang w:val="en-US" w:eastAsia="zh-CN"/>
              </w:rPr>
            </w:pPr>
            <w:r>
              <w:rPr>
                <w:rFonts w:hint="eastAsia" w:ascii="仿宋" w:hAnsi="仿宋" w:eastAsia="仿宋"/>
                <w:sz w:val="32"/>
                <w:szCs w:val="32"/>
                <w:lang w:val="en-US" w:eastAsia="zh-CN"/>
              </w:rPr>
              <w:t>2</w:t>
            </w:r>
          </w:p>
        </w:tc>
      </w:tr>
    </w:tbl>
    <w:p>
      <w:pPr>
        <w:tabs>
          <w:tab w:val="left" w:pos="7513"/>
        </w:tabs>
        <w:adjustRightInd w:val="0"/>
        <w:snapToGrid w:val="0"/>
        <w:spacing w:line="600" w:lineRule="exact"/>
        <w:rPr>
          <w:rFonts w:cs="Times New Roman" w:asciiTheme="majorEastAsia" w:hAnsiTheme="majorEastAsia" w:eastAsiaTheme="majorEastAsia"/>
          <w:kern w:val="0"/>
          <w:sz w:val="36"/>
          <w:szCs w:val="20"/>
        </w:rPr>
      </w:pPr>
    </w:p>
    <w:p>
      <w:pPr>
        <w:tabs>
          <w:tab w:val="left" w:pos="7513"/>
        </w:tabs>
        <w:adjustRightInd w:val="0"/>
        <w:snapToGrid w:val="0"/>
        <w:spacing w:line="600" w:lineRule="exact"/>
        <w:rPr>
          <w:rFonts w:ascii="黑体" w:hAnsi="黑体" w:eastAsia="黑体"/>
          <w:b w:val="0"/>
          <w:sz w:val="32"/>
          <w:szCs w:val="32"/>
        </w:rPr>
      </w:pPr>
      <w:r>
        <w:rPr>
          <w:rFonts w:hint="eastAsia" w:ascii="黑体" w:hAnsi="黑体" w:eastAsia="黑体" w:cstheme="minorBidi"/>
          <w:b w:val="0"/>
          <w:kern w:val="2"/>
          <w:sz w:val="32"/>
          <w:szCs w:val="32"/>
          <w:lang w:eastAsia="zh-CN"/>
        </w:rPr>
        <w:t>三、部门主要工作任务</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仿宋_GB2312"/>
          <w:sz w:val="32"/>
          <w:szCs w:val="32"/>
          <w:lang w:val="en-US" w:eastAsia="zh-CN"/>
        </w:rPr>
        <w:t>2022</w:t>
      </w:r>
      <w:r>
        <w:rPr>
          <w:rFonts w:hint="eastAsia" w:ascii="仿宋" w:hAnsi="仿宋" w:eastAsia="仿宋"/>
          <w:sz w:val="32"/>
          <w:szCs w:val="32"/>
        </w:rPr>
        <w:t>年，</w:t>
      </w:r>
      <w:r>
        <w:rPr>
          <w:rFonts w:hint="eastAsia" w:ascii="仿宋" w:hAnsi="仿宋" w:eastAsia="仿宋" w:cs="仿宋_GB2312"/>
          <w:sz w:val="32"/>
          <w:szCs w:val="32"/>
          <w:lang w:val="en-US" w:eastAsia="zh-CN"/>
        </w:rPr>
        <w:t>上杭县蛟洋工业区管理委员</w:t>
      </w:r>
      <w:r>
        <w:rPr>
          <w:rFonts w:hint="eastAsia" w:ascii="仿宋" w:hAnsi="仿宋" w:eastAsia="仿宋"/>
          <w:sz w:val="32"/>
          <w:szCs w:val="32"/>
        </w:rPr>
        <w:t>主要任务是：</w:t>
      </w:r>
      <w:r>
        <w:rPr>
          <w:rFonts w:ascii="Times New Roman" w:hAnsi="Times New Roman" w:eastAsia="仿宋_GB2312"/>
          <w:color w:val="auto"/>
          <w:kern w:val="0"/>
          <w:sz w:val="32"/>
          <w:szCs w:val="32"/>
        </w:rPr>
        <w:t>持续推</w:t>
      </w:r>
      <w:r>
        <w:rPr>
          <w:rFonts w:hint="default" w:ascii="Times New Roman" w:hAnsi="Times New Roman" w:eastAsia="仿宋_GB2312" w:cs="Times New Roman"/>
          <w:color w:val="auto"/>
          <w:sz w:val="32"/>
          <w:szCs w:val="32"/>
          <w:lang w:val="en-US" w:eastAsia="zh-CN"/>
        </w:rPr>
        <w:t>动金铜、新材料</w:t>
      </w:r>
      <w:r>
        <w:rPr>
          <w:rFonts w:hint="eastAsia" w:ascii="Times New Roman" w:hAnsi="Times New Roman" w:eastAsia="仿宋_GB2312" w:cs="Times New Roman"/>
          <w:color w:val="auto"/>
          <w:sz w:val="32"/>
          <w:szCs w:val="32"/>
          <w:lang w:val="en-US" w:eastAsia="zh-CN"/>
        </w:rPr>
        <w:t>两</w:t>
      </w:r>
      <w:r>
        <w:rPr>
          <w:rFonts w:ascii="Times New Roman" w:hAnsi="Times New Roman" w:eastAsia="仿宋_GB2312"/>
          <w:color w:val="auto"/>
          <w:kern w:val="0"/>
          <w:sz w:val="32"/>
          <w:szCs w:val="32"/>
        </w:rPr>
        <w:t>大主导产业</w:t>
      </w:r>
      <w:r>
        <w:rPr>
          <w:rFonts w:hint="eastAsia" w:ascii="Times New Roman" w:hAnsi="Times New Roman" w:eastAsia="仿宋_GB2312"/>
          <w:color w:val="auto"/>
          <w:kern w:val="0"/>
          <w:sz w:val="32"/>
          <w:szCs w:val="32"/>
          <w:lang w:val="en-US" w:eastAsia="zh-CN"/>
        </w:rPr>
        <w:t>发展</w:t>
      </w:r>
      <w:r>
        <w:rPr>
          <w:rFonts w:ascii="Times New Roman" w:hAnsi="Times New Roman" w:eastAsia="仿宋_GB2312"/>
          <w:color w:val="auto"/>
          <w:kern w:val="0"/>
          <w:sz w:val="32"/>
          <w:szCs w:val="32"/>
        </w:rPr>
        <w:t>，</w:t>
      </w:r>
      <w:r>
        <w:rPr>
          <w:rFonts w:hint="default" w:ascii="Times New Roman" w:hAnsi="Times New Roman" w:eastAsia="仿宋_GB2312" w:cs="Times New Roman"/>
          <w:color w:val="auto"/>
          <w:sz w:val="32"/>
          <w:szCs w:val="32"/>
          <w:lang w:val="en-US" w:eastAsia="zh-CN"/>
        </w:rPr>
        <w:t>深入贯彻落实产业强县战略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绿色发展战略</w:t>
      </w:r>
      <w:r>
        <w:rPr>
          <w:rFonts w:hint="eastAsia" w:ascii="Times New Roman" w:hAnsi="Times New Roman" w:eastAsia="仿宋_GB2312" w:cs="Times New Roman"/>
          <w:color w:val="auto"/>
          <w:sz w:val="32"/>
          <w:szCs w:val="32"/>
          <w:lang w:val="en-US" w:eastAsia="zh-CN"/>
        </w:rPr>
        <w:t>、创新引领战略，</w:t>
      </w:r>
      <w:r>
        <w:rPr>
          <w:rFonts w:hint="default" w:ascii="Times New Roman" w:hAnsi="Times New Roman" w:eastAsia="仿宋_GB2312" w:cs="Times New Roman"/>
          <w:color w:val="auto"/>
          <w:sz w:val="32"/>
          <w:szCs w:val="32"/>
          <w:lang w:val="en-US" w:eastAsia="zh-CN"/>
        </w:rPr>
        <w:t>做强产业平台、做大主导产业。根据国家鼓励的产业发展方向，</w:t>
      </w:r>
      <w:r>
        <w:rPr>
          <w:rFonts w:hint="default" w:ascii="Times New Roman" w:hAnsi="Times New Roman" w:eastAsia="仿宋_GB2312" w:cs="Times New Roman"/>
          <w:color w:val="auto"/>
          <w:sz w:val="32"/>
          <w:szCs w:val="32"/>
          <w:u w:val="none"/>
          <w:lang w:val="en-US" w:eastAsia="zh-CN"/>
        </w:rPr>
        <w:t>聚焦于金铜产业、新材料领域的创新拓展，加强主导产业与供应链上下游企业协同</w:t>
      </w:r>
      <w:r>
        <w:rPr>
          <w:rFonts w:hint="eastAsia" w:ascii="Times New Roman" w:hAnsi="Times New Roman" w:eastAsia="仿宋_GB2312" w:cs="Times New Roman"/>
          <w:color w:val="auto"/>
          <w:sz w:val="32"/>
          <w:szCs w:val="32"/>
          <w:u w:val="none"/>
          <w:lang w:val="en-US" w:eastAsia="zh-CN"/>
        </w:rPr>
        <w:t>发展</w:t>
      </w:r>
      <w:r>
        <w:rPr>
          <w:rFonts w:hint="default" w:ascii="Times New Roman" w:hAnsi="Times New Roman" w:eastAsia="仿宋_GB2312" w:cs="Times New Roman"/>
          <w:color w:val="auto"/>
          <w:sz w:val="32"/>
          <w:szCs w:val="32"/>
          <w:u w:val="none"/>
          <w:lang w:val="en-US" w:eastAsia="zh-CN"/>
        </w:rPr>
        <w:t>。</w:t>
      </w:r>
      <w:r>
        <w:rPr>
          <w:rFonts w:hint="eastAsia" w:ascii="仿宋" w:hAnsi="仿宋" w:eastAsia="仿宋"/>
          <w:sz w:val="32"/>
          <w:szCs w:val="32"/>
          <w:lang w:val="en-US" w:eastAsia="zh-CN"/>
        </w:rPr>
        <w:t>力争到2022年，实现工业生产总产值460亿元，其中新能源、新材料产业产值120亿元，金铜产业产值300亿元，化工和新型建材产业产值40亿元，实现税收7亿元。</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围绕上述任务，重点抓好以下工作：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1）党建工作。夯实园区党建基础，在非公企业深入开展“党旗领航·E线党建”党建品牌创建活动，紧紧围绕非公企业战略，发挥特色优势，探索和运用新的工作载体和方法，将“五共两线”的非公特色党建品牌不断深入探索建设，</w:t>
      </w:r>
      <w:r>
        <w:rPr>
          <w:rFonts w:hint="default" w:ascii="Times New Roman" w:hAnsi="Times New Roman" w:eastAsia="仿宋_GB2312" w:cs="Times New Roman"/>
          <w:color w:val="auto"/>
          <w:kern w:val="2"/>
          <w:sz w:val="32"/>
          <w:szCs w:val="32"/>
          <w:u w:val="none"/>
          <w:lang w:val="en-US" w:eastAsia="zh-CN" w:bidi="ar-SA"/>
        </w:rPr>
        <w:t>积极探索园区基层非公党组织助推园区经济发展的新模式，切实加强园区党建工作的建设和宣传力度，</w:t>
      </w:r>
      <w:r>
        <w:rPr>
          <w:rFonts w:hint="eastAsia" w:ascii="Times New Roman" w:hAnsi="Times New Roman" w:eastAsia="仿宋_GB2312" w:cs="Times New Roman"/>
          <w:color w:val="auto"/>
          <w:kern w:val="2"/>
          <w:sz w:val="32"/>
          <w:szCs w:val="32"/>
          <w:u w:val="none"/>
          <w:lang w:val="en-US" w:eastAsia="zh-CN" w:bidi="ar-SA"/>
        </w:rPr>
        <w:t>通过组织党员志愿者队伍服务企业、服务社区等形式，积极调动党员干部发挥先锋模范作用积极性，</w:t>
      </w:r>
      <w:r>
        <w:rPr>
          <w:rFonts w:hint="default" w:ascii="Times New Roman" w:hAnsi="Times New Roman" w:eastAsia="仿宋_GB2312" w:cs="Times New Roman"/>
          <w:color w:val="auto"/>
          <w:kern w:val="2"/>
          <w:sz w:val="32"/>
          <w:szCs w:val="32"/>
          <w:u w:val="none"/>
          <w:lang w:val="en-US" w:eastAsia="zh-CN" w:bidi="ar-SA"/>
        </w:rPr>
        <w:t>使</w:t>
      </w:r>
      <w:r>
        <w:rPr>
          <w:rFonts w:hint="eastAsia" w:ascii="Times New Roman" w:hAnsi="Times New Roman" w:eastAsia="仿宋_GB2312" w:cs="Times New Roman"/>
          <w:color w:val="auto"/>
          <w:kern w:val="2"/>
          <w:sz w:val="32"/>
          <w:szCs w:val="32"/>
          <w:u w:val="none"/>
          <w:lang w:val="en-US" w:eastAsia="zh-CN" w:bidi="ar-SA"/>
        </w:rPr>
        <w:t>园区</w:t>
      </w:r>
      <w:r>
        <w:rPr>
          <w:rFonts w:hint="default" w:ascii="Times New Roman" w:hAnsi="Times New Roman" w:eastAsia="仿宋_GB2312" w:cs="Times New Roman"/>
          <w:color w:val="auto"/>
          <w:kern w:val="2"/>
          <w:sz w:val="32"/>
          <w:szCs w:val="32"/>
          <w:u w:val="none"/>
          <w:lang w:val="en-US" w:eastAsia="zh-CN" w:bidi="ar-SA"/>
        </w:rPr>
        <w:t>党组织整体素质有明显提高</w:t>
      </w:r>
      <w:r>
        <w:rPr>
          <w:rFonts w:hint="eastAsia" w:ascii="Times New Roman" w:hAnsi="Times New Roman" w:eastAsia="仿宋_GB2312" w:cs="Times New Roman"/>
          <w:color w:val="auto"/>
          <w:kern w:val="2"/>
          <w:sz w:val="32"/>
          <w:szCs w:val="32"/>
          <w:u w:val="none"/>
          <w:lang w:val="en-US" w:eastAsia="zh-CN" w:bidi="ar-SA"/>
        </w:rPr>
        <w:t>，</w:t>
      </w:r>
      <w:r>
        <w:rPr>
          <w:rFonts w:hint="default" w:ascii="Times New Roman" w:hAnsi="Times New Roman" w:eastAsia="仿宋_GB2312" w:cs="Times New Roman"/>
          <w:color w:val="auto"/>
          <w:kern w:val="2"/>
          <w:sz w:val="32"/>
          <w:szCs w:val="32"/>
          <w:u w:val="none"/>
          <w:lang w:val="en-US" w:eastAsia="zh-CN" w:bidi="ar-SA"/>
        </w:rPr>
        <w:t>党组织建设和党员管理有明显加强，将党的建设与园区发展共谋、共议、共建、共享，推动党建工作与产业发展相融共进</w:t>
      </w:r>
      <w:r>
        <w:rPr>
          <w:rFonts w:hint="eastAsia" w:ascii="Times New Roman" w:hAnsi="Times New Roman" w:eastAsia="仿宋_GB2312" w:cs="Times New Roman"/>
          <w:color w:val="auto"/>
          <w:kern w:val="2"/>
          <w:sz w:val="32"/>
          <w:szCs w:val="32"/>
          <w:u w:val="none"/>
          <w:lang w:val="en-US" w:eastAsia="zh-CN" w:bidi="ar-SA"/>
        </w:rPr>
        <w:t>，</w:t>
      </w:r>
      <w:r>
        <w:rPr>
          <w:rFonts w:hint="default" w:ascii="Times New Roman" w:hAnsi="Times New Roman" w:eastAsia="仿宋_GB2312" w:cs="Times New Roman"/>
          <w:color w:val="auto"/>
          <w:kern w:val="2"/>
          <w:sz w:val="32"/>
          <w:szCs w:val="32"/>
          <w:u w:val="none"/>
          <w:lang w:val="en-US" w:eastAsia="zh-CN" w:bidi="ar-SA"/>
        </w:rPr>
        <w:t>促进</w:t>
      </w:r>
      <w:r>
        <w:rPr>
          <w:rFonts w:hint="eastAsia" w:ascii="Times New Roman" w:hAnsi="Times New Roman" w:eastAsia="仿宋_GB2312" w:cs="Times New Roman"/>
          <w:color w:val="auto"/>
          <w:kern w:val="2"/>
          <w:sz w:val="32"/>
          <w:szCs w:val="32"/>
          <w:u w:val="none"/>
          <w:lang w:val="en-US" w:eastAsia="zh-CN" w:bidi="ar-SA"/>
        </w:rPr>
        <w:t>园区</w:t>
      </w:r>
      <w:r>
        <w:rPr>
          <w:rFonts w:hint="default" w:ascii="Times New Roman" w:hAnsi="Times New Roman" w:eastAsia="仿宋_GB2312" w:cs="Times New Roman"/>
          <w:color w:val="auto"/>
          <w:kern w:val="2"/>
          <w:sz w:val="32"/>
          <w:szCs w:val="32"/>
          <w:u w:val="none"/>
          <w:lang w:val="en-US" w:eastAsia="zh-CN" w:bidi="ar-SA"/>
        </w:rPr>
        <w:t>各项工作迈上新台阶。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2）园区标准化建设方面。大力推进基础设施和公共服务设施配套建设，提升园区承载力。一是供水方面：生活用水采用城乡供水一体化模式，由古田梅花山引水至坪埔，结合园区现有供水管道，完善园区供水体系；工业用水拟新建循环经济园区工业用水水源点，由新建水源点引水至循环经济园区，满足园区企业工业用水，配套建设供水管道。二是供电方面：新建营上片区110KV开关站，满足园区企业10kv用电需求，2022年启动项目前期报批工作；实施梅坝变电站扩容项目，将梅坝110KV变电站由1*50000KVA扩容至2*50000KVA；完成郭车变电站技改项目，新建2台35KV出线变压器。三是供热方面：新建一座占地面积约30亩的集中供热项目，满足园区企业供热需求。四是道路方面：完善园区21号路主干道建设，将358国道调整至21号路罗屋中桥至苏康段建设，2022年启动项目立项等前期工作。五是生产生活配套方面：实施上杭县蛟洋工业区全民健身中心建设项目、职工公寓（一期、二期）建设项目、职业技能提升中心建设项目、商住综合体建设项目，满足园区企业住宿、健身、购物等需求，2022年完成全民健身中心项目建设、完成职工公寓（一期）主体建设，完成职工公寓（二期）项目前期工作。六是对坪埔生活区及周边环境进行整治，对生活区环境卫生进行清理，清除小广告、违建设施，对生活区进行美化、绿化、亮化治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3）产业发展方面。坚持问题导向，由项目挂钩领导干部深入项目一线，现场排查分析项目推进中审批进度或项目融资等方面存在的困难问题并及时帮助协调解决。对照年度目标任务和形象进度要求，全力推进德尔科技含氟半导体材料项目、常青新能源二期项目落地施工，并加快推进2022年其他重点项目按计划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4）安全环保方面。一是全面抓好安全生产责任制的实施，落实企业安全生产主体责任，加大安全环保宣传工作的力度，把安全宣传教育工作作为构建园区安全生产，强化安全生产源头管理的重要任务来抓。二是进一步加大检查力度，配合相关部门加强重要部位、重点区域、重大时间节点的安全检查。三是加大隐患排查力度，落实好安全生产监管责任，督促企业认真开展自查自改，切实消除安全隐患，对未整改企业将联合有关部门给予经济处罚，确保园区企业安全发展。四是实施智慧园区信息化平台整合建设，切实提升园区安全监管智慧化、信息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5）项目用地方面。针对园区土地不足问题，蛟洋工业区将科学规划，合理布局建设用地，处理好保障发展和保护资源两者之间的关系，努力实现保发展和保红线“双赢”。一是继续跟踪落实省自然资源厅国土空间规划基本农田调整。二是积极协调，争取将园区项目列入国家发改或工信部产业发展规划。三是合理规划项目选址，尽量避开基本农田。四是提前谋划项目，并把项目用地列入上杭县国民经济与社会发展规划。</w:t>
      </w:r>
    </w:p>
    <w:p>
      <w:pPr>
        <w:pStyle w:val="3"/>
        <w:jc w:val="center"/>
        <w:rPr>
          <w:rFonts w:hint="default" w:ascii="Times New Roman" w:hAnsi="Times New Roman" w:eastAsia="仿宋_GB2312" w:cs="Times New Roman"/>
          <w:color w:val="auto"/>
          <w:kern w:val="2"/>
          <w:sz w:val="32"/>
          <w:szCs w:val="32"/>
          <w:u w:val="none"/>
          <w:lang w:val="en-US" w:eastAsia="zh-CN" w:bidi="ar-SA"/>
        </w:rPr>
      </w:pPr>
    </w:p>
    <w:p>
      <w:pPr>
        <w:pStyle w:val="3"/>
        <w:jc w:val="center"/>
        <w:rPr>
          <w:rFonts w:hint="default" w:ascii="Times New Roman" w:hAnsi="Times New Roman" w:eastAsia="仿宋_GB2312" w:cs="Times New Roman"/>
          <w:color w:val="auto"/>
          <w:kern w:val="2"/>
          <w:sz w:val="32"/>
          <w:szCs w:val="32"/>
          <w:u w:val="none"/>
          <w:lang w:val="en-US" w:eastAsia="zh-CN" w:bidi="ar-SA"/>
        </w:rPr>
      </w:pPr>
    </w:p>
    <w:p>
      <w:pPr>
        <w:pStyle w:val="3"/>
        <w:jc w:val="center"/>
        <w:rPr>
          <w:rFonts w:hint="default" w:ascii="Times New Roman" w:hAnsi="Times New Roman" w:eastAsia="仿宋_GB2312" w:cs="Times New Roman"/>
          <w:color w:val="auto"/>
          <w:kern w:val="2"/>
          <w:sz w:val="32"/>
          <w:szCs w:val="32"/>
          <w:u w:val="none"/>
          <w:lang w:val="en-US" w:eastAsia="zh-CN" w:bidi="ar-SA"/>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left"/>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pPr>
        <w:pStyle w:val="3"/>
        <w:jc w:val="center"/>
        <w:rPr>
          <w:rFonts w:ascii="黑体" w:hAnsi="黑体" w:eastAsia="黑体"/>
          <w:sz w:val="56"/>
          <w:szCs w:val="36"/>
          <w:lang w:eastAsia="zh-CN"/>
        </w:rPr>
      </w:pPr>
      <w:r>
        <w:rPr>
          <w:rFonts w:hint="eastAsia" w:ascii="黑体" w:hAnsi="黑体" w:eastAsia="黑体"/>
          <w:sz w:val="56"/>
          <w:szCs w:val="36"/>
          <w:lang w:eastAsia="zh-CN"/>
        </w:rPr>
        <w:t>2</w:t>
      </w:r>
      <w:r>
        <w:rPr>
          <w:rFonts w:hint="eastAsia" w:ascii="黑体" w:hAnsi="黑体" w:eastAsia="黑体"/>
          <w:sz w:val="56"/>
          <w:szCs w:val="36"/>
          <w:lang w:val="en-US" w:eastAsia="zh-CN"/>
        </w:rPr>
        <w:t>022</w:t>
      </w:r>
      <w:r>
        <w:rPr>
          <w:rFonts w:hint="eastAsia" w:ascii="黑体" w:hAnsi="黑体" w:eastAsia="黑体"/>
          <w:sz w:val="56"/>
          <w:szCs w:val="36"/>
          <w:lang w:eastAsia="zh-CN"/>
        </w:rPr>
        <w:t>年度部门预算表</w:t>
      </w:r>
    </w:p>
    <w:p>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pPr>
        <w:tabs>
          <w:tab w:val="left" w:pos="7513"/>
        </w:tabs>
        <w:adjustRightInd w:val="0"/>
        <w:snapToGrid w:val="0"/>
        <w:spacing w:line="600" w:lineRule="exact"/>
        <w:rPr>
          <w:rFonts w:ascii="楷体" w:hAnsi="楷体" w:eastAsia="楷体"/>
          <w:sz w:val="28"/>
          <w:szCs w:val="28"/>
        </w:rPr>
      </w:pPr>
      <w:r>
        <w:rPr>
          <w:rFonts w:hint="eastAsia" w:ascii="黑体" w:hAnsi="黑体" w:eastAsia="黑体" w:cstheme="minorBidi"/>
          <w:kern w:val="2"/>
          <w:sz w:val="32"/>
          <w:szCs w:val="32"/>
          <w:lang w:eastAsia="zh-CN"/>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w:t>
            </w:r>
            <w:r>
              <w:rPr>
                <w:rFonts w:hint="eastAsia" w:ascii="方正小标宋简体" w:hAnsi="宋体" w:eastAsia="方正小标宋简体" w:cs="宋体"/>
                <w:kern w:val="0"/>
                <w:sz w:val="32"/>
                <w:szCs w:val="32"/>
                <w:lang w:val="en-US" w:eastAsia="zh-CN"/>
              </w:rPr>
              <w:t>022</w:t>
            </w:r>
            <w:r>
              <w:rPr>
                <w:rFonts w:hint="eastAsia" w:ascii="方正小标宋简体" w:hAnsi="宋体" w:eastAsia="方正小标宋简体" w:cs="宋体"/>
                <w:kern w:val="0"/>
                <w:sz w:val="32"/>
                <w:szCs w:val="32"/>
                <w:lang w:eastAsia="zh-CN"/>
              </w:rPr>
              <w:t>年度收支预算总表</w:t>
            </w:r>
          </w:p>
        </w:tc>
      </w:tr>
      <w:tr>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2"/>
                <w:szCs w:val="24"/>
                <w:lang w:eastAsia="zh-CN"/>
              </w:rPr>
              <w:t>单位：万元</w:t>
            </w:r>
          </w:p>
        </w:tc>
      </w:tr>
      <w:tr>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支出</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预算数</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lang w:val="en-US" w:eastAsia="zh-CN"/>
              </w:rPr>
              <w:t>1520.77</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lang w:val="en-US" w:eastAsia="zh-CN"/>
              </w:rPr>
              <w:t>13.54</w:t>
            </w: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b w:val="0"/>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r>
              <w:rPr>
                <w:rFonts w:hint="eastAsia" w:ascii="宋体" w:hAnsi="宋体" w:eastAsia="宋体" w:cs="宋体"/>
                <w:b w:val="0"/>
                <w:kern w:val="0"/>
                <w:sz w:val="18"/>
                <w:szCs w:val="18"/>
                <w:lang w:val="en-US" w:eastAsia="zh-CN"/>
              </w:rPr>
              <w:t>1384</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lang w:val="en-US"/>
              </w:rPr>
            </w:pPr>
            <w:r>
              <w:rPr>
                <w:rFonts w:hint="eastAsia" w:ascii="宋体" w:hAnsi="宋体" w:eastAsia="宋体" w:cs="宋体"/>
                <w:kern w:val="0"/>
                <w:sz w:val="18"/>
                <w:szCs w:val="18"/>
                <w:lang w:val="en-US" w:eastAsia="zh-CN"/>
              </w:rPr>
              <w:t>123.23</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kern w:val="0"/>
                <w:sz w:val="18"/>
                <w:szCs w:val="18"/>
              </w:rPr>
            </w:pPr>
            <w:r>
              <w:rPr>
                <w:rFonts w:hint="eastAsia" w:ascii="宋体" w:hAnsi="宋体" w:eastAsia="宋体" w:cs="宋体"/>
                <w:kern w:val="0"/>
                <w:sz w:val="18"/>
                <w:szCs w:val="18"/>
              </w:rPr>
              <w:t>二十一、灾害防治及应急管理支出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kern w:val="0"/>
                <w:sz w:val="18"/>
                <w:szCs w:val="18"/>
              </w:rPr>
            </w:pPr>
          </w:p>
        </w:tc>
      </w:tr>
      <w:tr>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二十二、其他支出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二十三、债务还本支出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二十四、债务付息支出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二十五、债务发行费用支出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kern w:val="0"/>
                <w:sz w:val="22"/>
              </w:rPr>
            </w:pPr>
            <w:r>
              <w:rPr>
                <w:rFonts w:hint="eastAsia" w:ascii="宋体" w:hAnsi="宋体" w:eastAsia="宋体" w:cs="宋体"/>
                <w:b/>
                <w:kern w:val="0"/>
                <w:sz w:val="22"/>
                <w:lang w:val="en-US" w:eastAsia="zh-CN"/>
              </w:rPr>
              <w:t>1520.77</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kern w:val="0"/>
                <w:sz w:val="22"/>
              </w:rPr>
            </w:pPr>
            <w:r>
              <w:rPr>
                <w:rFonts w:hint="eastAsia" w:ascii="宋体" w:hAnsi="宋体" w:eastAsia="宋体" w:cs="宋体"/>
                <w:b/>
                <w:kern w:val="0"/>
                <w:sz w:val="22"/>
                <w:lang w:val="en-US" w:eastAsia="zh-CN"/>
              </w:rPr>
              <w:t>1520.77</w:t>
            </w:r>
            <w:r>
              <w:rPr>
                <w:rFonts w:hint="eastAsia" w:ascii="宋体" w:hAnsi="宋体" w:eastAsia="宋体" w:cs="宋体"/>
                <w:b/>
                <w:kern w:val="0"/>
                <w:sz w:val="22"/>
              </w:rPr>
              <w:t>　</w:t>
            </w:r>
          </w:p>
        </w:tc>
      </w:tr>
    </w:tbl>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76"/>
        <w:gridCol w:w="91"/>
        <w:gridCol w:w="1160"/>
        <w:gridCol w:w="1017"/>
        <w:gridCol w:w="1134"/>
        <w:gridCol w:w="1134"/>
        <w:gridCol w:w="1127"/>
        <w:gridCol w:w="1134"/>
        <w:gridCol w:w="988"/>
        <w:gridCol w:w="987"/>
        <w:gridCol w:w="987"/>
        <w:gridCol w:w="987"/>
        <w:gridCol w:w="993"/>
        <w:gridCol w:w="992"/>
      </w:tblGrid>
      <w:tr>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w:t>
            </w:r>
            <w:r>
              <w:rPr>
                <w:rFonts w:hint="eastAsia" w:ascii="方正小标宋简体" w:hAnsi="宋体" w:eastAsia="方正小标宋简体" w:cs="宋体"/>
                <w:kern w:val="0"/>
                <w:sz w:val="32"/>
                <w:szCs w:val="32"/>
                <w:lang w:val="en-US" w:eastAsia="zh-CN"/>
              </w:rPr>
              <w:t>022</w:t>
            </w:r>
            <w:r>
              <w:rPr>
                <w:rFonts w:hint="eastAsia" w:ascii="方正小标宋简体" w:hAnsi="宋体" w:eastAsia="方正小标宋简体" w:cs="宋体"/>
                <w:kern w:val="0"/>
                <w:sz w:val="32"/>
                <w:szCs w:val="32"/>
              </w:rPr>
              <w:t>年度收入预算总表</w:t>
            </w:r>
          </w:p>
        </w:tc>
      </w:tr>
      <w:tr>
        <w:tblPrEx>
          <w:tblCellMar>
            <w:top w:w="0" w:type="dxa"/>
            <w:left w:w="108" w:type="dxa"/>
            <w:bottom w:w="0" w:type="dxa"/>
            <w:right w:w="108" w:type="dxa"/>
          </w:tblCellMar>
        </w:tblPrEx>
        <w:trPr>
          <w:trHeight w:val="510" w:hRule="atLeast"/>
        </w:trPr>
        <w:tc>
          <w:tcPr>
            <w:tcW w:w="1267" w:type="dxa"/>
            <w:gridSpan w:val="2"/>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127" w:type="dxa"/>
            <w:tcBorders>
              <w:top w:val="nil"/>
              <w:left w:val="nil"/>
              <w:bottom w:val="single" w:color="auto" w:sz="4" w:space="0"/>
              <w:right w:val="nil"/>
            </w:tcBorders>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988" w:type="dxa"/>
            <w:tcBorders>
              <w:top w:val="nil"/>
              <w:left w:val="nil"/>
              <w:bottom w:val="single" w:color="auto" w:sz="4" w:space="0"/>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nil"/>
              <w:left w:val="nil"/>
              <w:bottom w:val="single" w:color="auto" w:sz="4" w:space="0"/>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nil"/>
              <w:left w:val="nil"/>
              <w:bottom w:val="single" w:color="auto" w:sz="4" w:space="0"/>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nil"/>
              <w:left w:val="nil"/>
              <w:bottom w:val="single" w:color="auto" w:sz="4" w:space="0"/>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pPr>
              <w:keepNext w:val="0"/>
              <w:keepLines w:val="0"/>
              <w:widowControl/>
              <w:suppressLineNumbers w:val="0"/>
              <w:wordWrap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xml:space="preserve">单位：万元 </w:t>
            </w:r>
          </w:p>
        </w:tc>
      </w:tr>
      <w:tr>
        <w:tblPrEx>
          <w:tblCellMar>
            <w:top w:w="0" w:type="dxa"/>
            <w:left w:w="108" w:type="dxa"/>
            <w:bottom w:w="0" w:type="dxa"/>
            <w:right w:w="108" w:type="dxa"/>
          </w:tblCellMar>
        </w:tblPrEx>
        <w:trPr>
          <w:trHeight w:val="1237" w:hRule="atLeast"/>
        </w:trPr>
        <w:tc>
          <w:tcPr>
            <w:tcW w:w="11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政府性基金预算拨款收入</w:t>
            </w: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szCs w:val="22"/>
              </w:rPr>
              <w:t>财政专户管理资金收入</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事业收入</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事业单位经营收入</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上级补助收入</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szCs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szCs w:val="22"/>
              </w:rPr>
              <w:t>上年结转结余</w:t>
            </w:r>
          </w:p>
        </w:tc>
      </w:tr>
      <w:tr>
        <w:tblPrEx>
          <w:tblCellMar>
            <w:top w:w="0" w:type="dxa"/>
            <w:left w:w="108" w:type="dxa"/>
            <w:bottom w:w="0" w:type="dxa"/>
            <w:right w:w="108" w:type="dxa"/>
          </w:tblCellMar>
        </w:tblPrEx>
        <w:trPr>
          <w:trHeight w:val="402" w:hRule="atLeast"/>
        </w:trPr>
        <w:tc>
          <w:tcPr>
            <w:tcW w:w="24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1520.77</w:t>
            </w:r>
          </w:p>
        </w:tc>
        <w:tc>
          <w:tcPr>
            <w:tcW w:w="11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1520.77</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17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201</w:t>
            </w:r>
          </w:p>
        </w:tc>
        <w:tc>
          <w:tcPr>
            <w:tcW w:w="125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both"/>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一般公共服务支出</w:t>
            </w:r>
          </w:p>
        </w:tc>
        <w:tc>
          <w:tcPr>
            <w:tcW w:w="10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20103</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政府办公厅（室）及相关机构事物</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2010301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4"/>
                <w:szCs w:val="24"/>
              </w:rPr>
            </w:pPr>
            <w:r>
              <w:rPr>
                <w:rFonts w:hint="eastAsia" w:ascii="宋体" w:hAnsi="宋体" w:eastAsia="宋体" w:cs="宋体"/>
                <w:kern w:val="0"/>
                <w:sz w:val="24"/>
                <w:szCs w:val="24"/>
                <w:lang w:val="en-US" w:eastAsia="zh-CN"/>
              </w:rPr>
              <w:t>13.54</w:t>
            </w:r>
            <w:r>
              <w:rPr>
                <w:rFonts w:hint="eastAsia" w:ascii="宋体" w:hAnsi="宋体" w:eastAsia="宋体" w:cs="宋体"/>
                <w:kern w:val="0"/>
                <w:sz w:val="24"/>
                <w:szCs w:val="24"/>
              </w:rPr>
              <w:t>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lang w:val="en-US" w:eastAsia="zh-CN"/>
              </w:rPr>
              <w:t>13.54</w:t>
            </w:r>
            <w:r>
              <w:rPr>
                <w:rFonts w:hint="eastAsia" w:ascii="宋体" w:hAnsi="宋体" w:eastAsia="宋体" w:cs="宋体"/>
                <w:kern w:val="0"/>
                <w:sz w:val="24"/>
                <w:szCs w:val="24"/>
              </w:rPr>
              <w:t>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212</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城乡社区支出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1384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21201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城乡社区管理事物</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1384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23120199</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其他城乡社区管理事物支出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1384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资源勘探工业信息等支出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123.23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123.23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r>
      <w:bookmarkEnd w:id="0"/>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21508</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支持中小企业发展和管理支出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123.23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123.23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2150801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72.44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72.44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2150803</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机关服务</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50.79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50.79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402" w:hRule="atLeast"/>
        </w:trPr>
        <w:tc>
          <w:tcPr>
            <w:tcW w:w="11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bookmarkStart w:id="1" w:name="_GoBack" w:colFirst="12" w:colLast="12"/>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11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lang w:val="en-US" w:eastAsia="zh-CN" w:bidi="ar-SA"/>
              </w:rPr>
            </w:pPr>
          </w:p>
        </w:tc>
      </w:tr>
      <w:tr>
        <w:tblPrEx>
          <w:tblCellMar>
            <w:top w:w="0" w:type="dxa"/>
            <w:left w:w="108" w:type="dxa"/>
            <w:bottom w:w="0" w:type="dxa"/>
            <w:right w:w="108" w:type="dxa"/>
          </w:tblCellMar>
        </w:tblPrEx>
        <w:trPr>
          <w:trHeight w:val="402" w:hRule="atLeast"/>
        </w:trPr>
        <w:tc>
          <w:tcPr>
            <w:tcW w:w="0" w:type="auto"/>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0" w:type="auto"/>
            <w:gridSpan w:val="2"/>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0" w:type="auto"/>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4"/>
                <w:szCs w:val="24"/>
              </w:rPr>
            </w:pPr>
          </w:p>
        </w:tc>
        <w:tc>
          <w:tcPr>
            <w:tcW w:w="0" w:type="auto"/>
            <w:tcBorders>
              <w:top w:val="single" w:color="auto" w:sz="4" w:space="0"/>
            </w:tcBorders>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lang w:val="en-US" w:eastAsia="zh-CN" w:bidi="ar-SA"/>
              </w:rPr>
            </w:pPr>
          </w:p>
        </w:tc>
      </w:tr>
    </w:tbl>
    <w:p>
      <w:pPr>
        <w:tabs>
          <w:tab w:val="left" w:pos="7513"/>
        </w:tabs>
        <w:adjustRightInd w:val="0"/>
        <w:snapToGrid w:val="0"/>
        <w:spacing w:line="600" w:lineRule="exact"/>
        <w:rPr>
          <w:rFonts w:cs="Times New Roman" w:asciiTheme="majorEastAsia" w:hAnsiTheme="majorEastAsia" w:eastAsiaTheme="majorEastAsia"/>
          <w:kern w:val="0"/>
          <w:sz w:val="36"/>
          <w:szCs w:val="20"/>
        </w:rPr>
      </w:pPr>
    </w:p>
    <w:p>
      <w:pPr>
        <w:tabs>
          <w:tab w:val="left" w:pos="7513"/>
        </w:tabs>
        <w:adjustRightInd/>
        <w:snapToGrid/>
        <w:spacing w:line="276" w:lineRule="auto"/>
        <w:rPr>
          <w:rFonts w:cs="Times New Roman" w:asciiTheme="majorEastAsia" w:hAnsiTheme="majorEastAsia" w:eastAsiaTheme="majorEastAsia"/>
          <w:kern w:val="2"/>
          <w:sz w:val="36"/>
          <w:szCs w:val="20"/>
        </w:rPr>
      </w:pPr>
      <w:r>
        <w:rPr>
          <w:rFonts w:cs="Times New Roman" w:asciiTheme="majorEastAsia" w:hAnsiTheme="majorEastAsia" w:eastAsiaTheme="majorEastAsia"/>
          <w:sz w:val="36"/>
          <w:szCs w:val="20"/>
        </w:rPr>
        <w:tab/>
      </w:r>
    </w:p>
    <w:p>
      <w:pPr>
        <w:adjustRightInd/>
        <w:snapToGrid/>
        <w:spacing w:line="276" w:lineRule="auto"/>
        <w:rPr>
          <w:rFonts w:cs="Times New Roman" w:asciiTheme="majorEastAsia" w:hAnsiTheme="majorEastAsia" w:eastAsiaTheme="majorEastAsia"/>
          <w:kern w:val="2"/>
          <w:sz w:val="36"/>
          <w:szCs w:val="20"/>
        </w:rPr>
      </w:pPr>
    </w:p>
    <w:p>
      <w:pPr>
        <w:tabs>
          <w:tab w:val="left" w:pos="7513"/>
        </w:tabs>
        <w:adjustRightInd w:val="0"/>
        <w:snapToGrid w:val="0"/>
        <w:spacing w:line="600" w:lineRule="exac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年度支出预算总表</w:t>
            </w:r>
          </w:p>
          <w:p>
            <w:pPr>
              <w:keepNext w:val="0"/>
              <w:keepLines w:val="0"/>
              <w:widowControl/>
              <w:suppressLineNumbers w:val="0"/>
              <w:wordWrap w:val="0"/>
              <w:spacing w:before="0" w:beforeAutospacing="0" w:after="0" w:afterAutospacing="0" w:line="240" w:lineRule="auto"/>
              <w:ind w:left="0" w:right="0"/>
              <w:jc w:val="right"/>
              <w:rPr>
                <w:rFonts w:hint="default" w:cs="宋体" w:asciiTheme="minorEastAsia" w:hAnsiTheme="minorEastAsia" w:eastAsiaTheme="minorEastAsia"/>
                <w:kern w:val="0"/>
                <w:sz w:val="20"/>
                <w:szCs w:val="32"/>
              </w:rPr>
            </w:pPr>
            <w:r>
              <w:rPr>
                <w:rFonts w:hint="eastAsia" w:ascii="宋体" w:hAnsi="宋体" w:eastAsia="宋体" w:cs="宋体"/>
                <w:kern w:val="0"/>
                <w:sz w:val="22"/>
              </w:rPr>
              <w:t xml:space="preserve">单位：万元 </w:t>
            </w:r>
          </w:p>
        </w:tc>
      </w:tr>
      <w:tr>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对附属单位补助支出</w:t>
            </w:r>
          </w:p>
        </w:tc>
      </w:tr>
      <w:tr>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1520.77</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136.77</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1384</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left"/>
              <w:rPr>
                <w:rFonts w:hint="default" w:ascii="宋体" w:hAnsi="宋体" w:eastAsia="宋体" w:cs="宋体"/>
                <w:color w:val="000000"/>
                <w:kern w:val="0"/>
                <w:sz w:val="22"/>
                <w:lang w:val="en-US" w:eastAsia="zh-CN"/>
              </w:rPr>
            </w:pPr>
            <w:r>
              <w:rPr>
                <w:rFonts w:hint="eastAsia" w:ascii="宋体" w:hAnsi="宋体" w:eastAsia="宋体" w:cs="宋体"/>
                <w:kern w:val="0"/>
                <w:sz w:val="22"/>
                <w:lang w:val="en-US" w:eastAsia="zh-CN"/>
              </w:rPr>
              <w:t>201</w:t>
            </w:r>
          </w:p>
        </w:tc>
        <w:tc>
          <w:tcPr>
            <w:tcW w:w="31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both"/>
              <w:rPr>
                <w:rFonts w:hint="default" w:ascii="宋体" w:hAnsi="宋体" w:eastAsia="宋体" w:cs="宋体"/>
                <w:color w:val="000000"/>
                <w:kern w:val="0"/>
                <w:sz w:val="22"/>
                <w:lang w:val="en-US" w:eastAsia="zh-CN"/>
              </w:rPr>
            </w:pPr>
            <w:r>
              <w:rPr>
                <w:rFonts w:hint="eastAsia" w:ascii="宋体" w:hAnsi="宋体" w:eastAsia="宋体" w:cs="宋体"/>
                <w:kern w:val="0"/>
                <w:sz w:val="22"/>
                <w:lang w:val="en-US" w:eastAsia="zh-CN"/>
              </w:rPr>
              <w:t>一般公共服务支出</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lang w:val="en-US" w:eastAsia="zh-CN"/>
              </w:rPr>
              <w:t>20103</w:t>
            </w:r>
          </w:p>
        </w:tc>
        <w:tc>
          <w:tcPr>
            <w:tcW w:w="31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lang w:val="en-US" w:eastAsia="zh-CN"/>
              </w:rPr>
              <w:t>政府办公厅（室）及相关机构事物</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2010301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行政运行</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4"/>
                <w:szCs w:val="24"/>
              </w:rPr>
            </w:pPr>
            <w:r>
              <w:rPr>
                <w:rFonts w:hint="eastAsia" w:ascii="宋体" w:hAnsi="宋体" w:eastAsia="宋体" w:cs="宋体"/>
                <w:kern w:val="0"/>
                <w:sz w:val="24"/>
                <w:szCs w:val="24"/>
                <w:lang w:val="en-US" w:eastAsia="zh-CN"/>
              </w:rPr>
              <w:t>13.54</w:t>
            </w:r>
            <w:r>
              <w:rPr>
                <w:rFonts w:hint="eastAsia" w:ascii="宋体" w:hAnsi="宋体" w:eastAsia="宋体" w:cs="宋体"/>
                <w:kern w:val="0"/>
                <w:sz w:val="24"/>
                <w:szCs w:val="24"/>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4"/>
                <w:szCs w:val="24"/>
              </w:rPr>
            </w:pPr>
            <w:r>
              <w:rPr>
                <w:rFonts w:hint="eastAsia" w:ascii="宋体" w:hAnsi="宋体" w:eastAsia="宋体" w:cs="宋体"/>
                <w:kern w:val="0"/>
                <w:sz w:val="24"/>
                <w:szCs w:val="24"/>
                <w:lang w:val="en-US" w:eastAsia="zh-CN"/>
              </w:rPr>
              <w:t>13.54</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left"/>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212</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城乡社区支出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1384</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1384</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21201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城乡社区管理事物</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1384</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szCs w:val="22"/>
                <w:lang w:val="en-US" w:eastAsia="zh-CN" w:bidi="ar-SA"/>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szCs w:val="22"/>
                <w:lang w:val="en-US" w:eastAsia="zh-CN" w:bidi="ar-SA"/>
              </w:rPr>
            </w:pPr>
            <w:r>
              <w:rPr>
                <w:rFonts w:hint="eastAsia" w:ascii="宋体" w:hAnsi="宋体" w:eastAsia="宋体" w:cs="宋体"/>
                <w:kern w:val="0"/>
                <w:sz w:val="24"/>
                <w:szCs w:val="24"/>
                <w:lang w:val="en-US" w:eastAsia="zh-CN"/>
              </w:rPr>
              <w:t>1384</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23120199</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其他城乡社区管理事物支出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1384</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1384</w:t>
            </w: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215</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资源勘探工业信息等支出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123.23</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123.23</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21508</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支持中小企业发展和管理支出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123.23</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123.23</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6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2150801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4"/>
                <w:szCs w:val="24"/>
                <w:lang w:eastAsia="zh-CN"/>
              </w:rPr>
              <w:t>行政运行</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72.44</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color w:val="000000"/>
                <w:kern w:val="0"/>
                <w:sz w:val="22"/>
              </w:rPr>
            </w:pPr>
            <w:r>
              <w:rPr>
                <w:rFonts w:hint="eastAsia" w:ascii="宋体" w:hAnsi="宋体" w:eastAsia="宋体" w:cs="宋体"/>
                <w:kern w:val="0"/>
                <w:sz w:val="24"/>
                <w:szCs w:val="24"/>
                <w:lang w:val="en-US" w:eastAsia="zh-CN"/>
              </w:rPr>
              <w:t>72.44</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46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2150803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机关服务</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50.79</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50.79</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bl>
    <w:p>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trPr>
          <w:trHeight w:val="405" w:hRule="atLeast"/>
        </w:trPr>
        <w:tc>
          <w:tcPr>
            <w:tcW w:w="8648" w:type="dxa"/>
            <w:gridSpan w:val="4"/>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年度财政拨款收支预算总表</w:t>
            </w:r>
          </w:p>
        </w:tc>
      </w:tr>
      <w:tr>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2"/>
                <w:szCs w:val="24"/>
              </w:rPr>
              <w:t>单位：万元</w:t>
            </w:r>
          </w:p>
        </w:tc>
      </w:tr>
      <w:tr>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支出</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预算数</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lang w:val="en-US" w:eastAsia="zh-CN"/>
              </w:rPr>
              <w:t>1520.77</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13.54</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1384</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123.23</w:t>
            </w:r>
            <w:r>
              <w:rPr>
                <w:rFonts w:hint="eastAsia" w:ascii="宋体" w:hAnsi="宋体" w:eastAsia="宋体" w:cs="宋体"/>
                <w:kern w:val="0"/>
                <w:sz w:val="18"/>
                <w:szCs w:val="18"/>
              </w:rPr>
              <w:t>　</w:t>
            </w: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二十一、灾害防治及应急管理支出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二十二、其他支出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二十三、债务还本支出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二十四、债务付息支出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二十五、债务发行费用支出</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kern w:val="0"/>
                <w:sz w:val="22"/>
              </w:rPr>
            </w:pPr>
            <w:r>
              <w:rPr>
                <w:rFonts w:hint="eastAsia" w:ascii="宋体" w:hAnsi="宋体" w:eastAsia="宋体" w:cs="宋体"/>
                <w:b/>
                <w:kern w:val="0"/>
                <w:sz w:val="22"/>
                <w:lang w:val="en-US" w:eastAsia="zh-CN"/>
              </w:rPr>
              <w:t>1520.77</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kern w:val="0"/>
                <w:sz w:val="22"/>
              </w:rPr>
            </w:pPr>
            <w:r>
              <w:rPr>
                <w:rFonts w:hint="eastAsia" w:ascii="宋体" w:hAnsi="宋体" w:eastAsia="宋体" w:cs="宋体"/>
                <w:b/>
                <w:kern w:val="0"/>
                <w:sz w:val="22"/>
                <w:lang w:val="en-US" w:eastAsia="zh-CN"/>
              </w:rPr>
              <w:t>1520.77</w:t>
            </w:r>
            <w:r>
              <w:rPr>
                <w:rFonts w:hint="eastAsia" w:ascii="宋体" w:hAnsi="宋体" w:eastAsia="宋体" w:cs="宋体"/>
                <w:b/>
                <w:kern w:val="0"/>
                <w:sz w:val="22"/>
              </w:rPr>
              <w:t>　</w:t>
            </w:r>
          </w:p>
        </w:tc>
      </w:tr>
    </w:tbl>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76"/>
        <w:gridCol w:w="2552"/>
        <w:gridCol w:w="1559"/>
        <w:gridCol w:w="1559"/>
        <w:gridCol w:w="1418"/>
      </w:tblGrid>
      <w:tr>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年度一般公共预算拨款支出预算表</w:t>
            </w:r>
          </w:p>
        </w:tc>
      </w:tr>
      <w:tr>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其中：</w:t>
            </w:r>
          </w:p>
        </w:tc>
      </w:tr>
      <w:tr>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项目支出</w:t>
            </w:r>
          </w:p>
        </w:tc>
      </w:tr>
      <w:tr>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1520.77</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136.77</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1384</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201</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一般公共服务支出</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20103</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政府办公厅（室）及相关机构事物</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lang w:val="en-US" w:eastAsia="zh-CN"/>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val="en-US" w:eastAsia="zh-CN"/>
              </w:rPr>
              <w:t>2010301</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行政运行</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13.54</w:t>
            </w:r>
            <w:r>
              <w:rPr>
                <w:rFonts w:hint="eastAsia" w:ascii="宋体" w:hAnsi="宋体" w:eastAsia="宋体" w:cs="宋体"/>
                <w:kern w:val="0"/>
                <w:sz w:val="24"/>
                <w:szCs w:val="24"/>
              </w:rPr>
              <w:t>　</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13.54</w:t>
            </w:r>
            <w:r>
              <w:rPr>
                <w:rFonts w:hint="eastAsia" w:ascii="宋体" w:hAnsi="宋体" w:eastAsia="宋体" w:cs="宋体"/>
                <w:kern w:val="0"/>
                <w:sz w:val="24"/>
                <w:szCs w:val="24"/>
              </w:rPr>
              <w:t>　</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left"/>
              <w:rPr>
                <w:rFonts w:hint="default" w:ascii="宋体" w:hAnsi="宋体" w:eastAsia="宋体" w:cs="宋体"/>
                <w:kern w:val="0"/>
                <w:sz w:val="22"/>
              </w:rPr>
            </w:pPr>
            <w:r>
              <w:rPr>
                <w:rFonts w:hint="eastAsia" w:ascii="宋体" w:hAnsi="宋体" w:eastAsia="宋体" w:cs="宋体"/>
                <w:kern w:val="0"/>
                <w:sz w:val="24"/>
                <w:szCs w:val="24"/>
                <w:lang w:val="en-US" w:eastAsia="zh-CN"/>
              </w:rPr>
              <w:t>212</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城乡社区支出</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1384</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color w:val="000000"/>
                <w:kern w:val="0"/>
                <w:sz w:val="22"/>
                <w:lang w:val="en-US" w:eastAsia="zh-CN"/>
              </w:rPr>
              <w:t>1384</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val="en-US" w:eastAsia="zh-CN"/>
              </w:rPr>
              <w:t>21201</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城乡社区管理事物</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1384</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1384</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default" w:ascii="宋体" w:hAnsi="宋体" w:eastAsia="宋体" w:cs="宋体"/>
                <w:kern w:val="0"/>
                <w:sz w:val="22"/>
              </w:rPr>
            </w:pPr>
            <w:r>
              <w:rPr>
                <w:rFonts w:hint="eastAsia" w:ascii="宋体" w:hAnsi="宋体" w:eastAsia="宋体" w:cs="宋体"/>
                <w:kern w:val="0"/>
                <w:sz w:val="24"/>
                <w:szCs w:val="24"/>
                <w:lang w:val="en-US" w:eastAsia="zh-CN"/>
              </w:rPr>
              <w:t>23120199</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其他城乡社区管理事物支出</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1384</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1384</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val="en-US" w:eastAsia="zh-CN"/>
              </w:rPr>
              <w:t>215</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资源勘探工业信息等支出</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123.23</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123.23</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val="en-US" w:eastAsia="zh-CN"/>
              </w:rPr>
              <w:t>21508</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支持中小企业发展和管理支出</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123.23</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123.23</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val="en-US" w:eastAsia="zh-CN"/>
              </w:rPr>
              <w:t>2150801</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行政运行</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72.44</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72.44</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val="en-US" w:eastAsia="zh-CN"/>
              </w:rPr>
              <w:t>2150803</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4"/>
                <w:szCs w:val="24"/>
                <w:lang w:eastAsia="zh-CN"/>
              </w:rPr>
              <w:t>机关服务</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50.79</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r>
              <w:rPr>
                <w:rFonts w:hint="eastAsia" w:ascii="宋体" w:hAnsi="宋体" w:eastAsia="宋体" w:cs="宋体"/>
                <w:kern w:val="0"/>
                <w:sz w:val="24"/>
                <w:szCs w:val="24"/>
                <w:lang w:val="en-US" w:eastAsia="zh-CN"/>
              </w:rPr>
              <w:t>50.79</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kern w:val="0"/>
                <w:sz w:val="22"/>
              </w:rPr>
            </w:pPr>
          </w:p>
        </w:tc>
      </w:tr>
    </w:tbl>
    <w:p>
      <w:pPr>
        <w:tabs>
          <w:tab w:val="left" w:pos="7513"/>
        </w:tabs>
        <w:adjustRightInd w:val="0"/>
        <w:snapToGrid w:val="0"/>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年度政府性基金预算拨款支出预算表</w:t>
            </w:r>
          </w:p>
        </w:tc>
      </w:tr>
      <w:tr>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其中：</w:t>
            </w:r>
          </w:p>
        </w:tc>
      </w:tr>
      <w:tr>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项目支出</w:t>
            </w:r>
          </w:p>
        </w:tc>
      </w:tr>
      <w:tr>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无</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无</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bl>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年度国有资本经营预算拨款支出预算表</w:t>
            </w:r>
          </w:p>
        </w:tc>
      </w:tr>
      <w:tr>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其中：</w:t>
            </w:r>
          </w:p>
        </w:tc>
      </w:tr>
      <w:tr>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项目支出</w:t>
            </w:r>
          </w:p>
        </w:tc>
      </w:tr>
      <w:tr>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无</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无</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bl>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年度一般公共预算支出经济分类情况表</w:t>
            </w:r>
          </w:p>
        </w:tc>
      </w:tr>
      <w:tr>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lang w:val="en-US" w:eastAsia="zh-CN"/>
              </w:rPr>
              <w:t>1520.77</w:t>
            </w:r>
            <w:r>
              <w:rPr>
                <w:rFonts w:hint="eastAsia" w:ascii="宋体" w:hAnsi="宋体" w:eastAsia="宋体" w:cs="宋体"/>
                <w:b/>
                <w:bCs/>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113.94</w:t>
            </w: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22.83</w:t>
            </w: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1384</w:t>
            </w:r>
          </w:p>
        </w:tc>
      </w:tr>
    </w:tbl>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tbl>
      <w:tblPr>
        <w:tblStyle w:val="6"/>
        <w:tblW w:w="8567" w:type="dxa"/>
        <w:tblInd w:w="93" w:type="dxa"/>
        <w:tblLayout w:type="autofit"/>
        <w:tblCellMar>
          <w:top w:w="0" w:type="dxa"/>
          <w:left w:w="108" w:type="dxa"/>
          <w:bottom w:w="0" w:type="dxa"/>
          <w:right w:w="108" w:type="dxa"/>
        </w:tblCellMar>
      </w:tblPr>
      <w:tblGrid>
        <w:gridCol w:w="1149"/>
        <w:gridCol w:w="3260"/>
        <w:gridCol w:w="1418"/>
        <w:gridCol w:w="1418"/>
        <w:gridCol w:w="1322"/>
      </w:tblGrid>
      <w:tr>
        <w:tblPrEx>
          <w:tblCellMar>
            <w:top w:w="0" w:type="dxa"/>
            <w:left w:w="108" w:type="dxa"/>
            <w:bottom w:w="0" w:type="dxa"/>
            <w:right w:w="108" w:type="dxa"/>
          </w:tblCellMar>
        </w:tblPrEx>
        <w:trPr>
          <w:trHeight w:val="675" w:hRule="atLeast"/>
        </w:trPr>
        <w:tc>
          <w:tcPr>
            <w:tcW w:w="8567" w:type="dxa"/>
            <w:gridSpan w:val="5"/>
            <w:tcBorders>
              <w:top w:val="nil"/>
              <w:left w:val="nil"/>
              <w:bottom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32"/>
                <w:szCs w:val="32"/>
                <w:lang w:val="en-US" w:eastAsia="zh-CN"/>
              </w:rPr>
              <w:t>2022</w:t>
            </w:r>
            <w:r>
              <w:rPr>
                <w:rFonts w:hint="eastAsia" w:ascii="方正小标宋简体" w:hAnsi="宋体" w:eastAsia="方正小标宋简体" w:cs="宋体"/>
                <w:color w:val="000000"/>
                <w:kern w:val="0"/>
                <w:sz w:val="32"/>
                <w:szCs w:val="32"/>
              </w:rPr>
              <w:t>年度一般公共预算基本支出经济分类情况表</w:t>
            </w:r>
          </w:p>
        </w:tc>
      </w:tr>
      <w:tr>
        <w:tblPrEx>
          <w:tblCellMar>
            <w:top w:w="0" w:type="dxa"/>
            <w:left w:w="108" w:type="dxa"/>
            <w:bottom w:w="0" w:type="dxa"/>
            <w:right w:w="108" w:type="dxa"/>
          </w:tblCellMar>
        </w:tblPrEx>
        <w:trPr>
          <w:trHeight w:val="420" w:hRule="atLeast"/>
        </w:trPr>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Arial" w:hAnsi="Arial" w:eastAsia="宋体" w:cs="Arial"/>
                <w:color w:val="000000"/>
                <w:kern w:val="0"/>
                <w:sz w:val="20"/>
                <w:szCs w:val="20"/>
              </w:rPr>
            </w:pPr>
          </w:p>
        </w:tc>
        <w:tc>
          <w:tcPr>
            <w:tcW w:w="4678" w:type="dxa"/>
            <w:gridSpan w:val="2"/>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418" w:type="dxa"/>
            <w:tcBorders>
              <w:top w:val="nil"/>
              <w:left w:val="nil"/>
              <w:bottom w:val="nil"/>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322" w:type="dxa"/>
            <w:tcBorders>
              <w:top w:val="nil"/>
              <w:left w:val="nil"/>
              <w:bottom w:val="nil"/>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tblPrEx>
          <w:tblCellMar>
            <w:top w:w="0" w:type="dxa"/>
            <w:left w:w="108" w:type="dxa"/>
            <w:bottom w:w="0" w:type="dxa"/>
            <w:right w:w="108" w:type="dxa"/>
          </w:tblCellMar>
        </w:tblPrEx>
        <w:trPr>
          <w:trHeight w:val="567"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326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14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人员经费</w:t>
            </w:r>
          </w:p>
        </w:tc>
        <w:tc>
          <w:tcPr>
            <w:tcW w:w="13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公用经费</w:t>
            </w:r>
          </w:p>
        </w:tc>
      </w:tr>
      <w:tr>
        <w:tblPrEx>
          <w:tblCellMar>
            <w:top w:w="0" w:type="dxa"/>
            <w:left w:w="108" w:type="dxa"/>
            <w:bottom w:w="0" w:type="dxa"/>
            <w:right w:w="108" w:type="dxa"/>
          </w:tblCellMar>
        </w:tblPrEx>
        <w:trPr>
          <w:trHeight w:val="419" w:hRule="atLeast"/>
        </w:trPr>
        <w:tc>
          <w:tcPr>
            <w:tcW w:w="4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136.77</w:t>
            </w:r>
            <w:r>
              <w:rPr>
                <w:rFonts w:hint="eastAsia" w:ascii="宋体" w:hAnsi="宋体" w:eastAsia="宋体" w:cs="宋体"/>
                <w:b/>
                <w:bCs/>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113.94</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22.83</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113.94</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113.94</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41.48</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41.48</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16.49</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16.49</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22.38</w:t>
            </w: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22.38</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12.1</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12.1</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30110</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11.24</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11.24</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0.62</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0.62</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9.63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9.63</w:t>
            </w: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22.83</w:t>
            </w:r>
            <w:r>
              <w:rPr>
                <w:rFonts w:hint="eastAsia" w:ascii="宋体" w:hAnsi="宋体" w:eastAsia="宋体" w:cs="宋体"/>
                <w:b/>
                <w:bCs/>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22.83</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16.53</w:t>
            </w: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16.53</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30204</w:t>
            </w:r>
          </w:p>
        </w:tc>
        <w:tc>
          <w:tcPr>
            <w:tcW w:w="32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hint="default" w:ascii="宋体" w:hAnsi="宋体" w:eastAsia="宋体" w:cs="宋体"/>
                <w:color w:val="000000"/>
                <w:kern w:val="0"/>
                <w:sz w:val="18"/>
                <w:szCs w:val="18"/>
              </w:rPr>
              <w:t>(护)费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1.5</w:t>
            </w: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30231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4.8</w:t>
            </w: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4.8</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30239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lang w:val="en-US" w:eastAsia="zh-CN"/>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30240</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30310</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30311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30913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30919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30921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30922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310</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31006</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31010</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31012</w:t>
            </w:r>
          </w:p>
        </w:tc>
        <w:tc>
          <w:tcPr>
            <w:tcW w:w="32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31021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31022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31101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31199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31201</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31205</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31302</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31303</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color w:val="000000"/>
                <w:kern w:val="0"/>
                <w:sz w:val="18"/>
                <w:szCs w:val="18"/>
              </w:rPr>
            </w:pPr>
            <w:r>
              <w:rPr>
                <w:rFonts w:hint="default" w:ascii="宋体" w:hAnsi="宋体" w:eastAsia="宋体" w:cs="宋体"/>
                <w:b w:val="0"/>
                <w:bCs/>
                <w:color w:val="000000"/>
                <w:kern w:val="0"/>
                <w:sz w:val="18"/>
                <w:szCs w:val="18"/>
              </w:rPr>
              <w:t>31304</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color w:val="000000"/>
                <w:kern w:val="0"/>
                <w:sz w:val="18"/>
                <w:szCs w:val="18"/>
              </w:rPr>
            </w:pPr>
            <w:r>
              <w:rPr>
                <w:rFonts w:hint="default" w:ascii="宋体" w:hAnsi="宋体" w:eastAsia="宋体" w:cs="宋体"/>
                <w:b w:val="0"/>
                <w:bCs/>
                <w:color w:val="000000"/>
                <w:kern w:val="0"/>
                <w:sz w:val="18"/>
                <w:szCs w:val="18"/>
              </w:rPr>
              <w:t xml:space="preserve">    对机关事业单位职业年金的补助</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val="0"/>
                <w:bCs/>
                <w:kern w:val="0"/>
                <w:sz w:val="18"/>
                <w:szCs w:val="18"/>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Cs/>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Cs/>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lang w:val="en-US" w:eastAsia="zh-CN"/>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39907</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39908</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39909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39910</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39999</w:t>
            </w:r>
          </w:p>
        </w:tc>
        <w:tc>
          <w:tcPr>
            <w:tcW w:w="326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14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132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lang w:val="en-US" w:eastAsia="zh-CN"/>
              </w:rPr>
            </w:pPr>
          </w:p>
        </w:tc>
      </w:tr>
    </w:tbl>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hint="eastAsia" w:ascii="黑体" w:hAnsi="黑体" w:eastAsia="黑体"/>
          <w:sz w:val="32"/>
          <w:szCs w:val="32"/>
        </w:rPr>
      </w:pP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2022</w:t>
            </w:r>
            <w:r>
              <w:rPr>
                <w:rFonts w:hint="eastAsia" w:ascii="方正小标宋简体" w:hAnsi="黑体" w:eastAsia="方正小标宋简体" w:cs="宋体"/>
                <w:kern w:val="0"/>
                <w:sz w:val="32"/>
                <w:szCs w:val="32"/>
              </w:rPr>
              <w:t>年度一般公共预算“三公”经费支出预算表</w:t>
            </w:r>
          </w:p>
        </w:tc>
      </w:tr>
      <w:tr>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预算数</w:t>
            </w:r>
          </w:p>
        </w:tc>
      </w:tr>
      <w:tr>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4.8</w:t>
            </w:r>
          </w:p>
        </w:tc>
      </w:tr>
      <w:tr>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4.8</w:t>
            </w:r>
          </w:p>
        </w:tc>
      </w:tr>
      <w:tr>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440" w:firstLineChars="200"/>
              <w:jc w:val="left"/>
              <w:rPr>
                <w:rFonts w:hint="default"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4.8</w:t>
            </w:r>
          </w:p>
        </w:tc>
      </w:tr>
    </w:tbl>
    <w:p>
      <w:pPr>
        <w:tabs>
          <w:tab w:val="left" w:pos="7513"/>
        </w:tabs>
        <w:adjustRightInd w:val="0"/>
        <w:snapToGrid w:val="0"/>
        <w:spacing w:line="300" w:lineRule="auto"/>
        <w:ind w:firstLine="420" w:firstLineChars="200"/>
        <w:jc w:val="left"/>
        <w:rPr>
          <w:rFonts w:ascii="楷体" w:hAnsi="楷体" w:eastAsia="楷体" w:cs="Times New Roman"/>
          <w:kern w:val="0"/>
          <w:sz w:val="32"/>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 w:val="21"/>
          <w:szCs w:val="21"/>
        </w:rPr>
        <w:t>。</w:t>
      </w:r>
    </w:p>
    <w:p>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十一、部门专项资金管理清单目录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2022</w:t>
            </w:r>
            <w:r>
              <w:rPr>
                <w:rFonts w:hint="eastAsia" w:ascii="方正小标宋简体" w:hAnsi="宋体" w:eastAsia="方正小标宋简体" w:cs="宋体"/>
                <w:kern w:val="0"/>
                <w:sz w:val="32"/>
                <w:szCs w:val="32"/>
              </w:rPr>
              <w:t>年度部门专项资金管理清单目录</w:t>
            </w:r>
          </w:p>
        </w:tc>
      </w:tr>
      <w:tr>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88" w:type="dxa"/>
            <w:tcBorders>
              <w:top w:val="nil"/>
              <w:left w:val="nil"/>
              <w:bottom w:val="nil"/>
              <w:right w:val="nil"/>
            </w:tcBorders>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275"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资金分配办法及支出标准</w:t>
            </w:r>
          </w:p>
        </w:tc>
      </w:tr>
      <w:tr>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r>
              <w:rPr>
                <w:rFonts w:hint="eastAsia" w:ascii="宋体" w:hAnsi="宋体" w:eastAsia="宋体" w:cs="宋体"/>
                <w:b/>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jc w:val="center"/>
              <w:rPr>
                <w:rFonts w:hint="default" w:ascii="宋体" w:hAnsi="宋体" w:eastAsia="宋体" w:cs="宋体"/>
                <w:kern w:val="0"/>
                <w:sz w:val="24"/>
                <w:szCs w:val="24"/>
              </w:rPr>
            </w:pPr>
            <w:r>
              <w:rPr>
                <w:rFonts w:hint="eastAsia" w:ascii="宋体" w:hAnsi="宋体" w:eastAsia="宋体"/>
                <w:sz w:val="18"/>
              </w:rPr>
              <w:t>上杭县蛟洋工业区管理委员会</w:t>
            </w:r>
          </w:p>
        </w:tc>
        <w:tc>
          <w:tcPr>
            <w:tcW w:w="1354"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jc w:val="center"/>
              <w:rPr>
                <w:rFonts w:hint="default" w:ascii="宋体" w:hAnsi="宋体" w:eastAsia="宋体" w:cs="宋体"/>
                <w:kern w:val="0"/>
                <w:sz w:val="24"/>
                <w:szCs w:val="24"/>
              </w:rPr>
            </w:pPr>
            <w:r>
              <w:rPr>
                <w:rFonts w:hint="eastAsia" w:ascii="宋体" w:hAnsi="宋体" w:eastAsia="宋体"/>
                <w:sz w:val="18"/>
              </w:rPr>
              <w:t>污水处理费</w:t>
            </w:r>
          </w:p>
        </w:tc>
        <w:tc>
          <w:tcPr>
            <w:tcW w:w="105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rPr>
                <w:rFonts w:hint="default" w:ascii="宋体" w:hAnsi="宋体" w:eastAsia="宋体" w:cs="宋体"/>
                <w:kern w:val="0"/>
                <w:sz w:val="24"/>
                <w:szCs w:val="24"/>
              </w:rPr>
            </w:pPr>
            <w:r>
              <w:rPr>
                <w:rFonts w:hint="eastAsia" w:ascii="宋体" w:hAnsi="宋体" w:eastAsia="宋体"/>
                <w:sz w:val="18"/>
              </w:rPr>
              <w:t>杭发改审【2020】15号</w:t>
            </w:r>
          </w:p>
        </w:tc>
        <w:tc>
          <w:tcPr>
            <w:tcW w:w="1134"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rPr>
                <w:rFonts w:hint="default" w:ascii="宋体" w:hAnsi="宋体" w:eastAsia="宋体" w:cs="宋体"/>
                <w:kern w:val="0"/>
                <w:sz w:val="24"/>
                <w:szCs w:val="24"/>
              </w:rPr>
            </w:pPr>
            <w:r>
              <w:rPr>
                <w:rFonts w:hint="eastAsia" w:ascii="宋体" w:hAnsi="宋体" w:eastAsia="宋体"/>
                <w:sz w:val="18"/>
              </w:rPr>
              <w:t>1</w:t>
            </w:r>
          </w:p>
        </w:tc>
        <w:tc>
          <w:tcPr>
            <w:tcW w:w="1134"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rPr>
                <w:rFonts w:hint="default" w:ascii="宋体" w:hAnsi="宋体" w:eastAsia="宋体" w:cs="宋体"/>
                <w:kern w:val="0"/>
                <w:sz w:val="24"/>
                <w:szCs w:val="24"/>
              </w:rPr>
            </w:pPr>
            <w:r>
              <w:rPr>
                <w:rFonts w:hint="eastAsia" w:ascii="宋体" w:hAnsi="宋体" w:eastAsia="宋体"/>
                <w:sz w:val="18"/>
              </w:rPr>
              <w:t>处理生活污水和生产废水2万吨/天</w:t>
            </w:r>
          </w:p>
        </w:tc>
        <w:tc>
          <w:tcPr>
            <w:tcW w:w="1134"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rPr>
                <w:rFonts w:hint="default" w:ascii="宋体" w:hAnsi="宋体" w:eastAsia="宋体" w:cs="宋体"/>
                <w:kern w:val="0"/>
                <w:sz w:val="24"/>
                <w:szCs w:val="24"/>
              </w:rPr>
            </w:pPr>
            <w:r>
              <w:rPr>
                <w:rFonts w:hint="eastAsia" w:ascii="宋体" w:hAnsi="宋体" w:eastAsia="宋体"/>
                <w:sz w:val="18"/>
              </w:rPr>
              <w:t>项目二期建污水处理管网63847米，设计规模为处理生活污水和生产废水2万吨/天，并对一期1万吨/天污水处理规划进行提标改造，增加深度处理设施。</w:t>
            </w:r>
          </w:p>
        </w:tc>
        <w:tc>
          <w:tcPr>
            <w:tcW w:w="1134"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ind w:left="0" w:right="0"/>
              <w:rPr>
                <w:rFonts w:hint="default" w:ascii="宋体" w:hAnsi="宋体" w:eastAsia="宋体" w:cs="宋体"/>
                <w:kern w:val="0"/>
                <w:sz w:val="24"/>
                <w:szCs w:val="24"/>
              </w:rPr>
            </w:pPr>
          </w:p>
        </w:tc>
        <w:tc>
          <w:tcPr>
            <w:tcW w:w="1040"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0" w:right="20" w:rightChars="0"/>
              <w:jc w:val="right"/>
              <w:rPr>
                <w:rFonts w:hint="default" w:ascii="宋体" w:hAnsi="宋体" w:eastAsia="宋体" w:cs="宋体"/>
                <w:kern w:val="0"/>
                <w:sz w:val="24"/>
                <w:szCs w:val="24"/>
              </w:rPr>
            </w:pPr>
            <w:r>
              <w:rPr>
                <w:rFonts w:hint="eastAsia" w:ascii="宋体" w:hAnsi="宋体" w:eastAsia="宋体"/>
                <w:sz w:val="18"/>
              </w:rPr>
              <w:t>1384</w:t>
            </w:r>
          </w:p>
        </w:tc>
        <w:tc>
          <w:tcPr>
            <w:tcW w:w="1200"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0" w:right="20" w:rightChars="0"/>
              <w:jc w:val="right"/>
              <w:rPr>
                <w:rFonts w:hint="default" w:ascii="宋体" w:hAnsi="宋体" w:eastAsia="宋体" w:cs="宋体"/>
                <w:kern w:val="0"/>
                <w:sz w:val="24"/>
                <w:szCs w:val="24"/>
              </w:rPr>
            </w:pPr>
            <w:r>
              <w:rPr>
                <w:rFonts w:hint="eastAsia" w:ascii="宋体" w:hAnsi="宋体" w:eastAsia="宋体"/>
                <w:sz w:val="18"/>
              </w:rPr>
              <w:t>1384</w:t>
            </w:r>
          </w:p>
        </w:tc>
        <w:tc>
          <w:tcPr>
            <w:tcW w:w="12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4"/>
                <w:szCs w:val="24"/>
              </w:rPr>
            </w:pPr>
          </w:p>
        </w:tc>
        <w:tc>
          <w:tcPr>
            <w:tcW w:w="11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Lines="0" w:beforeAutospacing="0" w:after="0" w:afterLines="0" w:afterAutospacing="0" w:line="225" w:lineRule="exact"/>
              <w:ind w:left="20" w:leftChars="0" w:right="0"/>
              <w:rPr>
                <w:rFonts w:hint="default" w:ascii="宋体" w:hAnsi="宋体" w:eastAsia="宋体" w:cs="宋体"/>
                <w:kern w:val="0"/>
                <w:sz w:val="24"/>
                <w:szCs w:val="24"/>
              </w:rPr>
            </w:pPr>
            <w:r>
              <w:rPr>
                <w:rFonts w:hint="eastAsia" w:ascii="宋体" w:hAnsi="宋体" w:eastAsia="宋体"/>
                <w:sz w:val="18"/>
              </w:rPr>
              <w:t>项目法</w:t>
            </w:r>
          </w:p>
        </w:tc>
      </w:tr>
      <w:tr>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bl>
    <w:p>
      <w:pPr>
        <w:tabs>
          <w:tab w:val="left" w:pos="480"/>
        </w:tabs>
        <w:spacing w:line="240" w:lineRule="auto"/>
        <w:rPr>
          <w:rFonts w:ascii="楷体" w:hAnsi="楷体" w:eastAsia="楷体"/>
        </w:rPr>
      </w:pPr>
      <w:r>
        <w:rPr>
          <w:rFonts w:hint="eastAsia" w:ascii="楷体" w:hAnsi="楷体" w:eastAsia="楷体"/>
        </w:rPr>
        <w:t>编报说明</w:t>
      </w:r>
      <w:r>
        <w:rPr>
          <w:rFonts w:hint="eastAsia" w:ascii="楷体" w:hAnsi="楷体" w:eastAsia="楷体" w:cs="Times New Roman"/>
          <w:kern w:val="0"/>
          <w:szCs w:val="21"/>
        </w:rPr>
        <w:t>（制作文本时请删除“编报说明”内容）</w:t>
      </w:r>
      <w:r>
        <w:rPr>
          <w:rFonts w:hint="eastAsia" w:ascii="楷体" w:hAnsi="楷体" w:eastAsia="楷体"/>
        </w:rPr>
        <w:t>：</w:t>
      </w:r>
    </w:p>
    <w:p>
      <w:pPr>
        <w:tabs>
          <w:tab w:val="left" w:pos="798"/>
        </w:tabs>
        <w:spacing w:line="240" w:lineRule="auto"/>
        <w:ind w:firstLine="420" w:firstLineChars="200"/>
        <w:rPr>
          <w:rFonts w:ascii="楷体" w:hAnsi="楷体" w:eastAsia="楷体"/>
        </w:rPr>
      </w:pPr>
      <w:r>
        <w:rPr>
          <w:rFonts w:hint="eastAsia" w:ascii="楷体" w:hAnsi="楷体" w:eastAsia="楷体"/>
        </w:rPr>
        <w:t>1.立项依据：指专项资金设立所依据的法律、法规、规章或者政府的规范性文件。按照“《标题》+（文号）：主要依据内容”的格式填报。有多个设立依据的，应按设立依据的级次，从高到低填列。</w:t>
      </w:r>
    </w:p>
    <w:p>
      <w:pPr>
        <w:tabs>
          <w:tab w:val="left" w:pos="798"/>
        </w:tabs>
        <w:spacing w:line="240" w:lineRule="auto"/>
        <w:ind w:firstLine="420" w:firstLineChars="200"/>
        <w:rPr>
          <w:rFonts w:ascii="楷体" w:hAnsi="楷体" w:eastAsia="楷体"/>
        </w:rPr>
      </w:pPr>
      <w:r>
        <w:rPr>
          <w:rFonts w:hint="eastAsia" w:ascii="楷体" w:hAnsi="楷体" w:eastAsia="楷体"/>
        </w:rPr>
        <w:t>2.执行年限：专项资金未确定执行期限的，统一设定期限为3年。</w:t>
      </w:r>
    </w:p>
    <w:p>
      <w:pPr>
        <w:tabs>
          <w:tab w:val="left" w:pos="798"/>
        </w:tabs>
        <w:spacing w:line="240" w:lineRule="auto"/>
        <w:ind w:firstLine="420" w:firstLineChars="200"/>
        <w:rPr>
          <w:rFonts w:ascii="楷体" w:hAnsi="楷体" w:eastAsia="楷体"/>
        </w:rPr>
      </w:pPr>
      <w:r>
        <w:rPr>
          <w:rFonts w:hint="eastAsia" w:ascii="楷体" w:hAnsi="楷体" w:eastAsia="楷体"/>
        </w:rPr>
        <w:t>3.总体绩效目标：描述专项资金在实施过程中（包括实施期、当年度）计划达到的产出和效果，主要采用定性描述。</w:t>
      </w:r>
    </w:p>
    <w:p>
      <w:pPr>
        <w:tabs>
          <w:tab w:val="left" w:pos="798"/>
        </w:tabs>
        <w:spacing w:line="240" w:lineRule="auto"/>
        <w:ind w:firstLine="420" w:firstLineChars="200"/>
        <w:rPr>
          <w:rFonts w:ascii="楷体" w:hAnsi="楷体" w:eastAsia="楷体"/>
        </w:rPr>
      </w:pPr>
      <w:r>
        <w:rPr>
          <w:rFonts w:hint="eastAsia" w:ascii="楷体" w:hAnsi="楷体" w:eastAsia="楷体"/>
        </w:rPr>
        <w:t>4.实施规划：描述专项资金的主要内容和分阶段实施计划等内容。</w:t>
      </w:r>
    </w:p>
    <w:p>
      <w:pPr>
        <w:tabs>
          <w:tab w:val="left" w:pos="798"/>
        </w:tabs>
        <w:spacing w:line="240" w:lineRule="auto"/>
        <w:ind w:firstLine="420" w:firstLineChars="200"/>
        <w:rPr>
          <w:rFonts w:ascii="楷体" w:hAnsi="楷体" w:eastAsia="楷体"/>
        </w:rPr>
      </w:pPr>
      <w:r>
        <w:rPr>
          <w:rFonts w:ascii="楷体" w:hAnsi="楷体" w:eastAsia="楷体"/>
        </w:rPr>
        <w:t>5.</w:t>
      </w:r>
      <w:r>
        <w:rPr>
          <w:rFonts w:hint="eastAsia" w:ascii="楷体" w:hAnsi="楷体" w:eastAsia="楷体"/>
        </w:rPr>
        <w:t>支出级次：分为“省本级支出”和“对市县的转移支付支出”。同一专项资金项目包含多种分类的，需区别标识，例：省本级支出xxx万元、对市县的转移支付支出xxx万元。</w:t>
      </w:r>
    </w:p>
    <w:p>
      <w:pPr>
        <w:tabs>
          <w:tab w:val="left" w:pos="798"/>
        </w:tabs>
        <w:spacing w:line="240" w:lineRule="auto"/>
        <w:ind w:firstLine="420" w:firstLineChars="200"/>
        <w:jc w:val="center"/>
        <w:rPr>
          <w:rFonts w:ascii="楷体" w:hAnsi="楷体" w:eastAsia="楷体"/>
        </w:rPr>
      </w:pPr>
      <w:r>
        <w:rPr>
          <w:rFonts w:ascii="楷体" w:hAnsi="楷体" w:eastAsia="楷体"/>
        </w:rPr>
        <w:t>6.</w:t>
      </w:r>
      <w:r>
        <w:rPr>
          <w:rFonts w:hint="eastAsia" w:ascii="楷体" w:hAnsi="楷体" w:eastAsia="楷体"/>
        </w:rPr>
        <w:t>资金分配办法及支出标准：按照专项资金使用管理办法的相关规定填报，其中：资金分配办法分为“因素法”、“项目法”、“因素法、项目法相结合”。实行因素法分配的专项资金要描述资金分配因素的量化指标、权重系数和分配公式；实行项目管理法的专项资金要描述具体申报条件、筛选原则和审批程序；</w:t>
      </w:r>
    </w:p>
    <w:p>
      <w:pPr>
        <w:tabs>
          <w:tab w:val="left" w:pos="798"/>
        </w:tabs>
        <w:spacing w:line="240" w:lineRule="auto"/>
        <w:ind w:firstLine="420" w:firstLineChars="200"/>
        <w:jc w:val="center"/>
        <w:rPr>
          <w:rFonts w:ascii="楷体" w:hAnsi="楷体" w:eastAsia="楷体"/>
          <w:sz w:val="36"/>
          <w:szCs w:val="36"/>
          <w:lang w:eastAsia="zh-CN"/>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rPr>
        <w:t>7.本表没有内容的部门，</w:t>
      </w:r>
      <w:r>
        <w:rPr>
          <w:rFonts w:hint="eastAsia" w:ascii="楷体" w:hAnsi="楷体" w:eastAsia="楷体" w:cs="Times New Roman"/>
          <w:kern w:val="0"/>
          <w:szCs w:val="21"/>
        </w:rPr>
        <w:t>应公开空表，并在表格下方说明</w:t>
      </w:r>
      <w:r>
        <w:rPr>
          <w:rFonts w:hint="eastAsia" w:ascii="楷体" w:hAnsi="楷体" w:eastAsia="楷体"/>
        </w:rPr>
        <w:t>“备注：本部门××年度没有由本部门管理的专项资金”。</w:t>
      </w: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left"/>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pPr>
        <w:pStyle w:val="3"/>
        <w:jc w:val="center"/>
        <w:rPr>
          <w:rFonts w:ascii="黑体" w:hAnsi="黑体" w:eastAsia="黑体"/>
          <w:sz w:val="56"/>
          <w:szCs w:val="36"/>
          <w:lang w:eastAsia="zh-CN"/>
        </w:rPr>
      </w:pPr>
      <w:r>
        <w:rPr>
          <w:rFonts w:hint="eastAsia" w:ascii="黑体" w:hAnsi="黑体" w:eastAsia="黑体"/>
          <w:sz w:val="56"/>
          <w:szCs w:val="36"/>
          <w:lang w:val="en-US" w:eastAsia="zh-CN"/>
        </w:rPr>
        <w:t>2022</w:t>
      </w:r>
      <w:r>
        <w:rPr>
          <w:rFonts w:hint="eastAsia" w:ascii="黑体" w:hAnsi="黑体" w:eastAsia="黑体"/>
          <w:sz w:val="56"/>
          <w:szCs w:val="36"/>
          <w:lang w:eastAsia="zh-CN"/>
        </w:rPr>
        <w:t>年度部门预算情况说明</w:t>
      </w:r>
    </w:p>
    <w:p>
      <w:pPr>
        <w:ind w:firstLine="640" w:firstLineChars="200"/>
        <w:rPr>
          <w:rFonts w:ascii="仿宋" w:hAnsi="仿宋" w:eastAsia="仿宋" w:cs="仿宋_GB2312"/>
          <w:sz w:val="32"/>
          <w:szCs w:val="32"/>
        </w:rPr>
      </w:pPr>
    </w:p>
    <w:p>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pPr>
        <w:tabs>
          <w:tab w:val="left" w:pos="7513"/>
        </w:tabs>
        <w:adjustRightInd w:val="0"/>
        <w:snapToGrid w:val="0"/>
        <w:spacing w:line="600" w:lineRule="exact"/>
        <w:rPr>
          <w:rFonts w:ascii="黑体" w:hAnsi="黑体" w:eastAsia="黑体"/>
          <w:b w:val="0"/>
          <w:sz w:val="32"/>
          <w:szCs w:val="32"/>
        </w:rPr>
      </w:pPr>
      <w:r>
        <w:rPr>
          <w:rFonts w:hint="eastAsia" w:ascii="黑体" w:hAnsi="黑体" w:eastAsia="黑体" w:cstheme="minorBidi"/>
          <w:b w:val="0"/>
          <w:kern w:val="2"/>
          <w:sz w:val="32"/>
          <w:szCs w:val="32"/>
          <w:lang w:eastAsia="zh-CN"/>
        </w:rPr>
        <w:t>一、预算收支总体情况</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w:t>
      </w:r>
      <w:r>
        <w:rPr>
          <w:rFonts w:hint="eastAsia" w:ascii="仿宋" w:hAnsi="仿宋" w:eastAsia="仿宋"/>
          <w:sz w:val="32"/>
          <w:szCs w:val="32"/>
          <w:lang w:val="en-US" w:eastAsia="zh-CN"/>
        </w:rPr>
        <w:t>2022</w:t>
      </w:r>
      <w:r>
        <w:rPr>
          <w:rFonts w:hint="eastAsia" w:ascii="仿宋" w:hAnsi="仿宋" w:eastAsia="仿宋"/>
          <w:sz w:val="32"/>
          <w:szCs w:val="32"/>
        </w:rPr>
        <w:t>年，</w:t>
      </w:r>
      <w:r>
        <w:rPr>
          <w:rFonts w:hint="eastAsia" w:ascii="仿宋" w:hAnsi="仿宋" w:eastAsia="仿宋" w:cs="仿宋_GB2312"/>
          <w:sz w:val="32"/>
          <w:szCs w:val="32"/>
          <w:lang w:val="en-US" w:eastAsia="zh-CN"/>
        </w:rPr>
        <w:t>蛟洋工业区管理委员会</w:t>
      </w:r>
      <w:r>
        <w:rPr>
          <w:rFonts w:hint="eastAsia" w:ascii="仿宋" w:hAnsi="仿宋" w:eastAsia="仿宋"/>
          <w:sz w:val="32"/>
          <w:szCs w:val="32"/>
        </w:rPr>
        <w:t>收入预算为</w:t>
      </w:r>
      <w:r>
        <w:rPr>
          <w:rFonts w:hint="eastAsia" w:ascii="仿宋" w:hAnsi="仿宋" w:eastAsia="仿宋" w:cs="仿宋_GB2312"/>
          <w:sz w:val="32"/>
          <w:szCs w:val="32"/>
          <w:lang w:val="en-US" w:eastAsia="zh-CN"/>
        </w:rPr>
        <w:t>1520.77</w:t>
      </w:r>
      <w:r>
        <w:rPr>
          <w:rFonts w:hint="eastAsia" w:ascii="仿宋" w:hAnsi="仿宋" w:eastAsia="仿宋"/>
          <w:sz w:val="32"/>
          <w:szCs w:val="32"/>
        </w:rPr>
        <w:t>万元，比上年增加</w:t>
      </w:r>
      <w:r>
        <w:rPr>
          <w:rFonts w:hint="eastAsia" w:ascii="仿宋" w:hAnsi="仿宋" w:eastAsia="仿宋"/>
          <w:sz w:val="32"/>
          <w:szCs w:val="32"/>
          <w:lang w:val="en-US" w:eastAsia="zh-CN"/>
        </w:rPr>
        <w:t>1414.52</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人员增加及污水处理费预算增加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1520.77</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1520.77</w:t>
      </w:r>
      <w:r>
        <w:rPr>
          <w:rFonts w:hint="eastAsia" w:ascii="仿宋" w:hAnsi="仿宋" w:eastAsia="仿宋"/>
          <w:sz w:val="32"/>
          <w:szCs w:val="32"/>
        </w:rPr>
        <w:t>万元，比上年增加</w:t>
      </w:r>
      <w:r>
        <w:rPr>
          <w:rFonts w:hint="eastAsia" w:ascii="仿宋" w:hAnsi="仿宋" w:eastAsia="仿宋"/>
          <w:sz w:val="32"/>
          <w:szCs w:val="32"/>
          <w:lang w:val="en-US" w:eastAsia="zh-CN"/>
        </w:rPr>
        <w:t>1414.52</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人员增加及污水处理费预算增加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136.77</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1384</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pPr>
        <w:tabs>
          <w:tab w:val="left" w:pos="7513"/>
        </w:tabs>
        <w:adjustRightInd w:val="0"/>
        <w:snapToGrid w:val="0"/>
        <w:spacing w:line="600" w:lineRule="exact"/>
        <w:rPr>
          <w:rFonts w:ascii="黑体" w:hAnsi="黑体" w:eastAsia="黑体"/>
          <w:b w:val="0"/>
          <w:sz w:val="32"/>
          <w:szCs w:val="32"/>
        </w:rPr>
      </w:pPr>
      <w:r>
        <w:rPr>
          <w:rFonts w:hint="eastAsia" w:ascii="黑体" w:hAnsi="黑体" w:eastAsia="黑体" w:cstheme="minorBidi"/>
          <w:b w:val="0"/>
          <w:kern w:val="2"/>
          <w:sz w:val="32"/>
          <w:szCs w:val="32"/>
          <w:lang w:eastAsia="zh-CN"/>
        </w:rPr>
        <w:t>二、一般公共预算拨款支出情况</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15420.77</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1414.52</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1331.31</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人员增加及污水处理费预算增加</w:t>
      </w:r>
      <w:r>
        <w:rPr>
          <w:rFonts w:hint="eastAsia" w:ascii="仿宋" w:hAnsi="仿宋" w:eastAsia="仿宋" w:cs="仿宋_GB2312"/>
          <w:sz w:val="32"/>
          <w:szCs w:val="32"/>
        </w:rPr>
        <w:t>，主要支出项目(按项级科目分类统计)包括：</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2150801行政运行136.77</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在职人员工资、五险一金、工会经费、定额公用经费、办公费、会议费、差旅费等</w:t>
      </w:r>
      <w:r>
        <w:rPr>
          <w:rFonts w:hint="eastAsia" w:ascii="仿宋" w:hAnsi="仿宋" w:eastAsia="仿宋" w:cs="仿宋_GB2312"/>
          <w:sz w:val="32"/>
          <w:szCs w:val="32"/>
        </w:rPr>
        <w:t>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2120199其他城乡社区管理事务支出1384</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污水处理费</w:t>
      </w:r>
      <w:r>
        <w:rPr>
          <w:rFonts w:hint="eastAsia" w:ascii="仿宋" w:hAnsi="仿宋" w:eastAsia="仿宋" w:cs="仿宋_GB2312"/>
          <w:sz w:val="32"/>
          <w:szCs w:val="32"/>
        </w:rPr>
        <w:t>支出。</w:t>
      </w:r>
    </w:p>
    <w:p>
      <w:pPr>
        <w:tabs>
          <w:tab w:val="left" w:pos="7513"/>
        </w:tabs>
        <w:adjustRightInd w:val="0"/>
        <w:snapToGrid w:val="0"/>
        <w:spacing w:line="600" w:lineRule="exact"/>
        <w:rPr>
          <w:rFonts w:ascii="黑体" w:hAnsi="黑体" w:eastAsia="黑体"/>
          <w:b w:val="0"/>
          <w:sz w:val="32"/>
          <w:szCs w:val="32"/>
        </w:rPr>
      </w:pPr>
      <w:r>
        <w:rPr>
          <w:rFonts w:hint="eastAsia" w:ascii="黑体" w:hAnsi="黑体" w:eastAsia="黑体" w:cstheme="minorBidi"/>
          <w:b w:val="0"/>
          <w:kern w:val="2"/>
          <w:sz w:val="32"/>
          <w:szCs w:val="32"/>
          <w:lang w:eastAsia="zh-CN"/>
        </w:rPr>
        <w:t>三、政府性基金预算拨款支出情况</w:t>
      </w:r>
    </w:p>
    <w:p>
      <w:p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rPr>
        <w:t>本部门</w:t>
      </w:r>
      <w:r>
        <w:rPr>
          <w:rFonts w:hint="eastAsia" w:ascii="仿宋" w:hAnsi="仿宋" w:eastAsia="仿宋" w:cs="仿宋_GB2312"/>
          <w:sz w:val="32"/>
          <w:szCs w:val="32"/>
          <w:lang w:val="en-US" w:eastAsia="zh-CN"/>
        </w:rPr>
        <w:t>2022</w:t>
      </w:r>
      <w:r>
        <w:rPr>
          <w:rFonts w:hint="eastAsia" w:ascii="仿宋" w:hAnsi="仿宋" w:eastAsia="仿宋" w:cs="仿宋_GB2312"/>
          <w:sz w:val="32"/>
          <w:szCs w:val="32"/>
        </w:rPr>
        <w:t>年度没有使用政府性基金预算拨款安排的支出</w:t>
      </w:r>
      <w:r>
        <w:rPr>
          <w:rFonts w:hint="eastAsia" w:ascii="仿宋" w:hAnsi="仿宋" w:eastAsia="仿宋" w:cs="仿宋_GB2312"/>
          <w:sz w:val="32"/>
          <w:szCs w:val="32"/>
          <w:lang w:eastAsia="zh-CN"/>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p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本部门2022年度没有使用国有资本经营预算拨款安排的支出。</w:t>
      </w:r>
    </w:p>
    <w:p>
      <w:pPr>
        <w:tabs>
          <w:tab w:val="left" w:pos="7513"/>
        </w:tabs>
        <w:adjustRightInd w:val="0"/>
        <w:snapToGrid w:val="0"/>
        <w:spacing w:line="600" w:lineRule="exact"/>
        <w:rPr>
          <w:rFonts w:ascii="黑体" w:hAnsi="黑体" w:eastAsia="黑体"/>
          <w:b w:val="0"/>
          <w:sz w:val="32"/>
          <w:szCs w:val="32"/>
        </w:rPr>
      </w:pPr>
      <w:r>
        <w:rPr>
          <w:rFonts w:hint="eastAsia" w:ascii="黑体" w:hAnsi="黑体" w:eastAsia="黑体" w:cstheme="minorBidi"/>
          <w:b w:val="0"/>
          <w:kern w:val="2"/>
          <w:sz w:val="32"/>
          <w:szCs w:val="32"/>
          <w:lang w:eastAsia="zh-CN"/>
        </w:rPr>
        <w:t>五、</w:t>
      </w:r>
      <w:r>
        <w:rPr>
          <w:rFonts w:hint="eastAsia" w:ascii="黑体" w:hAnsi="黑体" w:eastAsia="黑体"/>
          <w:sz w:val="32"/>
          <w:szCs w:val="32"/>
        </w:rPr>
        <w:t>一般公共预算拨款</w:t>
      </w:r>
      <w:r>
        <w:rPr>
          <w:rFonts w:hint="eastAsia" w:ascii="黑体" w:hAnsi="黑体" w:eastAsia="黑体" w:cstheme="minorBidi"/>
          <w:b w:val="0"/>
          <w:kern w:val="2"/>
          <w:sz w:val="32"/>
          <w:szCs w:val="32"/>
          <w:lang w:eastAsia="zh-CN"/>
        </w:rPr>
        <w:t>基本支出情况</w:t>
      </w:r>
    </w:p>
    <w:p>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136.77</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113.94</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22.83</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tabs>
          <w:tab w:val="left" w:pos="7513"/>
        </w:tabs>
        <w:adjustRightInd w:val="0"/>
        <w:snapToGrid w:val="0"/>
        <w:spacing w:line="600" w:lineRule="exact"/>
        <w:rPr>
          <w:rFonts w:ascii="黑体" w:hAnsi="黑体" w:eastAsia="黑体"/>
          <w:b w:val="0"/>
          <w:sz w:val="32"/>
          <w:szCs w:val="32"/>
        </w:rPr>
      </w:pPr>
      <w:r>
        <w:rPr>
          <w:rFonts w:hint="eastAsia" w:ascii="黑体" w:hAnsi="黑体" w:eastAsia="黑体" w:cstheme="minorBidi"/>
          <w:b w:val="0"/>
          <w:kern w:val="2"/>
          <w:sz w:val="32"/>
          <w:szCs w:val="32"/>
          <w:lang w:eastAsia="zh-CN"/>
        </w:rPr>
        <w:t>六、一般公共预算“三公”经费支出情况</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pPr>
        <w:widowControl/>
        <w:adjustRightInd w:val="0"/>
        <w:snapToGrid w:val="0"/>
        <w:spacing w:line="600" w:lineRule="exact"/>
        <w:ind w:firstLine="66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2022年预算安排0万元，与上年持平。</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sz w:val="32"/>
          <w:szCs w:val="32"/>
          <w:lang w:val="en-US" w:eastAsia="zh-CN"/>
        </w:rPr>
        <w:t>1</w:t>
      </w:r>
      <w:r>
        <w:rPr>
          <w:rFonts w:hint="eastAsia" w:ascii="仿宋" w:hAnsi="仿宋" w:eastAsia="仿宋" w:cs="仿宋_GB2312"/>
          <w:kern w:val="0"/>
          <w:sz w:val="32"/>
          <w:szCs w:val="32"/>
        </w:rPr>
        <w:t>万元</w:t>
      </w:r>
      <w:r>
        <w:rPr>
          <w:rFonts w:hint="eastAsia" w:ascii="仿宋" w:hAnsi="仿宋" w:eastAsia="仿宋" w:cs="仿宋_GB2312"/>
          <w:sz w:val="32"/>
          <w:szCs w:val="32"/>
        </w:rPr>
        <w:t>。主要原因是:</w:t>
      </w:r>
      <w:r>
        <w:rPr>
          <w:rFonts w:hint="eastAsia" w:ascii="仿宋" w:hAnsi="仿宋" w:eastAsia="仿宋" w:cs="仿宋_GB2312"/>
          <w:sz w:val="32"/>
          <w:szCs w:val="32"/>
          <w:lang w:val="en-US" w:eastAsia="zh-CN"/>
        </w:rPr>
        <w:t>未纳入财政预算</w:t>
      </w:r>
      <w:r>
        <w:rPr>
          <w:rFonts w:hint="eastAsia" w:ascii="仿宋" w:hAnsi="仿宋" w:eastAsia="仿宋" w:cs="仿宋_GB2312"/>
          <w:sz w:val="32"/>
          <w:szCs w:val="32"/>
        </w:rPr>
        <w:t>。</w:t>
      </w:r>
    </w:p>
    <w:p>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4.8</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lang w:val="en-US" w:eastAsia="zh-CN"/>
        </w:rPr>
        <w:t>4.8</w:t>
      </w:r>
      <w:r>
        <w:rPr>
          <w:rFonts w:hint="eastAsia" w:ascii="仿宋" w:hAnsi="仿宋" w:eastAsia="仿宋" w:cs="宋体"/>
          <w:kern w:val="0"/>
          <w:sz w:val="32"/>
          <w:szCs w:val="32"/>
        </w:rPr>
        <w:t>万元，</w:t>
      </w:r>
      <w:r>
        <w:rPr>
          <w:rFonts w:hint="eastAsia" w:ascii="仿宋" w:hAnsi="仿宋" w:eastAsia="仿宋" w:cs="仿宋_GB2312"/>
          <w:sz w:val="32"/>
          <w:szCs w:val="32"/>
        </w:rPr>
        <w:t>比上年增加</w:t>
      </w:r>
      <w:r>
        <w:rPr>
          <w:rFonts w:hint="eastAsia" w:ascii="仿宋" w:hAnsi="仿宋" w:eastAsia="仿宋" w:cs="仿宋_GB2312"/>
          <w:sz w:val="32"/>
          <w:szCs w:val="32"/>
          <w:lang w:val="en-US" w:eastAsia="zh-CN"/>
        </w:rPr>
        <w:t>4.8</w:t>
      </w:r>
      <w:r>
        <w:rPr>
          <w:rFonts w:hint="eastAsia" w:ascii="仿宋" w:hAnsi="仿宋" w:eastAsia="仿宋" w:cs="仿宋_GB2312"/>
          <w:kern w:val="0"/>
          <w:sz w:val="32"/>
          <w:szCs w:val="32"/>
        </w:rPr>
        <w:t>万元</w:t>
      </w:r>
      <w:r>
        <w:rPr>
          <w:rFonts w:hint="eastAsia" w:ascii="仿宋" w:hAnsi="仿宋" w:eastAsia="仿宋" w:cs="仿宋_GB2312"/>
          <w:sz w:val="32"/>
          <w:szCs w:val="32"/>
        </w:rPr>
        <w:t>。主要原因是:</w:t>
      </w:r>
      <w:r>
        <w:rPr>
          <w:rFonts w:hint="eastAsia" w:ascii="仿宋" w:hAnsi="仿宋" w:eastAsia="仿宋" w:cs="仿宋_GB2312"/>
          <w:sz w:val="32"/>
          <w:szCs w:val="32"/>
          <w:lang w:val="en-US" w:eastAsia="zh-CN"/>
        </w:rPr>
        <w:t>新购公车一辆</w:t>
      </w:r>
      <w:r>
        <w:rPr>
          <w:rFonts w:hint="eastAsia" w:ascii="仿宋" w:hAnsi="仿宋" w:eastAsia="仿宋" w:cs="仿宋_GB2312"/>
          <w:sz w:val="32"/>
          <w:szCs w:val="32"/>
        </w:rPr>
        <w:t>。</w:t>
      </w:r>
    </w:p>
    <w:p>
      <w:pPr>
        <w:spacing w:line="600" w:lineRule="exact"/>
        <w:rPr>
          <w:rFonts w:ascii="仿宋" w:hAnsi="仿宋" w:eastAsia="仿宋" w:cs="仿宋_GB2312"/>
          <w:b w:val="0"/>
          <w:sz w:val="32"/>
          <w:szCs w:val="32"/>
        </w:rPr>
      </w:pPr>
      <w:r>
        <w:rPr>
          <w:rFonts w:hint="eastAsia" w:ascii="黑体" w:hAnsi="黑体" w:eastAsia="黑体" w:cstheme="minorBidi"/>
          <w:b w:val="0"/>
          <w:kern w:val="2"/>
          <w:sz w:val="32"/>
          <w:szCs w:val="32"/>
          <w:lang w:eastAsia="zh-CN"/>
        </w:rPr>
        <w:t>七、预算绩效目标情况</w:t>
      </w:r>
    </w:p>
    <w:p>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上杭县蛟洋工业区管理委员会</w:t>
      </w:r>
      <w:r>
        <w:rPr>
          <w:rFonts w:hint="eastAsia" w:ascii="仿宋" w:hAnsi="仿宋" w:eastAsia="仿宋" w:cs="仿宋_GB2312"/>
          <w:kern w:val="0"/>
          <w:sz w:val="32"/>
          <w:szCs w:val="32"/>
        </w:rPr>
        <w:t>共设置</w:t>
      </w:r>
      <w:r>
        <w:rPr>
          <w:rFonts w:hint="eastAsia" w:ascii="仿宋" w:hAnsi="仿宋" w:eastAsia="仿宋" w:cs="仿宋_GB2312"/>
          <w:kern w:val="0"/>
          <w:sz w:val="32"/>
          <w:szCs w:val="32"/>
          <w:lang w:val="en-US" w:eastAsia="zh-CN"/>
        </w:rPr>
        <w:t>1</w:t>
      </w:r>
      <w:r>
        <w:rPr>
          <w:rFonts w:hint="eastAsia" w:ascii="仿宋" w:hAnsi="仿宋" w:eastAsia="仿宋" w:cs="仿宋_GB2312"/>
          <w:kern w:val="0"/>
          <w:sz w:val="32"/>
          <w:szCs w:val="32"/>
        </w:rPr>
        <w:t>个项目绩效目标，共涉及财政拨款资金</w:t>
      </w:r>
      <w:r>
        <w:rPr>
          <w:rFonts w:hint="eastAsia" w:ascii="仿宋" w:hAnsi="仿宋" w:eastAsia="仿宋" w:cs="仿宋_GB2312"/>
          <w:kern w:val="0"/>
          <w:sz w:val="32"/>
          <w:szCs w:val="32"/>
          <w:lang w:val="en-US" w:eastAsia="zh-CN"/>
        </w:rPr>
        <w:t>1384</w:t>
      </w:r>
      <w:r>
        <w:rPr>
          <w:rFonts w:hint="eastAsia" w:ascii="仿宋" w:hAnsi="仿宋" w:eastAsia="仿宋" w:cs="仿宋_GB2312"/>
          <w:kern w:val="0"/>
          <w:sz w:val="32"/>
          <w:szCs w:val="32"/>
        </w:rPr>
        <w:t>万元。</w:t>
      </w: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hint="eastAsia" w:ascii="楷体" w:hAnsi="楷体" w:eastAsia="楷体"/>
          <w:b/>
          <w:sz w:val="32"/>
          <w:szCs w:val="32"/>
        </w:rPr>
      </w:pPr>
    </w:p>
    <w:p>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tbl>
      <w:tblPr>
        <w:tblStyle w:val="6"/>
        <w:tblW w:w="8220" w:type="dxa"/>
        <w:tblInd w:w="0" w:type="dxa"/>
        <w:tblLayout w:type="fixed"/>
        <w:tblCellMar>
          <w:top w:w="0" w:type="dxa"/>
          <w:left w:w="108" w:type="dxa"/>
          <w:bottom w:w="0" w:type="dxa"/>
          <w:right w:w="108" w:type="dxa"/>
        </w:tblCellMar>
      </w:tblPr>
      <w:tblGrid>
        <w:gridCol w:w="1149"/>
        <w:gridCol w:w="1174"/>
        <w:gridCol w:w="1932"/>
        <w:gridCol w:w="1982"/>
        <w:gridCol w:w="1983"/>
      </w:tblGrid>
      <w:tr>
        <w:tblPrEx>
          <w:tblCellMar>
            <w:top w:w="0" w:type="dxa"/>
            <w:left w:w="108" w:type="dxa"/>
            <w:bottom w:w="0" w:type="dxa"/>
            <w:right w:w="108" w:type="dxa"/>
          </w:tblCellMar>
        </w:tblPrEx>
        <w:trPr>
          <w:trHeight w:val="615" w:hRule="atLeast"/>
        </w:trPr>
        <w:tc>
          <w:tcPr>
            <w:tcW w:w="8227" w:type="dxa"/>
            <w:gridSpan w:val="5"/>
            <w:tcBorders>
              <w:top w:val="nil"/>
              <w:left w:val="nil"/>
              <w:bottom w:val="single" w:color="000000" w:sz="4" w:space="0"/>
              <w:right w:val="nil"/>
            </w:tcBorders>
            <w:tcMar>
              <w:top w:w="15" w:type="dxa"/>
              <w:left w:w="15" w:type="dxa"/>
              <w:bottom w:w="15" w:type="dxa"/>
              <w:right w:w="15" w:type="dxa"/>
            </w:tcMar>
          </w:tcPr>
          <w:p>
            <w:pPr>
              <w:keepNext w:val="0"/>
              <w:keepLines w:val="0"/>
              <w:widowControl/>
              <w:suppressLineNumbers w:val="0"/>
              <w:spacing w:before="0" w:beforeAutospacing="0" w:after="0" w:afterAutospacing="0" w:line="590" w:lineRule="exact"/>
              <w:ind w:left="0" w:right="0"/>
              <w:jc w:val="center"/>
              <w:textAlignment w:val="top"/>
              <w:rPr>
                <w:rFonts w:hint="default"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val="en-US" w:eastAsia="zh-CN" w:bidi="ar"/>
              </w:rPr>
              <w:t>污水处理费</w:t>
            </w:r>
            <w:r>
              <w:rPr>
                <w:rFonts w:hint="eastAsia" w:ascii="方正小标宋简体" w:hAnsi="方正小标宋简体" w:eastAsia="方正小标宋简体" w:cs="方正小标宋简体"/>
                <w:kern w:val="0"/>
                <w:sz w:val="36"/>
                <w:szCs w:val="36"/>
                <w:lang w:bidi="ar"/>
              </w:rPr>
              <w:t>绩效目标表</w:t>
            </w:r>
          </w:p>
          <w:p>
            <w:pPr>
              <w:keepNext w:val="0"/>
              <w:keepLines w:val="0"/>
              <w:widowControl/>
              <w:suppressLineNumbers w:val="0"/>
              <w:spacing w:before="0" w:beforeAutospacing="0" w:after="0" w:afterAutospacing="0" w:line="590" w:lineRule="exact"/>
              <w:ind w:left="0" w:right="0"/>
              <w:jc w:val="center"/>
              <w:textAlignment w:val="top"/>
              <w:rPr>
                <w:rFonts w:hint="default" w:ascii="方正小标宋简体" w:hAnsi="方正小标宋简体" w:eastAsia="方正小标宋简体" w:cs="方正小标宋简体"/>
                <w:sz w:val="40"/>
                <w:szCs w:val="40"/>
              </w:rPr>
            </w:pPr>
          </w:p>
        </w:tc>
      </w:tr>
      <w:tr>
        <w:tblPrEx>
          <w:tblCellMar>
            <w:top w:w="0" w:type="dxa"/>
            <w:left w:w="108" w:type="dxa"/>
            <w:bottom w:w="0" w:type="dxa"/>
            <w:right w:w="108" w:type="dxa"/>
          </w:tblCellMar>
        </w:tblPrEx>
        <w:trPr>
          <w:trHeight w:val="427"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项目资金（万元）</w:t>
            </w:r>
          </w:p>
        </w:tc>
        <w:tc>
          <w:tcPr>
            <w:tcW w:w="3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kern w:val="0"/>
                <w:sz w:val="24"/>
                <w:szCs w:val="24"/>
                <w:lang w:bidi="ar"/>
              </w:rPr>
              <w:t xml:space="preserve">资金总额： </w:t>
            </w:r>
          </w:p>
        </w:tc>
        <w:tc>
          <w:tcPr>
            <w:tcW w:w="39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1384</w:t>
            </w:r>
          </w:p>
        </w:tc>
      </w:tr>
      <w:tr>
        <w:tblPrEx>
          <w:tblCellMar>
            <w:top w:w="0" w:type="dxa"/>
            <w:left w:w="108" w:type="dxa"/>
            <w:bottom w:w="0" w:type="dxa"/>
            <w:right w:w="108" w:type="dxa"/>
          </w:tblCellMar>
        </w:tblPrEx>
        <w:trPr>
          <w:trHeight w:val="421"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3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 xml:space="preserve">  财政拨款：</w:t>
            </w:r>
          </w:p>
        </w:tc>
        <w:tc>
          <w:tcPr>
            <w:tcW w:w="39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1384</w:t>
            </w:r>
          </w:p>
        </w:tc>
      </w:tr>
      <w:tr>
        <w:tblPrEx>
          <w:tblCellMar>
            <w:top w:w="0" w:type="dxa"/>
            <w:left w:w="108" w:type="dxa"/>
            <w:bottom w:w="0" w:type="dxa"/>
            <w:right w:w="108" w:type="dxa"/>
          </w:tblCellMar>
        </w:tblPrEx>
        <w:trPr>
          <w:trHeight w:val="401"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3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 xml:space="preserve">  其他资金： </w:t>
            </w:r>
          </w:p>
        </w:tc>
        <w:tc>
          <w:tcPr>
            <w:tcW w:w="39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tblPrEx>
          <w:tblCellMar>
            <w:top w:w="0" w:type="dxa"/>
            <w:left w:w="108" w:type="dxa"/>
            <w:bottom w:w="0" w:type="dxa"/>
            <w:right w:w="108" w:type="dxa"/>
          </w:tblCellMar>
        </w:tblPrEx>
        <w:trPr>
          <w:trHeight w:val="759" w:hRule="atLeast"/>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总体</w:t>
            </w:r>
          </w:p>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目标</w:t>
            </w:r>
          </w:p>
        </w:tc>
        <w:tc>
          <w:tcPr>
            <w:tcW w:w="70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r>
      <w:tr>
        <w:tblPrEx>
          <w:tblCellMar>
            <w:top w:w="0" w:type="dxa"/>
            <w:left w:w="108" w:type="dxa"/>
            <w:bottom w:w="0" w:type="dxa"/>
            <w:right w:w="108" w:type="dxa"/>
          </w:tblCellMar>
        </w:tblPrEx>
        <w:trPr>
          <w:trHeight w:val="388" w:hRule="atLeast"/>
        </w:trPr>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 xml:space="preserve">绩效目标指标   </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一级指标</w:t>
            </w: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二级指标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三级指标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目标值</w:t>
            </w:r>
          </w:p>
        </w:tc>
      </w:tr>
      <w:tr>
        <w:tblPrEx>
          <w:tblCellMar>
            <w:top w:w="0" w:type="dxa"/>
            <w:left w:w="108" w:type="dxa"/>
            <w:bottom w:w="0" w:type="dxa"/>
            <w:right w:w="108" w:type="dxa"/>
          </w:tblCellMar>
        </w:tblPrEx>
        <w:trPr>
          <w:trHeight w:val="380"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1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产出指标</w:t>
            </w:r>
          </w:p>
        </w:tc>
        <w:tc>
          <w:tcPr>
            <w:tcW w:w="193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数量指标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污水处理量</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1095万吨</w:t>
            </w:r>
          </w:p>
        </w:tc>
      </w:tr>
      <w:tr>
        <w:tblPrEx>
          <w:tblCellMar>
            <w:top w:w="0" w:type="dxa"/>
            <w:left w:w="108" w:type="dxa"/>
            <w:bottom w:w="0" w:type="dxa"/>
            <w:right w:w="108" w:type="dxa"/>
          </w:tblCellMar>
        </w:tblPrEx>
        <w:trPr>
          <w:trHeight w:val="400"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r>
      <w:tr>
        <w:tblPrEx>
          <w:tblCellMar>
            <w:top w:w="0" w:type="dxa"/>
            <w:left w:w="108" w:type="dxa"/>
            <w:bottom w:w="0" w:type="dxa"/>
            <w:right w:w="108" w:type="dxa"/>
          </w:tblCellMar>
        </w:tblPrEx>
        <w:trPr>
          <w:trHeight w:val="395"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质量指标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可持续运营</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100%</w:t>
            </w:r>
          </w:p>
        </w:tc>
      </w:tr>
      <w:tr>
        <w:tblPrEx>
          <w:tblCellMar>
            <w:top w:w="0" w:type="dxa"/>
            <w:left w:w="108" w:type="dxa"/>
            <w:bottom w:w="0" w:type="dxa"/>
            <w:right w:w="108" w:type="dxa"/>
          </w:tblCellMar>
        </w:tblPrEx>
        <w:trPr>
          <w:trHeight w:val="401"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r>
      <w:tr>
        <w:tblPrEx>
          <w:tblCellMar>
            <w:top w:w="0" w:type="dxa"/>
            <w:left w:w="108" w:type="dxa"/>
            <w:bottom w:w="0" w:type="dxa"/>
            <w:right w:w="108" w:type="dxa"/>
          </w:tblCellMar>
        </w:tblPrEx>
        <w:trPr>
          <w:trHeight w:val="379"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时效指标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污水处理时效</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100%</w:t>
            </w:r>
          </w:p>
        </w:tc>
      </w:tr>
      <w:tr>
        <w:tblPrEx>
          <w:tblCellMar>
            <w:top w:w="0" w:type="dxa"/>
            <w:left w:w="108" w:type="dxa"/>
            <w:bottom w:w="0" w:type="dxa"/>
            <w:right w:w="108" w:type="dxa"/>
          </w:tblCellMar>
        </w:tblPrEx>
        <w:trPr>
          <w:trHeight w:val="398"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r>
      <w:tr>
        <w:tblPrEx>
          <w:tblCellMar>
            <w:top w:w="0" w:type="dxa"/>
            <w:left w:w="108" w:type="dxa"/>
            <w:bottom w:w="0" w:type="dxa"/>
            <w:right w:w="108" w:type="dxa"/>
          </w:tblCellMar>
        </w:tblPrEx>
        <w:trPr>
          <w:trHeight w:val="390"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成本指标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成本投入</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4.35亿元</w:t>
            </w:r>
          </w:p>
        </w:tc>
      </w:tr>
      <w:tr>
        <w:tblPrEx>
          <w:tblCellMar>
            <w:top w:w="0" w:type="dxa"/>
            <w:left w:w="108" w:type="dxa"/>
            <w:bottom w:w="0" w:type="dxa"/>
            <w:right w:w="108" w:type="dxa"/>
          </w:tblCellMar>
        </w:tblPrEx>
        <w:trPr>
          <w:trHeight w:val="382"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r>
      <w:tr>
        <w:tblPrEx>
          <w:tblCellMar>
            <w:top w:w="0" w:type="dxa"/>
            <w:left w:w="108" w:type="dxa"/>
            <w:bottom w:w="0" w:type="dxa"/>
            <w:right w:w="108" w:type="dxa"/>
          </w:tblCellMar>
        </w:tblPrEx>
        <w:trPr>
          <w:trHeight w:val="374"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1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效益指标</w:t>
            </w: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经济效益指标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运营收入</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18781万元</w:t>
            </w:r>
          </w:p>
        </w:tc>
      </w:tr>
      <w:tr>
        <w:tblPrEx>
          <w:tblCellMar>
            <w:top w:w="0" w:type="dxa"/>
            <w:left w:w="108" w:type="dxa"/>
            <w:bottom w:w="0" w:type="dxa"/>
            <w:right w:w="108" w:type="dxa"/>
          </w:tblCellMar>
        </w:tblPrEx>
        <w:trPr>
          <w:trHeight w:val="393"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社会效益指标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改善居民生活条件</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98%</w:t>
            </w:r>
          </w:p>
        </w:tc>
      </w:tr>
      <w:tr>
        <w:tblPrEx>
          <w:tblCellMar>
            <w:top w:w="0" w:type="dxa"/>
            <w:left w:w="108" w:type="dxa"/>
            <w:bottom w:w="0" w:type="dxa"/>
            <w:right w:w="108" w:type="dxa"/>
          </w:tblCellMar>
        </w:tblPrEx>
        <w:trPr>
          <w:trHeight w:val="385"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生态效益指标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减少污水污染</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98%</w:t>
            </w:r>
          </w:p>
        </w:tc>
      </w:tr>
      <w:tr>
        <w:tblPrEx>
          <w:tblCellMar>
            <w:top w:w="0" w:type="dxa"/>
            <w:left w:w="108" w:type="dxa"/>
            <w:bottom w:w="0" w:type="dxa"/>
            <w:right w:w="108" w:type="dxa"/>
          </w:tblCellMar>
        </w:tblPrEx>
        <w:trPr>
          <w:trHeight w:val="378"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可持续影响指标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促进社会经济可持续发展</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98%</w:t>
            </w:r>
          </w:p>
        </w:tc>
      </w:tr>
      <w:tr>
        <w:tblPrEx>
          <w:tblCellMar>
            <w:top w:w="0" w:type="dxa"/>
            <w:left w:w="108" w:type="dxa"/>
            <w:bottom w:w="0" w:type="dxa"/>
            <w:right w:w="108" w:type="dxa"/>
          </w:tblCellMar>
        </w:tblPrEx>
        <w:trPr>
          <w:trHeight w:val="515"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1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满意度指标</w:t>
            </w: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服务对象满意度指标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群众满意度提高</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98%</w:t>
            </w:r>
          </w:p>
        </w:tc>
      </w:tr>
      <w:tr>
        <w:tblPrEx>
          <w:tblCellMar>
            <w:top w:w="0" w:type="dxa"/>
            <w:left w:w="108" w:type="dxa"/>
            <w:bottom w:w="0" w:type="dxa"/>
            <w:right w:w="108" w:type="dxa"/>
          </w:tblCellMar>
        </w:tblPrEx>
        <w:trPr>
          <w:trHeight w:val="380" w:hRule="atLeast"/>
        </w:trPr>
        <w:tc>
          <w:tcPr>
            <w:tcW w:w="822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7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 w:val="24"/>
                <w:szCs w:val="24"/>
              </w:rPr>
            </w:pPr>
          </w:p>
        </w:tc>
        <w:tc>
          <w:tcPr>
            <w:tcW w:w="193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sz w:val="24"/>
                <w:szCs w:val="24"/>
              </w:rPr>
              <w:t>……</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4"/>
                <w:szCs w:val="24"/>
              </w:rPr>
            </w:pPr>
          </w:p>
        </w:tc>
      </w:tr>
    </w:tbl>
    <w:p>
      <w:pPr>
        <w:spacing w:line="590" w:lineRule="exact"/>
        <w:ind w:firstLine="640" w:firstLineChars="200"/>
        <w:rPr>
          <w:rFonts w:ascii="仿宋" w:hAnsi="仿宋" w:eastAsia="仿宋"/>
          <w:sz w:val="32"/>
          <w:szCs w:val="32"/>
        </w:rPr>
      </w:pPr>
    </w:p>
    <w:p>
      <w:pPr>
        <w:spacing w:line="590" w:lineRule="exact"/>
        <w:ind w:firstLine="643" w:firstLineChars="200"/>
        <w:rPr>
          <w:rFonts w:ascii="仿宋" w:hAnsi="仿宋" w:eastAsia="仿宋"/>
          <w:b/>
          <w:sz w:val="32"/>
          <w:szCs w:val="32"/>
        </w:rPr>
      </w:pPr>
      <w:r>
        <w:rPr>
          <w:rFonts w:ascii="仿宋" w:hAnsi="仿宋" w:eastAsia="仿宋"/>
          <w:b/>
          <w:sz w:val="32"/>
          <w:szCs w:val="32"/>
        </w:rPr>
        <w:t>2.有关情况说明</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本部门无其他需要说明的绩效目标情况。</w:t>
      </w:r>
    </w:p>
    <w:p>
      <w:pPr>
        <w:spacing w:line="600" w:lineRule="exact"/>
        <w:rPr>
          <w:rFonts w:ascii="黑体" w:hAnsi="黑体" w:eastAsia="黑体"/>
          <w:b w:val="0"/>
          <w:sz w:val="32"/>
          <w:szCs w:val="32"/>
        </w:rPr>
      </w:pPr>
      <w:r>
        <w:rPr>
          <w:rFonts w:hint="eastAsia" w:ascii="黑体" w:hAnsi="黑体" w:eastAsia="黑体"/>
          <w:b w:val="0"/>
          <w:sz w:val="32"/>
          <w:szCs w:val="32"/>
        </w:rPr>
        <w:t>八、其他重要事项说明</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val="en-US" w:eastAsia="zh-CN"/>
        </w:rPr>
        <w:t>2022</w:t>
      </w:r>
      <w:r>
        <w:rPr>
          <w:rFonts w:hint="eastAsia" w:ascii="仿宋" w:hAnsi="仿宋" w:eastAsia="仿宋"/>
          <w:sz w:val="32"/>
          <w:szCs w:val="32"/>
        </w:rPr>
        <w:t>年，</w:t>
      </w:r>
      <w:r>
        <w:rPr>
          <w:rFonts w:hint="eastAsia" w:ascii="仿宋" w:hAnsi="仿宋" w:eastAsia="仿宋" w:cs="仿宋_GB2312"/>
          <w:kern w:val="0"/>
          <w:sz w:val="32"/>
          <w:szCs w:val="32"/>
          <w:lang w:val="en-US" w:eastAsia="zh-CN"/>
        </w:rPr>
        <w:t>上杭县蛟洋工业区管理委员会</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136.77</w:t>
      </w:r>
      <w:r>
        <w:rPr>
          <w:rFonts w:hint="eastAsia" w:ascii="仿宋" w:hAnsi="仿宋" w:eastAsia="仿宋"/>
          <w:sz w:val="32"/>
          <w:szCs w:val="32"/>
        </w:rPr>
        <w:t>万元，</w:t>
      </w:r>
      <w:r>
        <w:rPr>
          <w:rFonts w:hint="eastAsia" w:ascii="仿宋" w:hAnsi="仿宋" w:eastAsia="仿宋" w:cs="仿宋_GB2312"/>
          <w:sz w:val="32"/>
          <w:szCs w:val="32"/>
        </w:rPr>
        <w:t>比上年增加</w:t>
      </w:r>
      <w:r>
        <w:rPr>
          <w:rFonts w:hint="eastAsia" w:ascii="仿宋" w:hAnsi="仿宋" w:eastAsia="仿宋" w:cs="仿宋_GB2312"/>
          <w:kern w:val="0"/>
          <w:sz w:val="32"/>
          <w:szCs w:val="32"/>
          <w:lang w:val="en-US" w:eastAsia="zh-CN"/>
        </w:rPr>
        <w:t>30.52</w:t>
      </w:r>
      <w:r>
        <w:rPr>
          <w:rFonts w:hint="eastAsia" w:ascii="仿宋" w:hAnsi="仿宋" w:eastAsia="仿宋" w:cs="仿宋_GB2312"/>
          <w:kern w:val="0"/>
          <w:sz w:val="32"/>
          <w:szCs w:val="32"/>
        </w:rPr>
        <w:t>万元</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人员增加</w:t>
      </w:r>
      <w:r>
        <w:rPr>
          <w:rFonts w:hint="eastAsia" w:ascii="仿宋" w:hAnsi="仿宋" w:eastAsia="仿宋" w:cs="仿宋_GB2312"/>
          <w:sz w:val="32"/>
          <w:szCs w:val="32"/>
        </w:rPr>
        <w:t>。</w:t>
      </w:r>
    </w:p>
    <w:p>
      <w:pPr>
        <w:spacing w:line="600" w:lineRule="exact"/>
        <w:ind w:firstLine="640" w:firstLineChars="200"/>
        <w:rPr>
          <w:rFonts w:ascii="楷体" w:hAnsi="楷体" w:eastAsia="楷体"/>
          <w:color w:val="auto"/>
          <w:sz w:val="32"/>
          <w:szCs w:val="32"/>
        </w:rPr>
      </w:pPr>
      <w:r>
        <w:rPr>
          <w:rFonts w:hint="eastAsia" w:ascii="楷体" w:hAnsi="楷体" w:eastAsia="楷体"/>
          <w:color w:val="auto"/>
          <w:sz w:val="32"/>
          <w:szCs w:val="32"/>
        </w:rPr>
        <w:t>（注：</w:t>
      </w:r>
      <w:r>
        <w:rPr>
          <w:rFonts w:hint="eastAsia" w:ascii="楷体" w:hAnsi="楷体" w:eastAsia="楷体"/>
          <w:sz w:val="32"/>
          <w:szCs w:val="32"/>
        </w:rPr>
        <w:t>机关运行经费统计范围包括行政单位和参公管理事业单位；没有机关运行经费的部门应在“主要原因”说明“本部门没有机关运行经费”。</w:t>
      </w:r>
      <w:r>
        <w:rPr>
          <w:rFonts w:hint="eastAsia" w:ascii="楷体" w:hAnsi="楷体" w:eastAsia="楷体"/>
          <w:color w:val="auto"/>
          <w:sz w:val="32"/>
          <w:szCs w:val="32"/>
        </w:rPr>
        <w:t>）</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本部门</w:t>
      </w:r>
      <w:r>
        <w:rPr>
          <w:rFonts w:hint="eastAsia" w:ascii="仿宋" w:hAnsi="仿宋" w:eastAsia="仿宋"/>
          <w:sz w:val="32"/>
          <w:szCs w:val="32"/>
          <w:lang w:val="en-US" w:eastAsia="zh-CN"/>
        </w:rPr>
        <w:t>2022</w:t>
      </w:r>
      <w:r>
        <w:rPr>
          <w:rFonts w:hint="eastAsia" w:ascii="仿宋" w:hAnsi="仿宋" w:eastAsia="仿宋"/>
          <w:sz w:val="32"/>
          <w:szCs w:val="32"/>
        </w:rPr>
        <w:t>年度没有政府采购预算</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2021</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上杭县蛟洋工业区管理委员会</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1</w:t>
      </w:r>
      <w:r>
        <w:rPr>
          <w:rFonts w:hint="eastAsia" w:ascii="仿宋" w:hAnsi="仿宋" w:eastAsia="仿宋"/>
          <w:sz w:val="32"/>
          <w:szCs w:val="32"/>
        </w:rPr>
        <w:t>辆，其中：省部级领导干部用车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辆、其他用车</w:t>
      </w:r>
      <w:r>
        <w:rPr>
          <w:rFonts w:hint="eastAsia" w:ascii="仿宋" w:hAnsi="仿宋" w:eastAsia="仿宋" w:cs="仿宋_GB2312"/>
          <w:kern w:val="0"/>
          <w:sz w:val="32"/>
          <w:szCs w:val="32"/>
          <w:lang w:val="en-US" w:eastAsia="zh-CN"/>
        </w:rPr>
        <w:t>1</w:t>
      </w:r>
      <w:r>
        <w:rPr>
          <w:rFonts w:hint="eastAsia" w:ascii="仿宋" w:hAnsi="仿宋" w:eastAsia="仿宋"/>
          <w:sz w:val="32"/>
          <w:szCs w:val="32"/>
        </w:rPr>
        <w:t>辆。单位价值50万元以上通用设备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r>
        <w:rPr>
          <w:rFonts w:hint="eastAsia" w:ascii="仿宋" w:hAnsi="仿宋" w:eastAsia="仿宋"/>
          <w:sz w:val="32"/>
          <w:szCs w:val="32"/>
        </w:rPr>
        <w:t>单位价值100万元以上专用设备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pPr>
        <w:ind w:firstLine="640" w:firstLineChars="200"/>
        <w:rPr>
          <w:rFonts w:ascii="仿宋" w:hAnsi="仿宋" w:eastAsia="仿宋" w:cs="仿宋_GB2312"/>
          <w:kern w:val="0"/>
          <w:sz w:val="32"/>
          <w:szCs w:val="32"/>
        </w:rPr>
      </w:pPr>
    </w:p>
    <w:p>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left"/>
        <w:rPr>
          <w:rFonts w:ascii="黑体" w:hAnsi="黑体" w:eastAsia="黑体"/>
          <w:sz w:val="56"/>
        </w:rPr>
      </w:pPr>
      <w:r>
        <w:rPr>
          <w:rFonts w:hint="eastAsia" w:ascii="黑体" w:hAnsi="黑体" w:eastAsia="黑体"/>
          <w:b w:val="0"/>
          <w:sz w:val="56"/>
        </w:rPr>
        <w:t>第四部分</w:t>
      </w:r>
      <w:r>
        <w:rPr>
          <w:rFonts w:ascii="黑体" w:hAnsi="黑体" w:eastAsia="黑体"/>
          <w:b w:val="0"/>
          <w:sz w:val="56"/>
        </w:rPr>
        <w:t xml:space="preserve"> </w:t>
      </w:r>
    </w:p>
    <w:p>
      <w:pPr>
        <w:jc w:val="center"/>
        <w:rPr>
          <w:rFonts w:ascii="黑体" w:hAnsi="黑体" w:eastAsia="黑体"/>
          <w:b w:val="0"/>
          <w:sz w:val="56"/>
        </w:rPr>
      </w:pPr>
      <w:r>
        <w:rPr>
          <w:rFonts w:hint="eastAsia" w:ascii="黑体" w:hAnsi="黑体" w:eastAsia="黑体"/>
          <w:b w:val="0"/>
          <w:sz w:val="56"/>
        </w:rPr>
        <w:t>名词解释</w:t>
      </w:r>
    </w:p>
    <w:p>
      <w:pPr>
        <w:jc w:val="center"/>
        <w:rPr>
          <w:rFonts w:asciiTheme="majorEastAsia" w:hAnsiTheme="majorEastAsia" w:eastAsiaTheme="majorEastAsia"/>
          <w:b/>
          <w:sz w:val="40"/>
        </w:rPr>
      </w:pPr>
    </w:p>
    <w:p>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pPr>
        <w:pStyle w:val="8"/>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pPr>
        <w:pStyle w:val="8"/>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pPr>
        <w:pStyle w:val="8"/>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pPr>
        <w:pStyle w:val="8"/>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pPr>
        <w:pStyle w:val="8"/>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指对下级单位补助发送的支出。</w:t>
      </w:r>
    </w:p>
    <w:p>
      <w:pPr>
        <w:pStyle w:val="8"/>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817497"/>
    </w:sdtPr>
    <w:sdtEndPr>
      <w:rPr>
        <w:rFonts w:asciiTheme="minorEastAsia" w:hAnsiTheme="minorEastAsia"/>
        <w:sz w:val="20"/>
      </w:rPr>
    </w:sdtEndPr>
    <w:sdtContent>
      <w:p>
        <w:pPr>
          <w:pStyle w:val="4"/>
          <w:jc w:val="center"/>
        </w:pPr>
        <w:r>
          <w:rPr>
            <w:rFonts w:asciiTheme="minorEastAsia" w:hAnsiTheme="minorEastAsia"/>
            <w:sz w:val="20"/>
          </w:rPr>
          <w:fldChar w:fldCharType="begin"/>
        </w:r>
        <w:r>
          <w:rPr>
            <w:rFonts w:asciiTheme="minorEastAsia" w:hAnsiTheme="minorEastAsia"/>
            <w:sz w:val="20"/>
          </w:rPr>
          <w:instrText xml:space="preserve">PAGE   \* MERGEFORMAT</w:instrText>
        </w:r>
        <w:r>
          <w:rPr>
            <w:rFonts w:asciiTheme="minorEastAsia" w:hAnsiTheme="minorEastAsia"/>
            <w:sz w:val="20"/>
          </w:rPr>
          <w:fldChar w:fldCharType="separate"/>
        </w:r>
        <w:r>
          <w:rPr>
            <w:rFonts w:asciiTheme="minorEastAsia" w:hAnsiTheme="minorEastAsia"/>
            <w:sz w:val="20"/>
            <w:lang w:val="zh-CN"/>
          </w:rPr>
          <w:t>1</w:t>
        </w:r>
        <w:r>
          <w:rPr>
            <w:rFonts w:asciiTheme="minorEastAsia" w:hAnsiTheme="minorEastAsia"/>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2A5ED"/>
    <w:multiLevelType w:val="singleLevel"/>
    <w:tmpl w:val="89B2A5ED"/>
    <w:lvl w:ilvl="0" w:tentative="0">
      <w:start w:val="1"/>
      <w:numFmt w:val="chineseCounting"/>
      <w:suff w:val="nothing"/>
      <w:lvlText w:val="（%1）"/>
      <w:lvlJc w:val="left"/>
      <w:pPr>
        <w:ind w:left="-2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A572DC"/>
    <w:rsid w:val="13BE69E2"/>
    <w:rsid w:val="1C0E594F"/>
    <w:rsid w:val="25F93085"/>
    <w:rsid w:val="2AC663D9"/>
    <w:rsid w:val="2B236D09"/>
    <w:rsid w:val="2DDB2E33"/>
    <w:rsid w:val="2EDB4F29"/>
    <w:rsid w:val="2F430824"/>
    <w:rsid w:val="31E3055C"/>
    <w:rsid w:val="362F4A20"/>
    <w:rsid w:val="37863E63"/>
    <w:rsid w:val="44D501D8"/>
    <w:rsid w:val="45773E66"/>
    <w:rsid w:val="49695A3C"/>
    <w:rsid w:val="4A143F7D"/>
    <w:rsid w:val="4D9F61BC"/>
    <w:rsid w:val="554436AE"/>
    <w:rsid w:val="5D0976DD"/>
    <w:rsid w:val="5EEF6E82"/>
    <w:rsid w:val="652C6057"/>
    <w:rsid w:val="67084237"/>
    <w:rsid w:val="70C8281B"/>
    <w:rsid w:val="72474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alloon Text"/>
    <w:basedOn w:val="1"/>
    <w:unhideWhenUsed/>
    <w:qFormat/>
    <w:uiPriority w:val="99"/>
    <w:pPr>
      <w:spacing w:line="240" w:lineRule="auto"/>
    </w:pPr>
    <w:rPr>
      <w:sz w:val="18"/>
      <w:szCs w:val="18"/>
    </w:rPr>
  </w:style>
  <w:style w:type="paragraph" w:styleId="3">
    <w:name w:val="Body Text"/>
    <w:basedOn w:val="1"/>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4">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2022-01-17T03:27:00Z</dcterms:created>
  <dc:creator>user</dc:creator>
  <cp:lastModifiedBy>user</cp:lastModifiedBy>
  <dcterms:modified xsi:type="dcterms:W3CDTF">2022-01-24T01:13:50Z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B91C53A6D2F945E680FB4A4FA0C20D47</vt:lpwstr>
  </property>
</Properties>
</file>