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widowControl/>
        <w:spacing w:before="100" w:after="100"/>
        <w:ind w:left="0" w:right="0" w:firstLine="0"/>
        <w:jc w:val="left"/>
        <w:rPr>
          <w:rFonts w:ascii="Times New Roman" w:hAnsi="Times New Roman" w:eastAsia="Times New Roman" w:cs="Times New Roman"/>
          <w:kern w:val="0"/>
          <w:sz w:val="24"/>
        </w:rPr>
      </w:pPr>
      <w:bookmarkStart w:id="0" w:name="a000"/>
    </w:p>
    <w:p>
      <w:pPr>
        <w:pStyle w:val="30"/>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84"/>
          <w:szCs w:val="84"/>
        </w:rPr>
        <w:t>2023年度</w:t>
      </w:r>
    </w:p>
    <w:p>
      <w:pPr>
        <w:pStyle w:val="30"/>
        <w:widowControl/>
        <w:spacing w:before="100" w:after="100"/>
        <w:ind w:left="0" w:right="0" w:firstLine="0"/>
        <w:jc w:val="center"/>
        <w:rPr>
          <w:rFonts w:hint="eastAsia" w:ascii="方正小标宋简体" w:hAnsi="方正小标宋简体" w:eastAsia="方正小标宋简体" w:cs="方正小标宋简体"/>
          <w:spacing w:val="0"/>
          <w:kern w:val="0"/>
          <w:sz w:val="84"/>
          <w:szCs w:val="84"/>
          <w:lang w:eastAsia="zh-CN"/>
        </w:rPr>
      </w:pPr>
      <w:r>
        <w:rPr>
          <w:rFonts w:hint="eastAsia" w:ascii="方正小标宋简体" w:hAnsi="方正小标宋简体" w:eastAsia="方正小标宋简体" w:cs="方正小标宋简体"/>
          <w:spacing w:val="0"/>
          <w:kern w:val="0"/>
          <w:sz w:val="84"/>
          <w:szCs w:val="84"/>
          <w:lang w:eastAsia="zh-CN"/>
        </w:rPr>
        <w:t>上杭县公安局</w:t>
      </w:r>
    </w:p>
    <w:p>
      <w:pPr>
        <w:pStyle w:val="30"/>
        <w:widowControl/>
        <w:spacing w:before="100" w:after="100"/>
        <w:ind w:left="0" w:right="0" w:firstLine="0"/>
        <w:jc w:val="center"/>
        <w:rPr>
          <w:rFonts w:ascii="方正小标宋简体" w:hAnsi="方正小标宋简体" w:eastAsia="方正小标宋简体" w:cs="方正小标宋简体"/>
          <w:spacing w:val="0"/>
          <w:kern w:val="0"/>
          <w:sz w:val="84"/>
          <w:szCs w:val="84"/>
        </w:rPr>
      </w:pPr>
      <w:r>
        <w:rPr>
          <w:rFonts w:ascii="方正小标宋简体" w:hAnsi="方正小标宋简体" w:eastAsia="方正小标宋简体" w:cs="方正小标宋简体"/>
          <w:spacing w:val="0"/>
          <w:kern w:val="0"/>
          <w:sz w:val="84"/>
          <w:szCs w:val="84"/>
        </w:rPr>
        <w:t>部门决算</w:t>
      </w:r>
    </w:p>
    <w:p>
      <w:pPr>
        <w:pStyle w:val="30"/>
        <w:widowControl/>
        <w:spacing w:before="100" w:after="100"/>
        <w:ind w:left="0" w:right="0" w:firstLine="0"/>
        <w:jc w:val="center"/>
        <w:rPr>
          <w:rFonts w:ascii="方正小标宋简体" w:hAnsi="方正小标宋简体" w:eastAsia="方正小标宋简体" w:cs="方正小标宋简体"/>
          <w:spacing w:val="0"/>
          <w:kern w:val="0"/>
          <w:sz w:val="84"/>
          <w:szCs w:val="84"/>
        </w:rPr>
      </w:pPr>
    </w:p>
    <w:p>
      <w:pPr>
        <w:pStyle w:val="30"/>
        <w:widowControl/>
        <w:spacing w:before="100" w:after="100"/>
        <w:ind w:left="0" w:right="0" w:firstLine="0"/>
        <w:jc w:val="center"/>
        <w:rPr>
          <w:rFonts w:ascii="方正小标宋简体" w:hAnsi="方正小标宋简体" w:eastAsia="方正小标宋简体" w:cs="方正小标宋简体"/>
          <w:spacing w:val="0"/>
          <w:kern w:val="0"/>
          <w:sz w:val="84"/>
          <w:szCs w:val="84"/>
        </w:rPr>
      </w:pP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0"/>
        <w:widowControl/>
        <w:spacing w:before="100" w:after="100"/>
        <w:ind w:left="0" w:right="0" w:firstLine="0"/>
        <w:jc w:val="left"/>
        <w:rPr>
          <w:rFonts w:ascii="Times New Roman" w:hAnsi="Times New Roman" w:eastAsia="Times New Roman" w:cs="Times New Roman"/>
          <w:kern w:val="0"/>
          <w:sz w:val="24"/>
        </w:rPr>
      </w:pPr>
    </w:p>
    <w:p>
      <w:pPr>
        <w:pStyle w:val="30"/>
        <w:widowControl/>
        <w:spacing w:before="100" w:after="100"/>
        <w:ind w:left="0" w:right="0" w:firstLine="0"/>
        <w:jc w:val="left"/>
        <w:rPr>
          <w:rFonts w:ascii="Times New Roman" w:hAnsi="Times New Roman" w:eastAsia="Times New Roman" w:cs="Times New Roman"/>
          <w:kern w:val="0"/>
          <w:sz w:val="24"/>
        </w:rPr>
      </w:pPr>
    </w:p>
    <w:p>
      <w:pPr>
        <w:pStyle w:val="30"/>
        <w:widowControl/>
        <w:spacing w:before="100" w:after="100"/>
        <w:ind w:left="0" w:right="0" w:firstLine="0"/>
        <w:jc w:val="left"/>
        <w:rPr>
          <w:rFonts w:ascii="Times New Roman" w:hAnsi="Times New Roman" w:eastAsia="Times New Roman" w:cs="Times New Roman"/>
          <w:kern w:val="0"/>
          <w:sz w:val="24"/>
        </w:rPr>
      </w:pPr>
    </w:p>
    <w:p>
      <w:pPr>
        <w:pStyle w:val="30"/>
        <w:widowControl/>
        <w:spacing w:before="100" w:after="100"/>
        <w:ind w:left="0" w:right="0" w:firstLine="0"/>
        <w:jc w:val="left"/>
        <w:rPr>
          <w:rFonts w:ascii="Times New Roman" w:hAnsi="Times New Roman" w:eastAsia="Times New Roman" w:cs="Times New Roman"/>
          <w:kern w:val="0"/>
          <w:sz w:val="24"/>
        </w:rPr>
      </w:pPr>
    </w:p>
    <w:p>
      <w:pPr>
        <w:jc w:val="center"/>
        <w:rPr>
          <w:rFonts w:hint="eastAsia" w:ascii="仿宋" w:hAnsi="仿宋" w:eastAsia="仿宋"/>
          <w:b/>
          <w:sz w:val="32"/>
          <w:szCs w:val="32"/>
        </w:rPr>
        <w:sectPr>
          <w:footerReference r:id="rId3" w:type="default"/>
          <w:pgMar w:top="1440" w:right="720" w:bottom="1440" w:left="720" w:header="720" w:footer="720" w:gutter="0"/>
          <w:pgNumType w:fmt="decimal" w:start="0"/>
          <w:cols w:space="720" w:num="1"/>
        </w:sectPr>
      </w:pPr>
    </w:p>
    <w:p>
      <w:pPr>
        <w:jc w:val="center"/>
        <w:rPr>
          <w:rFonts w:ascii="仿宋" w:hAnsi="仿宋" w:eastAsia="仿宋"/>
          <w:b/>
          <w:sz w:val="32"/>
          <w:szCs w:val="32"/>
        </w:rPr>
      </w:pPr>
      <w:r>
        <w:rPr>
          <w:rFonts w:hint="eastAsia" w:ascii="仿宋" w:hAnsi="仿宋" w:eastAsia="仿宋"/>
          <w:b/>
          <w:sz w:val="32"/>
          <w:szCs w:val="32"/>
        </w:rPr>
        <w:t>目 录</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b/>
          <w:sz w:val="32"/>
          <w:szCs w:val="32"/>
        </w:rPr>
        <w:t>第一部分 单位概况</w:t>
      </w:r>
      <w:r>
        <w:rPr>
          <w:rFonts w:hint="eastAsia" w:ascii="仿宋" w:hAnsi="仿宋" w:eastAsia="仿宋"/>
          <w:sz w:val="32"/>
          <w:szCs w:val="32"/>
        </w:rPr>
        <w:t xml:space="preserve">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1</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sz w:val="32"/>
          <w:szCs w:val="32"/>
        </w:rPr>
        <w:t>一、单位主要职责 .......................</w:t>
      </w:r>
      <w:r>
        <w:rPr>
          <w:rFonts w:hint="eastAsia" w:ascii="仿宋" w:hAnsi="仿宋" w:eastAsia="仿宋"/>
          <w:sz w:val="32"/>
          <w:szCs w:val="32"/>
          <w:lang w:val="en-US" w:eastAsia="zh-CN"/>
        </w:rPr>
        <w:t>.</w:t>
      </w:r>
      <w:r>
        <w:rPr>
          <w:rFonts w:hint="eastAsia" w:ascii="仿宋" w:hAnsi="仿宋" w:eastAsia="仿宋"/>
          <w:sz w:val="32"/>
          <w:szCs w:val="32"/>
          <w:lang w:val="en-US" w:eastAsia="zh-CN"/>
        </w:rPr>
        <w:tab/>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1</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sz w:val="32"/>
          <w:szCs w:val="32"/>
        </w:rPr>
        <w:t>二、单位基本情况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sz w:val="32"/>
          <w:szCs w:val="32"/>
        </w:rPr>
        <w:t>三、单位主要工作总结....................</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b/>
          <w:sz w:val="32"/>
          <w:szCs w:val="32"/>
        </w:rPr>
        <w:t xml:space="preserve">第二部分 </w:t>
      </w:r>
      <w:r>
        <w:rPr>
          <w:rFonts w:hint="eastAsia" w:ascii="仿宋" w:hAnsi="仿宋" w:eastAsia="仿宋" w:cs="仿宋_GB2312"/>
          <w:sz w:val="32"/>
          <w:szCs w:val="32"/>
        </w:rPr>
        <w:t>2023</w:t>
      </w:r>
      <w:r>
        <w:rPr>
          <w:rFonts w:hint="eastAsia" w:ascii="仿宋" w:hAnsi="仿宋" w:eastAsia="仿宋"/>
          <w:b/>
          <w:sz w:val="32"/>
          <w:szCs w:val="32"/>
        </w:rPr>
        <w:t>年度决算表</w:t>
      </w:r>
      <w:r>
        <w:rPr>
          <w:rFonts w:hint="eastAsia" w:ascii="仿宋" w:hAnsi="仿宋" w:eastAsia="仿宋"/>
          <w:sz w:val="32"/>
          <w:szCs w:val="32"/>
        </w:rPr>
        <w:t xml:space="preserve">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5</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sz w:val="32"/>
          <w:szCs w:val="32"/>
        </w:rPr>
        <w:t>一、收入支出决算总表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5</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eastAsia" w:ascii="仿宋" w:hAnsi="仿宋" w:eastAsia="仿宋"/>
          <w:sz w:val="32"/>
          <w:szCs w:val="32"/>
          <w:lang w:val="en-US" w:eastAsia="zh-CN"/>
        </w:rPr>
      </w:pPr>
      <w:r>
        <w:rPr>
          <w:rFonts w:hint="eastAsia" w:ascii="仿宋" w:hAnsi="仿宋" w:eastAsia="仿宋"/>
          <w:sz w:val="32"/>
          <w:szCs w:val="32"/>
        </w:rPr>
        <w:t>二、收入决算表 .........................</w:t>
      </w:r>
      <w:r>
        <w:rPr>
          <w:rFonts w:hint="eastAsia" w:ascii="仿宋" w:hAnsi="仿宋" w:eastAsia="仿宋"/>
          <w:sz w:val="32"/>
          <w:szCs w:val="32"/>
          <w:lang w:val="en-US" w:eastAsia="zh-CN"/>
        </w:rPr>
        <w:t>............</w:t>
      </w:r>
      <w:r>
        <w:rPr>
          <w:rFonts w:hint="eastAsia" w:ascii="仿宋" w:hAnsi="仿宋" w:eastAsia="仿宋"/>
          <w:sz w:val="32"/>
          <w:szCs w:val="32"/>
        </w:rPr>
        <w:t>... .......</w:t>
      </w:r>
      <w:r>
        <w:rPr>
          <w:rFonts w:hint="eastAsia" w:ascii="仿宋" w:hAnsi="仿宋" w:eastAsia="仿宋"/>
          <w:sz w:val="32"/>
          <w:szCs w:val="32"/>
          <w:lang w:val="en-US" w:eastAsia="zh-CN"/>
        </w:rPr>
        <w:t>8</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三、支出决算表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11</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四、财政拨款收入支出决算总表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14</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五、一般公共预算财政拨款支出决算表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14</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六、</w:t>
      </w:r>
      <w:r>
        <w:rPr>
          <w:rFonts w:hint="eastAsia" w:ascii="仿宋" w:hAnsi="仿宋" w:eastAsia="仿宋"/>
          <w:spacing w:val="-14"/>
          <w:sz w:val="32"/>
          <w:szCs w:val="32"/>
        </w:rPr>
        <w:t>一般公共预算财政拨款基本支出决算表</w:t>
      </w:r>
      <w:r>
        <w:rPr>
          <w:rFonts w:hint="eastAsia" w:ascii="仿宋" w:hAnsi="仿宋" w:eastAsia="仿宋"/>
          <w:sz w:val="32"/>
          <w:szCs w:val="32"/>
        </w:rPr>
        <w:t>...........</w:t>
      </w:r>
      <w:r>
        <w:rPr>
          <w:rFonts w:hint="eastAsia" w:ascii="仿宋" w:hAnsi="仿宋" w:eastAsia="仿宋"/>
          <w:sz w:val="32"/>
          <w:szCs w:val="32"/>
          <w:lang w:val="en-US" w:eastAsia="zh-CN"/>
        </w:rPr>
        <w:t>.........</w:t>
      </w:r>
      <w:r>
        <w:rPr>
          <w:rFonts w:hint="eastAsia" w:ascii="仿宋" w:hAnsi="仿宋" w:eastAsia="仿宋"/>
          <w:sz w:val="32"/>
          <w:szCs w:val="32"/>
        </w:rPr>
        <w:t>.... ..</w:t>
      </w:r>
      <w:r>
        <w:rPr>
          <w:rFonts w:hint="eastAsia" w:ascii="仿宋" w:hAnsi="仿宋" w:eastAsia="仿宋"/>
          <w:sz w:val="32"/>
          <w:szCs w:val="32"/>
          <w:lang w:val="en-US" w:eastAsia="zh-CN"/>
        </w:rPr>
        <w:t>18</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七、一般公共预算财政拨款“三公”经费支出决算表...</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26</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八、政府性基金预算财政拨款收入支出决算表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27</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九、</w:t>
      </w:r>
      <w:r>
        <w:rPr>
          <w:rFonts w:hint="eastAsia" w:ascii="仿宋" w:hAnsi="仿宋" w:eastAsia="仿宋"/>
          <w:spacing w:val="-14"/>
          <w:sz w:val="32"/>
          <w:szCs w:val="32"/>
        </w:rPr>
        <w:t>国有资本经营预算财政拨款支出决算表</w:t>
      </w:r>
      <w:r>
        <w:rPr>
          <w:rFonts w:hint="eastAsia" w:ascii="仿宋" w:hAnsi="仿宋" w:eastAsia="仿宋"/>
          <w:sz w:val="32"/>
          <w:szCs w:val="32"/>
        </w:rPr>
        <w:t>....</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28</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b/>
          <w:sz w:val="32"/>
          <w:szCs w:val="32"/>
        </w:rPr>
        <w:t xml:space="preserve">第三部分 </w:t>
      </w:r>
      <w:r>
        <w:rPr>
          <w:rFonts w:hint="eastAsia" w:ascii="仿宋" w:hAnsi="仿宋" w:eastAsia="仿宋" w:cs="仿宋_GB2312"/>
          <w:sz w:val="32"/>
          <w:szCs w:val="32"/>
        </w:rPr>
        <w:t>2023</w:t>
      </w:r>
      <w:r>
        <w:rPr>
          <w:rFonts w:hint="eastAsia" w:ascii="仿宋" w:hAnsi="仿宋" w:eastAsia="仿宋"/>
          <w:b/>
          <w:sz w:val="32"/>
          <w:szCs w:val="32"/>
        </w:rPr>
        <w:t>年度决算情况说明</w:t>
      </w:r>
      <w:r>
        <w:rPr>
          <w:rFonts w:hint="eastAsia" w:ascii="仿宋" w:hAnsi="仿宋" w:eastAsia="仿宋"/>
          <w:sz w:val="32"/>
          <w:szCs w:val="32"/>
        </w:rPr>
        <w:t xml:space="preserve">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29</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一、收入支出决算总体情况说明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29</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二、财政拨款收入支出决算总体情况说明.........</w:t>
      </w:r>
      <w:r>
        <w:rPr>
          <w:rFonts w:hint="eastAsia" w:ascii="仿宋" w:hAnsi="仿宋" w:eastAsia="仿宋"/>
          <w:sz w:val="32"/>
          <w:szCs w:val="32"/>
          <w:lang w:val="en-US" w:eastAsia="zh-CN"/>
        </w:rPr>
        <w:t>.........</w:t>
      </w:r>
      <w:r>
        <w:rPr>
          <w:rFonts w:hint="eastAsia" w:ascii="仿宋" w:hAnsi="仿宋" w:eastAsia="仿宋"/>
          <w:sz w:val="32"/>
          <w:szCs w:val="32"/>
        </w:rPr>
        <w:t>...... .</w:t>
      </w:r>
      <w:r>
        <w:rPr>
          <w:rFonts w:hint="eastAsia" w:ascii="仿宋" w:hAnsi="仿宋" w:eastAsia="仿宋"/>
          <w:sz w:val="32"/>
          <w:szCs w:val="32"/>
          <w:lang w:val="en-US" w:eastAsia="zh-CN"/>
        </w:rPr>
        <w:t>30</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三、一般公共预算财政拨款支出决算情况说明.......</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30</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四、政府性基金预算财政拨款支出决算情况说明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 xml:space="preserve"> 31</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五、国有资本经营预算财政拨款支出决算情况说明......</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32</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六、一般公共预算财政拨款基本支出决算情况说明......</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32</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七、一般公共预算财政拨款“三公”经费支出决算情况说明 .........</w:t>
      </w:r>
      <w:r>
        <w:rPr>
          <w:rFonts w:hint="eastAsia" w:ascii="仿宋" w:hAnsi="仿宋" w:eastAsia="仿宋"/>
          <w:sz w:val="32"/>
          <w:szCs w:val="32"/>
          <w:lang w:val="en-US" w:eastAsia="zh-CN"/>
        </w:rPr>
        <w:t>33</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八、预算绩效情况说明.......................</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34</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sz w:val="32"/>
          <w:szCs w:val="32"/>
        </w:rPr>
        <w:t>九、其他重要事项情况说明.....................</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34</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b/>
          <w:sz w:val="32"/>
          <w:szCs w:val="32"/>
        </w:rPr>
        <w:t>第四部分 名词解释</w:t>
      </w:r>
      <w:r>
        <w:rPr>
          <w:rFonts w:hint="eastAsia" w:ascii="仿宋" w:hAnsi="仿宋" w:eastAsia="仿宋"/>
          <w:sz w:val="32"/>
          <w:szCs w:val="32"/>
        </w:rPr>
        <w:t xml:space="preserve">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36</w:t>
      </w:r>
    </w:p>
    <w:p>
      <w:pPr>
        <w:keepNext w:val="0"/>
        <w:keepLines w:val="0"/>
        <w:pageBreakBefore w:val="0"/>
        <w:widowControl w:val="0"/>
        <w:tabs>
          <w:tab w:val="right" w:leader="dot" w:pos="7980"/>
        </w:tabs>
        <w:kinsoku/>
        <w:wordWrap/>
        <w:overflowPunct/>
        <w:topLinePunct w:val="0"/>
        <w:autoSpaceDE/>
        <w:autoSpaceDN/>
        <w:bidi w:val="0"/>
        <w:adjustRightInd/>
        <w:snapToGrid/>
        <w:jc w:val="left"/>
        <w:textAlignment w:val="auto"/>
        <w:rPr>
          <w:rFonts w:hint="default" w:ascii="仿宋" w:hAnsi="仿宋" w:eastAsia="仿宋"/>
          <w:sz w:val="32"/>
          <w:szCs w:val="32"/>
          <w:lang w:val="en-US" w:eastAsia="zh-CN"/>
        </w:rPr>
      </w:pPr>
      <w:r>
        <w:rPr>
          <w:rFonts w:hint="eastAsia" w:ascii="仿宋" w:hAnsi="仿宋" w:eastAsia="仿宋"/>
          <w:b/>
          <w:sz w:val="32"/>
          <w:szCs w:val="32"/>
        </w:rPr>
        <w:t>第五部分 附件</w:t>
      </w:r>
      <w:r>
        <w:rPr>
          <w:rFonts w:hint="eastAsia" w:ascii="仿宋" w:hAnsi="仿宋" w:eastAsia="仿宋"/>
          <w:sz w:val="32"/>
          <w:szCs w:val="32"/>
        </w:rPr>
        <w:t xml:space="preserve"> ..................................</w:t>
      </w:r>
      <w:r>
        <w:rPr>
          <w:rFonts w:hint="eastAsia" w:ascii="仿宋" w:hAnsi="仿宋" w:eastAsia="仿宋"/>
          <w:sz w:val="32"/>
          <w:szCs w:val="32"/>
          <w:lang w:val="en-US" w:eastAsia="zh-CN"/>
        </w:rPr>
        <w:t>...........</w:t>
      </w:r>
      <w:r>
        <w:rPr>
          <w:rFonts w:hint="eastAsia" w:ascii="仿宋" w:hAnsi="仿宋" w:eastAsia="仿宋"/>
          <w:sz w:val="32"/>
          <w:szCs w:val="32"/>
        </w:rPr>
        <w:t>...</w:t>
      </w:r>
      <w:r>
        <w:rPr>
          <w:rFonts w:hint="eastAsia" w:ascii="仿宋" w:hAnsi="仿宋" w:eastAsia="仿宋"/>
          <w:sz w:val="32"/>
          <w:szCs w:val="32"/>
          <w:lang w:val="en-US" w:eastAsia="zh-CN"/>
        </w:rPr>
        <w:t>38</w:t>
      </w:r>
    </w:p>
    <w:p>
      <w:pPr>
        <w:pStyle w:val="30"/>
        <w:keepNext w:val="0"/>
        <w:keepLines w:val="0"/>
        <w:pageBreakBefore w:val="0"/>
        <w:widowControl/>
        <w:tabs>
          <w:tab w:val="left" w:leader="dot" w:pos="8400"/>
        </w:tabs>
        <w:kinsoku/>
        <w:wordWrap/>
        <w:overflowPunct/>
        <w:topLinePunct w:val="0"/>
        <w:autoSpaceDE/>
        <w:autoSpaceDN/>
        <w:bidi w:val="0"/>
        <w:adjustRightInd/>
        <w:snapToGrid/>
        <w:spacing w:before="100" w:after="100"/>
        <w:ind w:left="0" w:right="0" w:firstLine="0"/>
        <w:jc w:val="left"/>
        <w:textAlignment w:val="auto"/>
        <w:rPr>
          <w:rFonts w:hint="default" w:ascii="Times New Roman" w:hAnsi="Times New Roman" w:eastAsia="仿宋" w:cs="Times New Roman"/>
          <w:kern w:val="0"/>
          <w:sz w:val="24"/>
          <w:lang w:val="en-US" w:eastAsia="zh-CN"/>
        </w:rPr>
      </w:pPr>
    </w:p>
    <w:p>
      <w:pPr>
        <w:pStyle w:val="30"/>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r>
        <w:rPr>
          <w:rFonts w:ascii="宋体" w:hAnsi="宋体" w:cs="宋体"/>
          <w:spacing w:val="0"/>
          <w:kern w:val="0"/>
          <w:sz w:val="36"/>
          <w:szCs w:val="36"/>
        </w:rPr>
        <w:t> </w:t>
      </w:r>
    </w:p>
    <w:p>
      <w:pPr>
        <w:pStyle w:val="29"/>
        <w:widowControl/>
        <w:spacing w:before="100" w:after="100"/>
        <w:ind w:left="0" w:right="0" w:firstLine="2240" w:firstLineChars="400"/>
        <w:jc w:val="left"/>
        <w:rPr>
          <w:rFonts w:ascii="Times New Roman" w:hAnsi="Times New Roman" w:eastAsia="Times New Roman" w:cs="Times New Roman"/>
          <w:kern w:val="0"/>
          <w:sz w:val="24"/>
        </w:rPr>
      </w:pPr>
      <w:r>
        <w:rPr>
          <w:rFonts w:ascii="黑体" w:hAnsi="黑体" w:eastAsia="黑体" w:cs="黑体"/>
          <w:spacing w:val="0"/>
          <w:kern w:val="0"/>
          <w:sz w:val="56"/>
          <w:szCs w:val="56"/>
        </w:rPr>
        <w:t>第一部分</w:t>
      </w:r>
      <w:r>
        <w:rPr>
          <w:rFonts w:ascii="宋体" w:hAnsi="宋体" w:cs="宋体"/>
          <w:spacing w:val="0"/>
          <w:kern w:val="0"/>
          <w:sz w:val="56"/>
          <w:szCs w:val="56"/>
        </w:rPr>
        <w:t> </w:t>
      </w:r>
      <w:r>
        <w:rPr>
          <w:rFonts w:ascii="黑体" w:hAnsi="黑体" w:eastAsia="黑体" w:cs="黑体"/>
          <w:spacing w:val="0"/>
          <w:kern w:val="0"/>
          <w:sz w:val="56"/>
          <w:szCs w:val="56"/>
        </w:rPr>
        <w:t>部门概况</w:t>
      </w:r>
    </w:p>
    <w:p>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一、部门主要职责</w:t>
      </w:r>
    </w:p>
    <w:p>
      <w:pPr>
        <w:spacing w:line="600" w:lineRule="exact"/>
        <w:ind w:firstLine="640" w:firstLineChars="200"/>
        <w:rPr>
          <w:rFonts w:hint="eastAsia" w:ascii="仿宋" w:hAnsi="仿宋" w:eastAsia="仿宋" w:cs="仿宋_GB2312"/>
          <w:sz w:val="32"/>
          <w:szCs w:val="32"/>
          <w:highlight w:val="none"/>
        </w:rPr>
      </w:pPr>
      <w:r>
        <w:rPr>
          <w:rFonts w:hint="eastAsia" w:ascii="仿宋" w:hAnsi="仿宋" w:eastAsia="仿宋"/>
          <w:sz w:val="32"/>
          <w:szCs w:val="32"/>
          <w:highlight w:val="none"/>
        </w:rPr>
        <w:t>上杭县公安局</w:t>
      </w:r>
      <w:r>
        <w:rPr>
          <w:rFonts w:ascii="仿宋" w:hAnsi="仿宋" w:eastAsia="仿宋"/>
          <w:sz w:val="32"/>
          <w:u w:val="none" w:color="auto"/>
        </w:rPr>
        <w:t>部门</w:t>
      </w:r>
      <w:r>
        <w:rPr>
          <w:rFonts w:hint="eastAsia" w:ascii="仿宋" w:hAnsi="仿宋" w:eastAsia="仿宋"/>
          <w:sz w:val="32"/>
          <w:szCs w:val="32"/>
          <w:highlight w:val="none"/>
        </w:rPr>
        <w:t>的主要职责是：</w:t>
      </w:r>
    </w:p>
    <w:p>
      <w:pPr>
        <w:pStyle w:val="30"/>
        <w:widowControl/>
        <w:numPr>
          <w:ilvl w:val="0"/>
          <w:numId w:val="1"/>
        </w:numPr>
        <w:spacing w:before="100" w:after="100" w:line="600" w:lineRule="atLeast"/>
        <w:ind w:left="840" w:leftChars="0" w:right="0" w:firstLine="0" w:firstLineChars="0"/>
        <w:jc w:val="left"/>
        <w:rPr>
          <w:rFonts w:hint="eastAsia" w:ascii="仿宋" w:hAnsi="仿宋" w:eastAsia="仿宋" w:cs="仿宋_GB2312"/>
          <w:sz w:val="32"/>
          <w:szCs w:val="32"/>
          <w:highlight w:val="none"/>
          <w:lang w:val="en-US" w:eastAsia="zh-CN"/>
        </w:rPr>
      </w:pPr>
      <w:r>
        <w:rPr>
          <w:rFonts w:hint="eastAsia" w:ascii="仿宋" w:hAnsi="仿宋" w:eastAsia="仿宋" w:cs="仿宋_GB2312"/>
          <w:sz w:val="32"/>
          <w:szCs w:val="32"/>
          <w:highlight w:val="none"/>
          <w:lang w:val="en-US" w:eastAsia="zh-CN"/>
        </w:rPr>
        <w:t>贯彻落实党中央、国务院和县委、县政府以及上</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级公安机关有关公安工作的路线、方针、政策和法规、规章，</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部署和指导全县公安工作。</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（二）研究和推进公安工作改革，探索符合我县实际的</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公安管理体制，负责全县公安队伍的管理、教育训练和警务</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督察工作，指导全县公安机关的队伍建设和思想政治工作，</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不断加强公安队伍的革命化、正规化、现代化建设。</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（三）为县委、县政府和上级公安机关提供社会治安等</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方面的重要信息和对策。</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（四）指导并直接参与查处危害国家安全案件、刑事案</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件和经济犯罪案件的侦查工作；组织协调重大行动，指导协</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调和组织实施各类重大事件、治安灾害事故的查处。</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（五）依法管理和检查指导全县社会治安、户籍、居民</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身份证、边境保卫和公民出入国境、往来港澳地区和入境我</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县的外国人、外籍华人工作。</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（六）依法管理、监督和指导机关、团体、企事业单位</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的安全保卫工作和企事业单位保卫组织的建设。</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（七）管理全县道路交通安全，维护交通秩序。</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（八）组织实施来我县视察的党和国家领导人以及省</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委、省政府主要领导和重要外宾的安全警卫工作。</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（九）指导和管理监督管理工作，负责对我县看守所、</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治安拘留所的监督和检查工作。</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（十）指导并直接参与保护森林资源，保护野生动物，</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打击林区违法犯罪行为。</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ab/>
      </w:r>
      <w:r>
        <w:rPr>
          <w:rFonts w:hint="eastAsia" w:ascii="仿宋" w:hAnsi="仿宋" w:eastAsia="仿宋" w:cs="仿宋_GB2312"/>
          <w:sz w:val="32"/>
          <w:szCs w:val="32"/>
          <w:highlight w:val="none"/>
          <w:lang w:val="en-US" w:eastAsia="zh-CN"/>
        </w:rPr>
        <w:t>（十一）承办县委、县政府和上级公安机关交办的其他</w:t>
      </w:r>
      <w:r>
        <w:rPr>
          <w:rFonts w:hint="eastAsia" w:ascii="仿宋" w:hAnsi="仿宋" w:eastAsia="仿宋" w:cs="仿宋_GB2312"/>
          <w:sz w:val="32"/>
          <w:szCs w:val="32"/>
          <w:highlight w:val="none"/>
          <w:lang w:val="en-US" w:eastAsia="zh-CN"/>
        </w:rPr>
        <w:cr/>
      </w:r>
      <w:r>
        <w:rPr>
          <w:rFonts w:hint="eastAsia" w:ascii="仿宋" w:hAnsi="仿宋" w:eastAsia="仿宋" w:cs="仿宋_GB2312"/>
          <w:sz w:val="32"/>
          <w:szCs w:val="32"/>
          <w:highlight w:val="none"/>
          <w:lang w:val="en-US" w:eastAsia="zh-CN"/>
        </w:rPr>
        <w:t>事项。</w:t>
      </w:r>
    </w:p>
    <w:p>
      <w:pPr>
        <w:pStyle w:val="30"/>
        <w:widowControl/>
        <w:numPr>
          <w:ilvl w:val="0"/>
          <w:numId w:val="0"/>
        </w:numPr>
        <w:spacing w:before="100" w:after="100" w:line="600" w:lineRule="atLeast"/>
        <w:ind w:left="840" w:leftChars="0" w:right="0" w:rightChars="0"/>
        <w:jc w:val="left"/>
        <w:rPr>
          <w:rFonts w:ascii="Times New Roman" w:hAnsi="Times New Roman" w:eastAsia="Times New Roman" w:cs="Times New Roman"/>
          <w:kern w:val="0"/>
          <w:sz w:val="24"/>
        </w:rPr>
      </w:pPr>
      <w:r>
        <w:rPr>
          <w:rFonts w:ascii="黑体" w:hAnsi="黑体" w:eastAsia="黑体" w:cs="黑体"/>
          <w:spacing w:val="0"/>
          <w:kern w:val="0"/>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highlight w:val="none"/>
        </w:rPr>
      </w:pPr>
      <w:r>
        <w:rPr>
          <w:rFonts w:hint="eastAsia" w:ascii="仿宋" w:hAnsi="仿宋" w:eastAsia="仿宋" w:cs="仿宋_GB2312"/>
          <w:sz w:val="32"/>
          <w:szCs w:val="32"/>
          <w:highlight w:val="none"/>
        </w:rPr>
        <w:t>从决算单位构成看，</w:t>
      </w:r>
      <w:r>
        <w:rPr>
          <w:rFonts w:hint="eastAsia" w:ascii="仿宋" w:hAnsi="仿宋" w:eastAsia="仿宋"/>
          <w:sz w:val="32"/>
          <w:szCs w:val="32"/>
          <w:highlight w:val="none"/>
        </w:rPr>
        <w:t>上杭县公安局部门包括12个</w:t>
      </w:r>
      <w:r>
        <w:rPr>
          <w:rFonts w:hint="eastAsia" w:ascii="仿宋" w:hAnsi="仿宋" w:eastAsia="仿宋"/>
          <w:sz w:val="32"/>
          <w:szCs w:val="32"/>
          <w:highlight w:val="none"/>
          <w:lang w:eastAsia="zh-CN"/>
        </w:rPr>
        <w:t>执法勤务机构</w:t>
      </w:r>
      <w:r>
        <w:rPr>
          <w:rFonts w:hint="eastAsia" w:ascii="仿宋" w:hAnsi="仿宋" w:eastAsia="仿宋"/>
          <w:sz w:val="32"/>
          <w:szCs w:val="32"/>
          <w:highlight w:val="none"/>
        </w:rPr>
        <w:t>，</w:t>
      </w:r>
      <w:r>
        <w:rPr>
          <w:rFonts w:hint="eastAsia" w:ascii="仿宋" w:hAnsi="仿宋" w:eastAsia="仿宋"/>
          <w:sz w:val="32"/>
          <w:szCs w:val="32"/>
          <w:highlight w:val="none"/>
          <w:lang w:eastAsia="zh-CN"/>
        </w:rPr>
        <w:t>综合管理部门</w:t>
      </w:r>
      <w:r>
        <w:rPr>
          <w:rFonts w:hint="eastAsia" w:ascii="仿宋" w:hAnsi="仿宋" w:eastAsia="仿宋"/>
          <w:sz w:val="32"/>
          <w:szCs w:val="32"/>
          <w:highlight w:val="none"/>
          <w:lang w:val="en-US" w:eastAsia="zh-CN"/>
        </w:rPr>
        <w:t>3个，监管场所2个，派出所23个，森林派出所7个。</w:t>
      </w:r>
      <w:r>
        <w:rPr>
          <w:rFonts w:hint="eastAsia" w:ascii="仿宋" w:hAnsi="仿宋" w:eastAsia="仿宋" w:cs="仿宋_GB2312"/>
          <w:sz w:val="32"/>
          <w:szCs w:val="32"/>
          <w:highlight w:val="none"/>
        </w:rPr>
        <w:t>其中：列入</w:t>
      </w:r>
      <w:r>
        <w:rPr>
          <w:rFonts w:hint="eastAsia" w:ascii="仿宋" w:hAnsi="仿宋" w:eastAsia="仿宋" w:cs="仿宋_GB2312"/>
          <w:sz w:val="32"/>
          <w:szCs w:val="32"/>
          <w:highlight w:val="none"/>
          <w:lang w:val="en-US" w:eastAsia="zh-CN"/>
        </w:rPr>
        <w:t>2023</w:t>
      </w:r>
      <w:r>
        <w:rPr>
          <w:rFonts w:hint="eastAsia" w:ascii="仿宋" w:hAnsi="仿宋" w:eastAsia="仿宋" w:cs="仿宋_GB2312"/>
          <w:sz w:val="32"/>
          <w:szCs w:val="32"/>
          <w:highlight w:val="none"/>
        </w:rPr>
        <w:t>年</w:t>
      </w:r>
      <w:r>
        <w:rPr>
          <w:rFonts w:hint="eastAsia" w:ascii="仿宋" w:hAnsi="仿宋" w:eastAsia="仿宋"/>
          <w:sz w:val="32"/>
          <w:szCs w:val="32"/>
          <w:highlight w:val="none"/>
        </w:rPr>
        <w:t>部门</w:t>
      </w:r>
      <w:r>
        <w:rPr>
          <w:rFonts w:hint="eastAsia" w:ascii="仿宋" w:hAnsi="仿宋" w:eastAsia="仿宋" w:cs="仿宋_GB2312"/>
          <w:sz w:val="32"/>
          <w:szCs w:val="32"/>
          <w:highlight w:val="none"/>
        </w:rPr>
        <w:t>决算编制范围的单位详细情况见下表:</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6"/>
        <w:gridCol w:w="2373"/>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3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600" w:lineRule="exact"/>
              <w:ind w:left="0" w:right="0"/>
              <w:jc w:val="center"/>
              <w:rPr>
                <w:rFonts w:hint="default"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单位名称</w:t>
            </w:r>
          </w:p>
        </w:tc>
        <w:tc>
          <w:tcPr>
            <w:tcW w:w="23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600" w:lineRule="exact"/>
              <w:ind w:left="0" w:right="0"/>
              <w:jc w:val="center"/>
              <w:rPr>
                <w:rFonts w:hint="default"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单位性质</w:t>
            </w:r>
          </w:p>
        </w:tc>
        <w:tc>
          <w:tcPr>
            <w:tcW w:w="2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600" w:lineRule="exact"/>
              <w:ind w:left="0" w:right="0"/>
              <w:jc w:val="center"/>
              <w:rPr>
                <w:rFonts w:hint="default"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6" w:type="dxa"/>
            <w:tcBorders>
              <w:top w:val="single" w:color="auto" w:sz="4" w:space="0"/>
              <w:left w:val="single" w:color="auto" w:sz="4" w:space="0"/>
              <w:bottom w:val="single" w:color="auto" w:sz="4" w:space="0"/>
              <w:right w:val="single" w:color="auto" w:sz="4" w:space="0"/>
            </w:tcBorders>
            <w:noWrap w:val="0"/>
            <w:vAlign w:val="top"/>
          </w:tcPr>
          <w:p>
            <w:pPr>
              <w:tabs>
                <w:tab w:val="left" w:pos="7513"/>
              </w:tabs>
              <w:adjustRightInd w:val="0"/>
              <w:snapToGrid w:val="0"/>
              <w:spacing w:line="60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上杭县公安局</w:t>
            </w:r>
          </w:p>
        </w:tc>
        <w:tc>
          <w:tcPr>
            <w:tcW w:w="2373" w:type="dxa"/>
            <w:tcBorders>
              <w:top w:val="single" w:color="auto" w:sz="4" w:space="0"/>
              <w:left w:val="single" w:color="auto" w:sz="4" w:space="0"/>
              <w:bottom w:val="single" w:color="auto" w:sz="4" w:space="0"/>
              <w:right w:val="single" w:color="auto" w:sz="4" w:space="0"/>
            </w:tcBorders>
            <w:noWrap w:val="0"/>
            <w:vAlign w:val="top"/>
          </w:tcPr>
          <w:p>
            <w:pPr>
              <w:tabs>
                <w:tab w:val="left" w:pos="7513"/>
              </w:tabs>
              <w:adjustRightInd w:val="0"/>
              <w:snapToGrid w:val="0"/>
              <w:spacing w:line="60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行政单位</w:t>
            </w:r>
          </w:p>
        </w:tc>
        <w:tc>
          <w:tcPr>
            <w:tcW w:w="2843" w:type="dxa"/>
            <w:tcBorders>
              <w:top w:val="single" w:color="auto" w:sz="4" w:space="0"/>
              <w:left w:val="single" w:color="auto" w:sz="4" w:space="0"/>
              <w:bottom w:val="single" w:color="auto" w:sz="4" w:space="0"/>
              <w:right w:val="single" w:color="auto" w:sz="4" w:space="0"/>
            </w:tcBorders>
            <w:noWrap w:val="0"/>
            <w:vAlign w:val="top"/>
          </w:tcPr>
          <w:p>
            <w:pPr>
              <w:tabs>
                <w:tab w:val="left" w:pos="7513"/>
              </w:tabs>
              <w:adjustRightInd w:val="0"/>
              <w:snapToGrid w:val="0"/>
              <w:spacing w:line="60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439</w:t>
            </w:r>
          </w:p>
        </w:tc>
      </w:tr>
    </w:tbl>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三、部门主要工作总结</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w:t>
      </w:r>
      <w:r>
        <w:rPr>
          <w:rFonts w:hint="eastAsia" w:ascii="仿宋" w:hAnsi="仿宋" w:eastAsia="仿宋" w:cs="仿宋"/>
          <w:spacing w:val="0"/>
          <w:kern w:val="0"/>
          <w:sz w:val="32"/>
          <w:szCs w:val="32"/>
          <w:lang w:eastAsia="zh-CN"/>
        </w:rPr>
        <w:t>上杭县公安局</w:t>
      </w:r>
      <w:r>
        <w:rPr>
          <w:rFonts w:ascii="仿宋" w:hAnsi="仿宋" w:eastAsia="仿宋" w:cs="仿宋"/>
          <w:spacing w:val="0"/>
          <w:kern w:val="0"/>
          <w:sz w:val="32"/>
          <w:szCs w:val="32"/>
        </w:rPr>
        <w:t>主要任务是：</w:t>
      </w:r>
      <w:r>
        <w:rPr>
          <w:rFonts w:hint="eastAsia" w:eastAsia="仿宋_GB2312"/>
          <w:sz w:val="32"/>
          <w:szCs w:val="32"/>
        </w:rPr>
        <w:t>在县委县政府和上级公安机关的坚强领导下，围绕中心工作，服务发展大局，统筹抓好维护安全稳定各项工作</w:t>
      </w:r>
      <w:r>
        <w:rPr>
          <w:rFonts w:hint="eastAsia" w:eastAsia="仿宋_GB2312"/>
          <w:sz w:val="32"/>
          <w:szCs w:val="32"/>
          <w:lang w:eastAsia="zh-CN"/>
        </w:rPr>
        <w:t>，维持</w:t>
      </w:r>
      <w:r>
        <w:rPr>
          <w:rFonts w:hint="eastAsia" w:eastAsia="仿宋_GB2312"/>
          <w:kern w:val="0"/>
          <w:sz w:val="32"/>
          <w:szCs w:val="32"/>
        </w:rPr>
        <w:t>公安工作和队伍建设向上向好发展，圆满完成全国两会</w:t>
      </w:r>
      <w:r>
        <w:rPr>
          <w:rFonts w:eastAsia="仿宋_GB2312"/>
          <w:kern w:val="0"/>
          <w:sz w:val="32"/>
          <w:szCs w:val="32"/>
        </w:rPr>
        <w:t>“</w:t>
      </w:r>
      <w:r>
        <w:rPr>
          <w:rFonts w:hint="eastAsia" w:eastAsia="仿宋_GB2312"/>
          <w:kern w:val="0"/>
          <w:sz w:val="32"/>
          <w:szCs w:val="32"/>
        </w:rPr>
        <w:t>五一</w:t>
      </w:r>
      <w:r>
        <w:rPr>
          <w:rFonts w:eastAsia="仿宋_GB2312"/>
          <w:kern w:val="0"/>
          <w:sz w:val="32"/>
          <w:szCs w:val="32"/>
        </w:rPr>
        <w:t>”</w:t>
      </w:r>
      <w:r>
        <w:rPr>
          <w:rFonts w:hint="eastAsia" w:eastAsia="仿宋_GB2312"/>
          <w:kern w:val="0"/>
          <w:sz w:val="32"/>
          <w:szCs w:val="32"/>
        </w:rPr>
        <w:t>等安保维稳工作，</w:t>
      </w:r>
      <w:r>
        <w:rPr>
          <w:rFonts w:hint="eastAsia" w:eastAsia="仿宋_GB2312"/>
          <w:sz w:val="32"/>
          <w:szCs w:val="32"/>
        </w:rPr>
        <w:t>推动全县社会治安持续安定稳定。</w:t>
      </w:r>
      <w:r>
        <w:rPr>
          <w:rFonts w:ascii="仿宋" w:hAnsi="仿宋" w:eastAsia="仿宋" w:cs="仿宋"/>
          <w:spacing w:val="0"/>
          <w:kern w:val="0"/>
          <w:sz w:val="32"/>
          <w:szCs w:val="32"/>
        </w:rPr>
        <w:t>围绕上述任务，重点完成了以下工作：</w:t>
      </w:r>
    </w:p>
    <w:p>
      <w:pPr>
        <w:spacing w:line="560" w:lineRule="exact"/>
        <w:ind w:firstLine="640"/>
        <w:rPr>
          <w:rFonts w:hint="eastAsia"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一、坚持更高站位，全力维护国家政治安全和社会稳定。树牢忧患意识、坚持底线思维、强化政治担当，把维护国家安全和政治社会安定稳定作为工作的重中之重抓实抓好。一是强化情报收集研判。依托情指行一体化运行机制，全面收集研判危害国家政治安全和社会稳定的预警性、内幕新、行动性情报信息1550条，及时发现处置网上各类敏感、有害信息。二是强化隐患排查化解。紧盯全国两会“五一”“六四”等敏感节点，加强重点人员源头管控，强化国保、民代幼、涉军群体、涉众型经济利益受损群体等各类重点人员及群体动态管控。深化“枫桥式公安派出所”创建活动，紧密配合党委政府，联合司法、综治等部门排查矛盾纠纷831起、调解819起、正在调处12起,调解率98.56%。三是强化社会面巡逻防控。强化科学用警显性用警，落实“1、3、5”分钟快速反应机制和武装联勤巡逻防控。加强网格巡防、指挥调度和模拟演练，提高见警率、管事率和应急处突水平，强化重点单位部位安全检查，完善人防、物防、技防措施，及时消除安全隐患，严防危害安全稳定的案事件。</w:t>
      </w:r>
    </w:p>
    <w:p>
      <w:pPr>
        <w:spacing w:line="560" w:lineRule="exact"/>
        <w:rPr>
          <w:rFonts w:hint="eastAsia"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 xml:space="preserve">    二、坚持打防管控，全力提高综合打击效能。坚持以打开路、以防为主，打防并举措施，重拳打击突出违法犯罪。一是全力推进打击治理电诈犯罪。深入开展全市公安机关打击治理电信网络诈骗追捕破案挽损攻坚竞赛行动、反诈“四强、七大、八清”综合整治行动，全力开展滞留缅北人员劝逼返工作。二是常态化推进扫黑除恶。以“云剑-2023”行动为抓手，强化行业领域整治。三是持续打击整治涉毒违法犯罪。以“打外流、防反弹”为重点，深入开展“清源断流2023”行动暨“飓风肃毒2023”专项行动，不断巩固提升禁毒重点整治成效。四是重拳打击民生领域突出犯罪。严厉打击整治枪爆违法犯罪，有效消除治安隐患。强力整治涉赌涉黄违法犯罪，有效净化社会风气。深入开展“昆仑2023”专项行动，确保群众“舌尖上”的安全。五是强化道路交通安全管控。不断强化隐患排查治理，全力保障群众出行安全；积极开展道路交通事故预防“减量控大”工作，持续推进道路交通安全整治，严厉打击各类交通违法行为。六是坚持推进专项整治。深入开展“坚盾”系列集中统一行动，围绕全国两会</w:t>
      </w:r>
      <w:bookmarkStart w:id="1" w:name="_GoBack"/>
      <w:bookmarkEnd w:id="1"/>
      <w:r>
        <w:rPr>
          <w:rFonts w:hint="eastAsia" w:ascii="仿宋" w:hAnsi="仿宋" w:eastAsia="仿宋" w:cs="仿宋_GB2312"/>
          <w:kern w:val="2"/>
          <w:sz w:val="32"/>
          <w:szCs w:val="32"/>
          <w:highlight w:val="none"/>
          <w:lang w:val="en-US" w:eastAsia="zh-CN" w:bidi="ar-SA"/>
        </w:rPr>
        <w:t>、高考等安保工作，先后开展“坚盾”行动12次，全力营造安全稳定的政治社会环境。全面推进夏季治安打击整治行动，综合成效排名全市第一，其中，抓获电诈嫌疑人数、资金返还数排名全市第一，交通事故预防“减量控大”工作综合排名全市第一。</w:t>
      </w:r>
    </w:p>
    <w:p>
      <w:pPr>
        <w:pBdr>
          <w:bottom w:val="single" w:color="FFFFFF" w:sz="4" w:space="29"/>
        </w:pBdr>
        <w:shd w:val="solid" w:color="FFFFFF" w:fill="auto"/>
        <w:tabs>
          <w:tab w:val="left" w:pos="1440"/>
        </w:tabs>
        <w:autoSpaceDN w:val="0"/>
        <w:adjustRightInd w:val="0"/>
        <w:snapToGrid w:val="0"/>
        <w:spacing w:line="540" w:lineRule="exact"/>
        <w:ind w:firstLine="640" w:firstLineChars="200"/>
        <w:rPr>
          <w:rFonts w:hint="eastAsia" w:ascii="仿宋" w:hAnsi="仿宋" w:eastAsia="仿宋" w:cs="仿宋_GB2312"/>
          <w:kern w:val="2"/>
          <w:sz w:val="32"/>
          <w:szCs w:val="32"/>
          <w:highlight w:val="none"/>
          <w:lang w:val="en-US" w:eastAsia="zh-CN" w:bidi="ar-SA"/>
        </w:rPr>
      </w:pPr>
      <w:r>
        <w:rPr>
          <w:rFonts w:hint="eastAsia" w:ascii="仿宋" w:hAnsi="仿宋" w:eastAsia="仿宋" w:cs="仿宋_GB2312"/>
          <w:kern w:val="2"/>
          <w:sz w:val="32"/>
          <w:szCs w:val="32"/>
          <w:highlight w:val="none"/>
          <w:lang w:val="en-US" w:eastAsia="zh-CN" w:bidi="ar-SA"/>
        </w:rPr>
        <w:t>三、坚持改革创新，全力增强公安发展动力。一是深化警务运行机制改革。突出“派出所主防”的职能定位，深化派出所“两队一室”警务运行机制改革，打造标准型、紧密型、宽松型三种勤务模式新亮点，实现综合指挥更强、社区警务更实、案件办理更专。二是全省首创野生动植物收容机制。建立全省首个“涉案珍稀植物迁地保护基地”、“野生动物救助保护基地”及全市首个生态警务室，做实司法保护，护航生态环境可持续发展。三是持续深化“放管服”改革。在全市公安系统率先设立公安“一站式”办事大厅，将城区户籍、交警、出入境、行政审批等业务有机整合，实现200项公安类业务“一窗通办、集成服务”，增设自主设备6台，业务效率提高28%，“网上办”“自助办”占比提高33%。并在4个地域相对集中的古田、旧县、蓝溪、中都派出所分设“一站式”综合服务窗口，实现户政、交管、治安、出入境4类120项业务的一窗通办，实现群众办事“就近办”。四是建立网安警务室。在上杭古田建立全市首个网安警务室，在古田会址景区建设“网络安全文化长廊”，提升基层网络安全管理能力。</w:t>
      </w:r>
    </w:p>
    <w:p>
      <w:pPr>
        <w:pBdr>
          <w:bottom w:val="single" w:color="FFFFFF" w:sz="4" w:space="29"/>
        </w:pBdr>
        <w:shd w:val="solid" w:color="FFFFFF" w:fill="auto"/>
        <w:tabs>
          <w:tab w:val="left" w:pos="1440"/>
        </w:tabs>
        <w:autoSpaceDN w:val="0"/>
        <w:adjustRightInd w:val="0"/>
        <w:snapToGrid w:val="0"/>
        <w:spacing w:line="540" w:lineRule="exact"/>
        <w:ind w:firstLine="640" w:firstLineChars="200"/>
        <w:rPr>
          <w:rFonts w:ascii="宋体" w:hAnsi="宋体" w:cs="宋体"/>
          <w:spacing w:val="0"/>
          <w:kern w:val="0"/>
          <w:sz w:val="36"/>
          <w:szCs w:val="36"/>
        </w:rPr>
      </w:pPr>
      <w:r>
        <w:rPr>
          <w:rFonts w:hint="eastAsia" w:ascii="仿宋" w:hAnsi="仿宋" w:eastAsia="仿宋" w:cs="仿宋_GB2312"/>
          <w:kern w:val="2"/>
          <w:sz w:val="32"/>
          <w:szCs w:val="32"/>
          <w:highlight w:val="none"/>
          <w:lang w:val="en-US" w:eastAsia="zh-CN" w:bidi="ar-SA"/>
        </w:rPr>
        <w:t>四、坚持严管厚爱，全力打造过硬公安铁军。牢牢把握习近平总书记“四句话、十六字”总要求，全力打造“四个铁一般”红心警队。一是狠抓政治建警。牢牢把握党对公安工作的绝对领导，强化思想政治教育，扎实开展习近平新时代中国特色社会主义思想主题教育，不断提高政治判断力、政治领悟力、政治执行力。二是狠抓从严治警。常态化抓好队伍监督管理，开展专项整治，时刻提醒民警严格遵守警纪禁令，促进公安队伍正规化建设。三是狠抓争先创优。制定2023年全县公安机关先进典型培树计划，全力推进争先创优工作。四是狠抓从优待警。进一步优化机构编制，完善选人用人机制，加强先进典型宣传，树立新时代上杭公安忠诚履职、奉献担当的良好形象。</w:t>
      </w:r>
      <w:r>
        <w:rPr>
          <w:rFonts w:ascii="宋体" w:hAnsi="宋体" w:cs="宋体"/>
          <w:spacing w:val="0"/>
          <w:kern w:val="0"/>
          <w:sz w:val="36"/>
          <w:szCs w:val="36"/>
        </w:rPr>
        <w:t> </w:t>
      </w:r>
    </w:p>
    <w:p>
      <w:pPr>
        <w:pBdr>
          <w:bottom w:val="single" w:color="FFFFFF" w:sz="4" w:space="29"/>
        </w:pBdr>
        <w:shd w:val="solid" w:color="FFFFFF" w:fill="auto"/>
        <w:tabs>
          <w:tab w:val="left" w:pos="1440"/>
        </w:tabs>
        <w:autoSpaceDN w:val="0"/>
        <w:adjustRightInd w:val="0"/>
        <w:snapToGrid w:val="0"/>
        <w:spacing w:line="540" w:lineRule="exact"/>
        <w:ind w:firstLine="720" w:firstLineChars="200"/>
        <w:rPr>
          <w:rFonts w:ascii="宋体" w:hAnsi="宋体" w:cs="宋体"/>
          <w:spacing w:val="0"/>
          <w:kern w:val="0"/>
          <w:sz w:val="36"/>
          <w:szCs w:val="36"/>
        </w:rPr>
      </w:pPr>
    </w:p>
    <w:p>
      <w:pPr>
        <w:pBdr>
          <w:bottom w:val="single" w:color="FFFFFF" w:sz="4" w:space="29"/>
        </w:pBdr>
        <w:shd w:val="solid" w:color="FFFFFF" w:fill="auto"/>
        <w:tabs>
          <w:tab w:val="left" w:pos="1440"/>
        </w:tabs>
        <w:autoSpaceDN w:val="0"/>
        <w:adjustRightInd w:val="0"/>
        <w:snapToGrid w:val="0"/>
        <w:spacing w:line="540" w:lineRule="exact"/>
        <w:ind w:firstLine="720" w:firstLineChars="200"/>
        <w:rPr>
          <w:rFonts w:ascii="Times New Roman" w:hAnsi="Times New Roman" w:eastAsia="Times New Roman" w:cs="Times New Roman"/>
          <w:kern w:val="0"/>
          <w:sz w:val="24"/>
        </w:rPr>
      </w:pPr>
      <w:r>
        <w:rPr>
          <w:rFonts w:ascii="宋体" w:hAnsi="宋体" w:cs="宋体"/>
          <w:spacing w:val="0"/>
          <w:kern w:val="0"/>
          <w:sz w:val="36"/>
          <w:szCs w:val="36"/>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第二部分</w:t>
      </w:r>
      <w:r>
        <w:rPr>
          <w:rFonts w:ascii="宋体" w:hAnsi="宋体" w:cs="宋体"/>
          <w:spacing w:val="0"/>
          <w:kern w:val="0"/>
          <w:sz w:val="56"/>
          <w:szCs w:val="56"/>
        </w:rPr>
        <w:t> </w:t>
      </w:r>
      <w:r>
        <w:rPr>
          <w:rFonts w:ascii="黑体" w:hAnsi="黑体" w:eastAsia="黑体" w:cs="黑体"/>
          <w:spacing w:val="0"/>
          <w:kern w:val="0"/>
          <w:sz w:val="56"/>
          <w:szCs w:val="56"/>
        </w:rPr>
        <w:t>2023年度部门决算表</w:t>
      </w:r>
    </w:p>
    <w:p>
      <w:pPr>
        <w:pStyle w:val="30"/>
        <w:widowControl/>
        <w:spacing w:before="100" w:after="100"/>
        <w:ind w:left="0" w:right="0" w:firstLine="0"/>
        <w:jc w:val="left"/>
      </w:pP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一、收入支出决算总表</w:t>
      </w:r>
    </w:p>
    <w:p>
      <w:pPr>
        <w:pStyle w:val="30"/>
        <w:widowControl/>
        <w:spacing w:before="100" w:after="100"/>
        <w:ind w:left="0" w:right="0" w:firstLine="0"/>
        <w:jc w:val="left"/>
        <w:sectPr>
          <w:footerReference r:id="rId4" w:type="default"/>
          <w:pgMar w:top="1440" w:right="720" w:bottom="1440" w:left="720" w:header="720" w:footer="720" w:gutter="0"/>
          <w:pgNumType w:fmt="decimal" w:start="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8"/>
        <w:tblW w:w="14504" w:type="dxa"/>
        <w:tblInd w:w="0" w:type="dxa"/>
        <w:tblLayout w:type="fixed"/>
        <w:tblCellMar>
          <w:top w:w="15" w:type="dxa"/>
          <w:left w:w="15" w:type="dxa"/>
          <w:bottom w:w="15" w:type="dxa"/>
          <w:right w:w="15" w:type="dxa"/>
        </w:tblCellMar>
      </w:tblPr>
      <w:tblGrid>
        <w:gridCol w:w="4079"/>
        <w:gridCol w:w="3060"/>
        <w:gridCol w:w="4500"/>
        <w:gridCol w:w="2865"/>
      </w:tblGrid>
      <w:tr>
        <w:tblPrEx>
          <w:tblCellMar>
            <w:top w:w="15" w:type="dxa"/>
            <w:left w:w="15" w:type="dxa"/>
            <w:bottom w:w="15" w:type="dxa"/>
            <w:right w:w="15" w:type="dxa"/>
          </w:tblCellMar>
        </w:tblPrEx>
        <w:trPr>
          <w:tblHeader/>
        </w:trPr>
        <w:tc>
          <w:tcPr>
            <w:tcW w:w="14504" w:type="dxa"/>
            <w:gridSpan w:val="4"/>
            <w:noWrap w:val="0"/>
            <w:tcMar>
              <w:top w:w="20" w:type="dxa"/>
              <w:left w:w="20" w:type="dxa"/>
              <w:bottom w:w="20" w:type="dxa"/>
              <w:right w:w="20" w:type="dxa"/>
            </w:tcMar>
            <w:vAlign w:val="center"/>
          </w:tcPr>
          <w:p>
            <w:pPr>
              <w:widowControl/>
              <w:spacing w:line="900" w:lineRule="atLeast"/>
              <w:ind w:firstLine="5670" w:firstLineChars="2100"/>
              <w:jc w:val="both"/>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收入支出决算总表</w:t>
            </w:r>
          </w:p>
        </w:tc>
      </w:tr>
      <w:tr>
        <w:tblPrEx>
          <w:tblCellMar>
            <w:top w:w="15" w:type="dxa"/>
            <w:left w:w="15" w:type="dxa"/>
            <w:bottom w:w="15" w:type="dxa"/>
            <w:right w:w="15" w:type="dxa"/>
          </w:tblCellMar>
        </w:tblPrEx>
        <w:trPr>
          <w:tblHeader/>
        </w:trPr>
        <w:tc>
          <w:tcPr>
            <w:tcW w:w="7139"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86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公开01表</w:t>
            </w:r>
          </w:p>
        </w:tc>
      </w:tr>
      <w:tr>
        <w:tblPrEx>
          <w:tblCellMar>
            <w:top w:w="15" w:type="dxa"/>
            <w:left w:w="15" w:type="dxa"/>
            <w:bottom w:w="15" w:type="dxa"/>
            <w:right w:w="15" w:type="dxa"/>
          </w:tblCellMar>
        </w:tblPrEx>
        <w:trPr>
          <w:tblHeader/>
        </w:trPr>
        <w:tc>
          <w:tcPr>
            <w:tcW w:w="11639" w:type="dxa"/>
            <w:gridSpan w:val="3"/>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286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7139"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7365"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tblPrEx>
          <w:tblCellMar>
            <w:top w:w="15" w:type="dxa"/>
            <w:left w:w="15" w:type="dxa"/>
            <w:bottom w:w="15" w:type="dxa"/>
            <w:right w:w="15" w:type="dxa"/>
          </w:tblCellMar>
        </w:tblPrEx>
        <w:trPr>
          <w:tblHeader/>
        </w:trPr>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项目(按支出功能分类)</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15,040.18</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二、外交支出 </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四、上级补助收入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15,193.74</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五、事业收入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六、经营收入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七、附属单位上缴收入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八、其他收入</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673.77</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15,730.96</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15,501.61</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使用非财政拨款结余（含专用结余）</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结余分配</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1,519.53</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年末结转和结余 </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1,748.88</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07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30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17,250.49</w:t>
            </w:r>
          </w:p>
        </w:tc>
        <w:tc>
          <w:tcPr>
            <w:tcW w:w="45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8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17,250.49</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ascii="Times New Roman" w:hAnsi="Times New Roman" w:eastAsia="Times New Roman" w:cs="Times New Roman"/>
          <w:kern w:val="0"/>
          <w:sz w:val="24"/>
        </w:rPr>
        <w:t>1. </w:t>
      </w:r>
      <w:r>
        <w:rPr>
          <w:rFonts w:ascii="宋体" w:hAnsi="宋体" w:cs="宋体"/>
          <w:spacing w:val="0"/>
          <w:kern w:val="0"/>
          <w:sz w:val="32"/>
          <w:szCs w:val="32"/>
        </w:rPr>
        <w:t>本表反映部门本年度的总收支和年末结转结余情况。</w:t>
      </w:r>
    </w:p>
    <w:p>
      <w:pPr>
        <w:pStyle w:val="29"/>
        <w:widowControl/>
        <w:spacing w:before="100" w:after="100"/>
        <w:ind w:left="0" w:right="0" w:firstLine="48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2.</w:t>
      </w:r>
      <w:r>
        <w:rPr>
          <w:rFonts w:ascii="Calibri" w:hAnsi="Calibri" w:eastAsia="Calibri" w:cs="Calibri"/>
          <w:spacing w:val="0"/>
          <w:kern w:val="0"/>
          <w:sz w:val="32"/>
          <w:szCs w:val="32"/>
        </w:rPr>
        <w:t> </w:t>
      </w:r>
      <w:r>
        <w:rPr>
          <w:rFonts w:ascii="宋体" w:hAnsi="宋体" w:cs="宋体"/>
          <w:spacing w:val="0"/>
          <w:kern w:val="0"/>
          <w:sz w:val="32"/>
          <w:szCs w:val="32"/>
        </w:rPr>
        <w:t>本套报表金额单位转换时可能存在尾数误差。</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二、收入决算表</w:t>
      </w:r>
    </w:p>
    <w:p>
      <w:pPr>
        <w:sectPr>
          <w:pgSz w:w="16383" w:h="11906" w:orient="landscape"/>
          <w:pgMar w:top="1440" w:right="720" w:bottom="1440" w:left="72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8"/>
        <w:tblW w:w="14624" w:type="dxa"/>
        <w:tblInd w:w="0" w:type="dxa"/>
        <w:tblLayout w:type="fixed"/>
        <w:tblCellMar>
          <w:top w:w="15" w:type="dxa"/>
          <w:left w:w="15" w:type="dxa"/>
          <w:bottom w:w="15" w:type="dxa"/>
          <w:right w:w="15" w:type="dxa"/>
        </w:tblCellMar>
      </w:tblPr>
      <w:tblGrid>
        <w:gridCol w:w="453"/>
        <w:gridCol w:w="454"/>
        <w:gridCol w:w="454"/>
        <w:gridCol w:w="1925"/>
        <w:gridCol w:w="1468"/>
        <w:gridCol w:w="1680"/>
        <w:gridCol w:w="1620"/>
        <w:gridCol w:w="1620"/>
        <w:gridCol w:w="1245"/>
        <w:gridCol w:w="2190"/>
        <w:gridCol w:w="1515"/>
      </w:tblGrid>
      <w:tr>
        <w:tblPrEx>
          <w:tblCellMar>
            <w:top w:w="15" w:type="dxa"/>
            <w:left w:w="15" w:type="dxa"/>
            <w:bottom w:w="15" w:type="dxa"/>
            <w:right w:w="15" w:type="dxa"/>
          </w:tblCellMar>
        </w:tblPrEx>
        <w:trPr>
          <w:tblHeader/>
        </w:trPr>
        <w:tc>
          <w:tcPr>
            <w:tcW w:w="14624" w:type="dxa"/>
            <w:gridSpan w:val="11"/>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收入决算表</w:t>
            </w:r>
          </w:p>
        </w:tc>
      </w:tr>
      <w:tr>
        <w:tblPrEx>
          <w:tblCellMar>
            <w:top w:w="15" w:type="dxa"/>
            <w:left w:w="15" w:type="dxa"/>
            <w:bottom w:w="15" w:type="dxa"/>
            <w:right w:w="15" w:type="dxa"/>
          </w:tblCellMar>
        </w:tblPrEx>
        <w:trPr>
          <w:tblHeader/>
        </w:trPr>
        <w:tc>
          <w:tcPr>
            <w:tcW w:w="907"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54"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46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公开02表</w:t>
            </w:r>
          </w:p>
        </w:tc>
      </w:tr>
      <w:tr>
        <w:tblPrEx>
          <w:tblCellMar>
            <w:top w:w="15" w:type="dxa"/>
            <w:left w:w="15" w:type="dxa"/>
            <w:bottom w:w="15" w:type="dxa"/>
            <w:right w:w="15" w:type="dxa"/>
          </w:tblCellMar>
        </w:tblPrEx>
        <w:trPr>
          <w:tblHeader/>
        </w:trPr>
        <w:tc>
          <w:tcPr>
            <w:tcW w:w="3286"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146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3286"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1468"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168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财政拨款收入 </w:t>
            </w:r>
          </w:p>
        </w:tc>
        <w:tc>
          <w:tcPr>
            <w:tcW w:w="162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上级补助收入</w:t>
            </w:r>
          </w:p>
        </w:tc>
        <w:tc>
          <w:tcPr>
            <w:tcW w:w="162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事业收入</w:t>
            </w:r>
          </w:p>
        </w:tc>
        <w:tc>
          <w:tcPr>
            <w:tcW w:w="124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经营收入</w:t>
            </w:r>
          </w:p>
        </w:tc>
        <w:tc>
          <w:tcPr>
            <w:tcW w:w="219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附属单位上缴收入</w:t>
            </w:r>
          </w:p>
        </w:tc>
        <w:tc>
          <w:tcPr>
            <w:tcW w:w="151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其他收入</w:t>
            </w:r>
          </w:p>
        </w:tc>
      </w:tr>
      <w:tr>
        <w:tblPrEx>
          <w:tblCellMar>
            <w:top w:w="15" w:type="dxa"/>
            <w:left w:w="15" w:type="dxa"/>
            <w:bottom w:w="15" w:type="dxa"/>
            <w:right w:w="15" w:type="dxa"/>
          </w:tblCellMar>
        </w:tblPrEx>
        <w:trPr>
          <w:tblHeader/>
        </w:trPr>
        <w:tc>
          <w:tcPr>
            <w:tcW w:w="1361"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192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468"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24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19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1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1361" w:type="dxa"/>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92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468"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24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19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1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45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4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45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15,730.96</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15,057.18</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673.77</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公共安全支出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15,423.09</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14,749.32</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673.77</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2040101</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公安</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15,375.15</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14,701.38</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673.77</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2040201</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12,802.54</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12,128.77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673.77</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2040202</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一般行政管理事务</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2040250</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2040299</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其他公安支出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2,082.05</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2,082.05</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2079999</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国有土地使用权出让收入安排的支出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2120804</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农村基础设施建设支出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彩票发行销售机构业务费安排的支出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36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2290808</w:t>
            </w:r>
          </w:p>
        </w:tc>
        <w:tc>
          <w:tcPr>
            <w:tcW w:w="19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彩票市场调控资金支出</w:t>
            </w:r>
          </w:p>
        </w:tc>
        <w:tc>
          <w:tcPr>
            <w:tcW w:w="146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注：本表反映部门本年度取得的各项收入情况。</w:t>
      </w: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三、支出决算表</w:t>
      </w:r>
    </w:p>
    <w:p>
      <w:pPr>
        <w:sectPr>
          <w:pgSz w:w="16383" w:h="11906" w:orient="landscape"/>
          <w:pgMar w:top="1440" w:right="720" w:bottom="1440" w:left="72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8"/>
        <w:tblW w:w="14654" w:type="dxa"/>
        <w:tblInd w:w="0" w:type="dxa"/>
        <w:tblLayout w:type="fixed"/>
        <w:tblCellMar>
          <w:top w:w="15" w:type="dxa"/>
          <w:left w:w="15" w:type="dxa"/>
          <w:bottom w:w="15" w:type="dxa"/>
          <w:right w:w="15" w:type="dxa"/>
        </w:tblCellMar>
      </w:tblPr>
      <w:tblGrid>
        <w:gridCol w:w="666"/>
        <w:gridCol w:w="666"/>
        <w:gridCol w:w="665"/>
        <w:gridCol w:w="1792"/>
        <w:gridCol w:w="1685"/>
        <w:gridCol w:w="1545"/>
        <w:gridCol w:w="1920"/>
        <w:gridCol w:w="1770"/>
        <w:gridCol w:w="1515"/>
        <w:gridCol w:w="2430"/>
      </w:tblGrid>
      <w:tr>
        <w:tblPrEx>
          <w:tblCellMar>
            <w:top w:w="15" w:type="dxa"/>
            <w:left w:w="15" w:type="dxa"/>
            <w:bottom w:w="15" w:type="dxa"/>
            <w:right w:w="15" w:type="dxa"/>
          </w:tblCellMar>
        </w:tblPrEx>
        <w:trPr>
          <w:tblHeader/>
        </w:trPr>
        <w:tc>
          <w:tcPr>
            <w:tcW w:w="14654" w:type="dxa"/>
            <w:gridSpan w:val="10"/>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支出决算表</w:t>
            </w:r>
          </w:p>
        </w:tc>
      </w:tr>
      <w:tr>
        <w:tblPrEx>
          <w:tblCellMar>
            <w:top w:w="15" w:type="dxa"/>
            <w:left w:w="15" w:type="dxa"/>
            <w:bottom w:w="15" w:type="dxa"/>
            <w:right w:w="15" w:type="dxa"/>
          </w:tblCellMar>
        </w:tblPrEx>
        <w:trPr>
          <w:tblHeader/>
        </w:trPr>
        <w:tc>
          <w:tcPr>
            <w:tcW w:w="3789"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7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公开03表</w:t>
            </w:r>
          </w:p>
        </w:tc>
      </w:tr>
      <w:tr>
        <w:tblPrEx>
          <w:tblCellMar>
            <w:top w:w="15" w:type="dxa"/>
            <w:left w:w="15" w:type="dxa"/>
            <w:bottom w:w="15" w:type="dxa"/>
            <w:right w:w="15" w:type="dxa"/>
          </w:tblCellMar>
        </w:tblPrEx>
        <w:trPr>
          <w:tblHeader/>
        </w:trPr>
        <w:tc>
          <w:tcPr>
            <w:tcW w:w="3789"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168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7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3789"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168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154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192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tcW w:w="177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上缴上级支出</w:t>
            </w:r>
          </w:p>
        </w:tc>
        <w:tc>
          <w:tcPr>
            <w:tcW w:w="151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经营支出</w:t>
            </w:r>
          </w:p>
        </w:tc>
        <w:tc>
          <w:tcPr>
            <w:tcW w:w="243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对附属单位补助支出</w:t>
            </w:r>
          </w:p>
        </w:tc>
      </w:tr>
      <w:tr>
        <w:tblPrEx>
          <w:tblCellMar>
            <w:top w:w="15" w:type="dxa"/>
            <w:left w:w="15" w:type="dxa"/>
            <w:bottom w:w="15" w:type="dxa"/>
            <w:right w:w="15" w:type="dxa"/>
          </w:tblCellMar>
        </w:tblPrEx>
        <w:trPr>
          <w:tblHeader/>
        </w:trPr>
        <w:tc>
          <w:tcPr>
            <w:tcW w:w="1997"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1792"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68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4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9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77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1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43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rHeight w:val="689" w:hRule="atLeast"/>
          <w:tblHeader/>
        </w:trPr>
        <w:tc>
          <w:tcPr>
            <w:tcW w:w="1997" w:type="dxa"/>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792"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4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9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77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51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43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66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66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66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15,501.61</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13,055.83</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2,445.78</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公共安全支出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15,193.74</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13,055.83</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2,137.91</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2040101</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公安</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15,145.8</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13,055.83</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2040201</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12,573.19</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12,573.19</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2040202</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一般行政管理事务</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2040250</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2040299</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其他公安支出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2,082.05</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12.08</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2079999</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rHeight w:val="845" w:hRule="atLeast"/>
        </w:trPr>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国有土地使用权出让收入安排的支出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2120804</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农村基础设施建设支出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rHeight w:val="785" w:hRule="atLeast"/>
        </w:trPr>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彩票发行销售机构业务费安排的支出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97"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2290808</w:t>
            </w:r>
          </w:p>
        </w:tc>
        <w:tc>
          <w:tcPr>
            <w:tcW w:w="179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彩票市场调控资金支出</w:t>
            </w:r>
          </w:p>
        </w:tc>
        <w:tc>
          <w:tcPr>
            <w:tcW w:w="168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5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9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177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5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注：本表反映部门本年度各项支出情况。</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四、财政拨款收入支出决算总表</w:t>
      </w:r>
    </w:p>
    <w:p>
      <w:pPr>
        <w:sectPr>
          <w:pgSz w:w="16383" w:h="11906" w:orient="landscape"/>
          <w:pgMar w:top="1440" w:right="720" w:bottom="1440" w:left="72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8"/>
        <w:tblW w:w="14624" w:type="dxa"/>
        <w:tblInd w:w="0" w:type="dxa"/>
        <w:tblLayout w:type="fixed"/>
        <w:tblCellMar>
          <w:top w:w="15" w:type="dxa"/>
          <w:left w:w="15" w:type="dxa"/>
          <w:bottom w:w="15" w:type="dxa"/>
          <w:right w:w="15" w:type="dxa"/>
        </w:tblCellMar>
      </w:tblPr>
      <w:tblGrid>
        <w:gridCol w:w="1581"/>
        <w:gridCol w:w="1718"/>
        <w:gridCol w:w="2355"/>
        <w:gridCol w:w="1725"/>
        <w:gridCol w:w="2520"/>
        <w:gridCol w:w="2715"/>
        <w:gridCol w:w="2010"/>
      </w:tblGrid>
      <w:tr>
        <w:tblPrEx>
          <w:tblCellMar>
            <w:top w:w="15" w:type="dxa"/>
            <w:left w:w="15" w:type="dxa"/>
            <w:bottom w:w="15" w:type="dxa"/>
            <w:right w:w="15" w:type="dxa"/>
          </w:tblCellMar>
        </w:tblPrEx>
        <w:trPr>
          <w:tblHeader/>
        </w:trPr>
        <w:tc>
          <w:tcPr>
            <w:tcW w:w="14624" w:type="dxa"/>
            <w:gridSpan w:val="7"/>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财政拨款收入支出决算总表</w:t>
            </w:r>
          </w:p>
        </w:tc>
      </w:tr>
      <w:tr>
        <w:tblPrEx>
          <w:tblCellMar>
            <w:top w:w="15" w:type="dxa"/>
            <w:left w:w="15" w:type="dxa"/>
            <w:bottom w:w="15" w:type="dxa"/>
            <w:right w:w="15" w:type="dxa"/>
          </w:tblCellMar>
        </w:tblPrEx>
        <w:trPr>
          <w:tblHeader/>
        </w:trPr>
        <w:tc>
          <w:tcPr>
            <w:tcW w:w="7379"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公开04表</w:t>
            </w:r>
          </w:p>
        </w:tc>
      </w:tr>
      <w:tr>
        <w:tblPrEx>
          <w:tblCellMar>
            <w:top w:w="15" w:type="dxa"/>
            <w:left w:w="15" w:type="dxa"/>
            <w:bottom w:w="15" w:type="dxa"/>
            <w:right w:w="15" w:type="dxa"/>
          </w:tblCellMar>
        </w:tblPrEx>
        <w:trPr>
          <w:tblHeader/>
        </w:trPr>
        <w:tc>
          <w:tcPr>
            <w:tcW w:w="7379"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252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3299"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11325"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tblPrEx>
          <w:tblCellMar>
            <w:top w:w="15" w:type="dxa"/>
            <w:left w:w="15" w:type="dxa"/>
            <w:bottom w:w="15" w:type="dxa"/>
            <w:right w:w="15" w:type="dxa"/>
          </w:tblCellMar>
        </w:tblPrEx>
        <w:trPr>
          <w:tblHeader/>
        </w:trPr>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项目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项目（按功能分类）</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一般公共预算财政拨款</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政府性基金预算财政拨款</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国有资本经营预算财政拨款</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一、一般公共预算财政拨款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15,040.18</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二、外交支出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14,844.97</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14,844.97</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15,057.18</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15,152.83</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15,135.83</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年初财政拨款结转和结余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95.65</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年末财政拨款结转和结余 </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95.65</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58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171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15,152.83</w:t>
            </w:r>
          </w:p>
        </w:tc>
        <w:tc>
          <w:tcPr>
            <w:tcW w:w="235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172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15,152.83</w:t>
            </w:r>
          </w:p>
        </w:tc>
        <w:tc>
          <w:tcPr>
            <w:tcW w:w="25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15,135.83</w:t>
            </w:r>
          </w:p>
        </w:tc>
        <w:tc>
          <w:tcPr>
            <w:tcW w:w="2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20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注：本表反映部门本年度一般公共预算财政拨款、政府性基金预算财政拨款和国有资本经营预算财政拨款的总收支和年末结转结余情况。</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五、一般公共预算财政拨款支出决算表</w:t>
      </w:r>
    </w:p>
    <w:tbl>
      <w:tblPr>
        <w:tblStyle w:val="18"/>
        <w:tblpPr w:leftFromText="180" w:rightFromText="180" w:vertAnchor="text" w:horzAnchor="page" w:tblpX="420" w:tblpY="1324"/>
        <w:tblOverlap w:val="never"/>
        <w:tblW w:w="14699" w:type="dxa"/>
        <w:tblInd w:w="0" w:type="dxa"/>
        <w:tblLayout w:type="fixed"/>
        <w:tblCellMar>
          <w:top w:w="15" w:type="dxa"/>
          <w:left w:w="15" w:type="dxa"/>
          <w:bottom w:w="15" w:type="dxa"/>
          <w:right w:w="15" w:type="dxa"/>
        </w:tblCellMar>
      </w:tblPr>
      <w:tblGrid>
        <w:gridCol w:w="1930"/>
        <w:gridCol w:w="2680"/>
        <w:gridCol w:w="3189"/>
        <w:gridCol w:w="3031"/>
        <w:gridCol w:w="3869"/>
      </w:tblGrid>
      <w:tr>
        <w:tblPrEx>
          <w:tblCellMar>
            <w:top w:w="15" w:type="dxa"/>
            <w:left w:w="15" w:type="dxa"/>
            <w:bottom w:w="15" w:type="dxa"/>
            <w:right w:w="15" w:type="dxa"/>
          </w:tblCellMar>
        </w:tblPrEx>
        <w:trPr>
          <w:tblHeader/>
        </w:trPr>
        <w:tc>
          <w:tcPr>
            <w:tcW w:w="14699" w:type="dxa"/>
            <w:gridSpan w:val="5"/>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一般公共预算财政拨款支出决算表</w:t>
            </w:r>
          </w:p>
        </w:tc>
      </w:tr>
      <w:tr>
        <w:tblPrEx>
          <w:tblCellMar>
            <w:top w:w="15" w:type="dxa"/>
            <w:left w:w="15" w:type="dxa"/>
            <w:bottom w:w="15" w:type="dxa"/>
            <w:right w:w="15" w:type="dxa"/>
          </w:tblCellMar>
        </w:tblPrEx>
        <w:trPr>
          <w:tblHeader/>
        </w:trPr>
        <w:tc>
          <w:tcPr>
            <w:tcW w:w="461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18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1"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公开05表</w:t>
            </w:r>
          </w:p>
        </w:tc>
      </w:tr>
      <w:tr>
        <w:tblPrEx>
          <w:tblCellMar>
            <w:top w:w="15" w:type="dxa"/>
            <w:left w:w="15" w:type="dxa"/>
            <w:bottom w:w="15" w:type="dxa"/>
            <w:right w:w="15" w:type="dxa"/>
          </w:tblCellMar>
        </w:tblPrEx>
        <w:trPr>
          <w:tblHeader/>
        </w:trPr>
        <w:tc>
          <w:tcPr>
            <w:tcW w:w="461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318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1"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461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10089"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tblPrEx>
          <w:tblCellMar>
            <w:top w:w="15" w:type="dxa"/>
            <w:left w:w="15" w:type="dxa"/>
            <w:bottom w:w="15" w:type="dxa"/>
            <w:right w:w="15" w:type="dxa"/>
          </w:tblCellMar>
        </w:tblPrEx>
        <w:trPr>
          <w:tblHeader/>
        </w:trPr>
        <w:tc>
          <w:tcPr>
            <w:tcW w:w="193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68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3189"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3031"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3869"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tblPrEx>
          <w:tblCellMar>
            <w:top w:w="15" w:type="dxa"/>
            <w:left w:w="15" w:type="dxa"/>
            <w:bottom w:w="15" w:type="dxa"/>
            <w:right w:w="15" w:type="dxa"/>
          </w:tblCellMar>
        </w:tblPrEx>
        <w:trPr>
          <w:tblHeader/>
        </w:trPr>
        <w:tc>
          <w:tcPr>
            <w:tcW w:w="193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68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189"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031"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869"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c>
          <w:tcPr>
            <w:tcW w:w="461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15,135.83</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12,707.05</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2,428.78</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公共安全支出</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14,844.97</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12,707.05</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2,137.91</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2040101</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武装警察部队</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47.94</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公安</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14,797.03</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12,707.05</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2,089.97</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2040201</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12,224.42</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12,224.42</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2040202</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一般行政管理事务</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2040250</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470.56</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2040299</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其他公安支出</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2,082.05</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12.08</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2,069.97</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r>
      <w:tr>
        <w:tblPrEx>
          <w:tblCellMar>
            <w:top w:w="15" w:type="dxa"/>
            <w:left w:w="15" w:type="dxa"/>
            <w:bottom w:w="15" w:type="dxa"/>
            <w:right w:w="15" w:type="dxa"/>
          </w:tblCellMar>
        </w:tblPrEx>
        <w:tc>
          <w:tcPr>
            <w:tcW w:w="193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2079999</w:t>
            </w:r>
          </w:p>
        </w:tc>
        <w:tc>
          <w:tcPr>
            <w:tcW w:w="2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其他文化旅游体育与传媒支出</w:t>
            </w:r>
          </w:p>
        </w:tc>
        <w:tc>
          <w:tcPr>
            <w:tcW w:w="318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c>
          <w:tcPr>
            <w:tcW w:w="303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86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290.87</w:t>
            </w:r>
          </w:p>
        </w:tc>
      </w:tr>
    </w:tbl>
    <w:p/>
    <w:p>
      <w:pPr>
        <w:pStyle w:val="2"/>
        <w:sectPr>
          <w:pgSz w:w="16383" w:h="11906" w:orient="landscape"/>
          <w:pgMar w:top="1440" w:right="720" w:bottom="1440" w:left="72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注：本表反映部门本年度一般公共预算财政拨款支出情况。</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六、一般公共预算财政拨款基本支出决算表</w:t>
      </w:r>
    </w:p>
    <w:p>
      <w:pPr>
        <w:sectPr>
          <w:pgSz w:w="16383" w:h="11906" w:orient="landscape"/>
          <w:pgMar w:top="1440" w:right="720" w:bottom="1440" w:left="72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8"/>
        <w:tblW w:w="14234" w:type="dxa"/>
        <w:tblInd w:w="0" w:type="dxa"/>
        <w:tblLayout w:type="fixed"/>
        <w:tblCellMar>
          <w:top w:w="15" w:type="dxa"/>
          <w:left w:w="15" w:type="dxa"/>
          <w:bottom w:w="15" w:type="dxa"/>
          <w:right w:w="15" w:type="dxa"/>
        </w:tblCellMar>
      </w:tblPr>
      <w:tblGrid>
        <w:gridCol w:w="849"/>
        <w:gridCol w:w="1715"/>
        <w:gridCol w:w="1080"/>
        <w:gridCol w:w="1620"/>
        <w:gridCol w:w="1875"/>
        <w:gridCol w:w="1680"/>
        <w:gridCol w:w="1710"/>
        <w:gridCol w:w="2445"/>
        <w:gridCol w:w="1260"/>
      </w:tblGrid>
      <w:tr>
        <w:tblPrEx>
          <w:tblCellMar>
            <w:top w:w="15" w:type="dxa"/>
            <w:left w:w="15" w:type="dxa"/>
            <w:bottom w:w="15" w:type="dxa"/>
            <w:right w:w="15" w:type="dxa"/>
          </w:tblCellMar>
        </w:tblPrEx>
        <w:trPr>
          <w:tblHeader/>
        </w:trPr>
        <w:tc>
          <w:tcPr>
            <w:tcW w:w="14234" w:type="dxa"/>
            <w:gridSpan w:val="9"/>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一般公共预算财政拨款基本支出决算表</w:t>
            </w:r>
          </w:p>
        </w:tc>
      </w:tr>
      <w:tr>
        <w:tblPrEx>
          <w:tblCellMar>
            <w:top w:w="15" w:type="dxa"/>
            <w:left w:w="15" w:type="dxa"/>
            <w:bottom w:w="15" w:type="dxa"/>
            <w:right w:w="15" w:type="dxa"/>
          </w:tblCellMar>
        </w:tblPrEx>
        <w:trPr>
          <w:tblHeader/>
        </w:trPr>
        <w:tc>
          <w:tcPr>
            <w:tcW w:w="5264"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7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6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公开06表</w:t>
            </w:r>
          </w:p>
        </w:tc>
      </w:tr>
      <w:tr>
        <w:tblPrEx>
          <w:tblCellMar>
            <w:top w:w="15" w:type="dxa"/>
            <w:left w:w="15" w:type="dxa"/>
            <w:bottom w:w="15" w:type="dxa"/>
            <w:right w:w="15" w:type="dxa"/>
          </w:tblCellMar>
        </w:tblPrEx>
        <w:trPr>
          <w:tblHeader/>
        </w:trPr>
        <w:tc>
          <w:tcPr>
            <w:tcW w:w="5264"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187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44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26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849"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171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08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162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187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68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171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44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26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r>
      <w:tr>
        <w:tblPrEx>
          <w:tblCellMar>
            <w:top w:w="15" w:type="dxa"/>
            <w:left w:w="15" w:type="dxa"/>
            <w:bottom w:w="15" w:type="dxa"/>
            <w:right w:w="15" w:type="dxa"/>
          </w:tblCellMar>
        </w:tblPrEx>
        <w:trPr>
          <w:tblHeader/>
        </w:trPr>
        <w:tc>
          <w:tcPr>
            <w:tcW w:w="849"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71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08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2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87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68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71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445"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26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工资福利支出</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10,999.84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商品和服务支出</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1,251.29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30703</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国内债务发行费用</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30101</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基本工资</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1,858.39</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30201</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47.93</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30704</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国外债务发行费用</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30102</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津贴补贴</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2,350.59</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30202</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印刷费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1.17</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资本性支出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5.13</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30103</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奖金</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2,670.49</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30203</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咨询费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31001</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房屋建筑物购建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30106</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伙食补助费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30204</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手续费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31002</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办公设备购置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2.44</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30107</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绩效工资</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30205</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0.99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31003</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专用设备购置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1.6</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30108</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909.49</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30206</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电费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1.48</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31005</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基础设施建设</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30109</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职业年金缴费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30207</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邮电费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2.7</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31006</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大型修缮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30110</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职工基本医疗保险缴费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357.04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30208</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取暖费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31007</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信息网络及软件购置更新</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30111</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公务员医疗补助缴费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310.64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30209</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物业管理费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6.23</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31008</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物资储备</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30112</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其他社会保障缴费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56.78</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30211</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差旅费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149.2</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土地补偿</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30113</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610.74</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30212</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因公出国（境）费用</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31010</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安置补助</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30114</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30213</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维修（护）费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111.19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31011</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地上附着物和青苗补偿</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30199</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其他工资福利支出</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1,875.67</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30214</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租赁费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7.47</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31012</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拆迁补偿</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对个人和家庭的补助</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450.8</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30215</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会议费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1.03</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31013</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1.08</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30301</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离休费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30216</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培训费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9.35</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其他交通工具购置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30302</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退休费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30217</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公务接待费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13.2</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31021</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文物和陈列品购置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30303</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退职（役）费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30218</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专用材料费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7.28</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31022</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无形资产购置</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30304</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抚恤金</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39.1</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30224</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被装购置费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0.06</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31099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其他资本性支出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30305</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生活补助</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372.81</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30225</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专用燃料费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0.29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对企业补助</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30306</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救济费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30226</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劳务费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29.43</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31201</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资本金注入</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30307</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医疗费补助</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12.08</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30227</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委托业务费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15.27</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31203</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政府投资基金股权投资</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30308</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助学金</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30228</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工会经费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84.73</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31204</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费用补贴</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30309</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奖励金</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30229</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福利费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9.64</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31205</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利息补贴</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30310</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个人农业生产补贴</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30231</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公务用车运行维护费</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325.98</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31299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其他对企业补助</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30311</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代缴社会保险费</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30239</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其他交通费用</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302.89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30399</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其他对个人和家庭的补助</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26.81</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30240</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税金及附加费用</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39907</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国家赔偿费用支出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30299</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其他商品和服务支出</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123.79</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39908</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对民间非营利组织和群众性自治组织补贴</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债务利息及费用支出</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经常性赠与</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30701</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国内债务付息</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39910</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资本性赠与</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84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2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30702</w:t>
            </w:r>
          </w:p>
        </w:tc>
        <w:tc>
          <w:tcPr>
            <w:tcW w:w="187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国外债务付息</w:t>
            </w:r>
          </w:p>
        </w:tc>
        <w:tc>
          <w:tcPr>
            <w:tcW w:w="16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71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39999</w:t>
            </w:r>
          </w:p>
        </w:tc>
        <w:tc>
          <w:tcPr>
            <w:tcW w:w="244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564"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人员经费合计 </w:t>
            </w:r>
          </w:p>
        </w:tc>
        <w:tc>
          <w:tcPr>
            <w:tcW w:w="108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11,450.63</w:t>
            </w:r>
          </w:p>
        </w:tc>
        <w:tc>
          <w:tcPr>
            <w:tcW w:w="933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公用经费合计</w:t>
            </w:r>
          </w:p>
        </w:tc>
        <w:tc>
          <w:tcPr>
            <w:tcW w:w="12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1,256.42</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注：本表反映部门本年度一般公共预算财政拨款基本支出明细情况。</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hint="eastAsia" w:ascii="黑体" w:hAnsi="黑体" w:eastAsia="黑体" w:cs="黑体"/>
          <w:spacing w:val="0"/>
          <w:kern w:val="0"/>
          <w:sz w:val="32"/>
          <w:szCs w:val="32"/>
          <w:lang w:eastAsia="zh-CN"/>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黑体" w:hAnsi="黑体" w:eastAsia="黑体" w:cs="黑体"/>
          <w:spacing w:val="0"/>
          <w:kern w:val="0"/>
          <w:sz w:val="32"/>
          <w:szCs w:val="32"/>
        </w:rPr>
      </w:pP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七、一般公共预算财政拨款“三公”经费支出决算表</w:t>
      </w:r>
    </w:p>
    <w:p/>
    <w:tbl>
      <w:tblPr>
        <w:tblStyle w:val="18"/>
        <w:tblW w:w="13619" w:type="dxa"/>
        <w:tblInd w:w="0" w:type="dxa"/>
        <w:tblLayout w:type="fixed"/>
        <w:tblCellMar>
          <w:top w:w="15" w:type="dxa"/>
          <w:left w:w="15" w:type="dxa"/>
          <w:bottom w:w="15" w:type="dxa"/>
          <w:right w:w="15" w:type="dxa"/>
        </w:tblCellMar>
      </w:tblPr>
      <w:tblGrid>
        <w:gridCol w:w="4724"/>
        <w:gridCol w:w="3690"/>
        <w:gridCol w:w="5205"/>
      </w:tblGrid>
      <w:tr>
        <w:tblPrEx>
          <w:tblCellMar>
            <w:top w:w="15" w:type="dxa"/>
            <w:left w:w="15" w:type="dxa"/>
            <w:bottom w:w="15" w:type="dxa"/>
            <w:right w:w="15" w:type="dxa"/>
          </w:tblCellMar>
        </w:tblPrEx>
        <w:trPr>
          <w:tblHeader/>
        </w:trPr>
        <w:tc>
          <w:tcPr>
            <w:tcW w:w="13619" w:type="dxa"/>
            <w:gridSpan w:val="3"/>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一般公共预算财政拨款“三公”经费支出决算表</w:t>
            </w:r>
          </w:p>
        </w:tc>
      </w:tr>
      <w:tr>
        <w:tblPrEx>
          <w:tblCellMar>
            <w:top w:w="15" w:type="dxa"/>
            <w:left w:w="15" w:type="dxa"/>
            <w:bottom w:w="15" w:type="dxa"/>
            <w:right w:w="15" w:type="dxa"/>
          </w:tblCellMar>
        </w:tblPrEx>
        <w:trPr>
          <w:tblHeader/>
        </w:trPr>
        <w:tc>
          <w:tcPr>
            <w:tcW w:w="8414"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0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公开07表</w:t>
            </w:r>
          </w:p>
        </w:tc>
      </w:tr>
      <w:tr>
        <w:tblPrEx>
          <w:tblCellMar>
            <w:top w:w="15" w:type="dxa"/>
            <w:left w:w="15" w:type="dxa"/>
            <w:bottom w:w="15" w:type="dxa"/>
            <w:right w:w="15" w:type="dxa"/>
          </w:tblCellMar>
        </w:tblPrEx>
        <w:trPr>
          <w:tblHeader/>
        </w:trPr>
        <w:tc>
          <w:tcPr>
            <w:tcW w:w="13619" w:type="dxa"/>
            <w:gridSpan w:val="3"/>
            <w:noWrap w:val="0"/>
            <w:tcMar>
              <w:top w:w="20" w:type="dxa"/>
              <w:left w:w="20" w:type="dxa"/>
              <w:bottom w:w="20" w:type="dxa"/>
              <w:right w:w="20"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r>
      <w:tr>
        <w:tblPrEx>
          <w:tblCellMar>
            <w:top w:w="15" w:type="dxa"/>
            <w:left w:w="15" w:type="dxa"/>
            <w:bottom w:w="15" w:type="dxa"/>
            <w:right w:w="15" w:type="dxa"/>
          </w:tblCellMar>
        </w:tblPrEx>
        <w:trPr>
          <w:tblHeader/>
        </w:trPr>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行次</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tblPrEx>
          <w:tblCellMar>
            <w:top w:w="15" w:type="dxa"/>
            <w:left w:w="15" w:type="dxa"/>
            <w:bottom w:w="15" w:type="dxa"/>
            <w:right w:w="15" w:type="dxa"/>
          </w:tblCellMar>
        </w:tblPrEx>
        <w:trPr>
          <w:trHeight w:val="381" w:hRule="atLeast"/>
        </w:trPr>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534.91</w:t>
            </w:r>
          </w:p>
        </w:tc>
      </w:tr>
      <w:tr>
        <w:tblPrEx>
          <w:tblCellMar>
            <w:top w:w="15" w:type="dxa"/>
            <w:left w:w="15" w:type="dxa"/>
            <w:bottom w:w="15" w:type="dxa"/>
            <w:right w:w="15" w:type="dxa"/>
          </w:tblCellMar>
        </w:tblPrEx>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 因公出国（境）费</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 公务用车购置及运行维护费</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521.71</w:t>
            </w:r>
          </w:p>
        </w:tc>
      </w:tr>
      <w:tr>
        <w:tblPrEx>
          <w:tblCellMar>
            <w:top w:w="15" w:type="dxa"/>
            <w:left w:w="15" w:type="dxa"/>
            <w:bottom w:w="15" w:type="dxa"/>
            <w:right w:w="15" w:type="dxa"/>
          </w:tblCellMar>
        </w:tblPrEx>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其中：（1）公务用车购置费</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189.77</w:t>
            </w:r>
          </w:p>
        </w:tc>
      </w:tr>
      <w:tr>
        <w:tblPrEx>
          <w:tblCellMar>
            <w:top w:w="15" w:type="dxa"/>
            <w:left w:w="15" w:type="dxa"/>
            <w:bottom w:w="15" w:type="dxa"/>
            <w:right w:w="15" w:type="dxa"/>
          </w:tblCellMar>
        </w:tblPrEx>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（2）公务用车运行维护费</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331.93</w:t>
            </w:r>
          </w:p>
        </w:tc>
      </w:tr>
      <w:tr>
        <w:tblPrEx>
          <w:tblCellMar>
            <w:top w:w="15" w:type="dxa"/>
            <w:left w:w="15" w:type="dxa"/>
            <w:bottom w:w="15" w:type="dxa"/>
            <w:right w:w="15" w:type="dxa"/>
          </w:tblCellMar>
        </w:tblPrEx>
        <w:tc>
          <w:tcPr>
            <w:tcW w:w="47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 公务接待费</w:t>
            </w:r>
          </w:p>
        </w:tc>
        <w:tc>
          <w:tcPr>
            <w:tcW w:w="369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c>
          <w:tcPr>
            <w:tcW w:w="520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13.2</w:t>
            </w:r>
          </w:p>
        </w:tc>
      </w:tr>
    </w:tbl>
    <w:p>
      <w:pPr>
        <w:pStyle w:val="2"/>
        <w:rPr>
          <w:b w:val="0"/>
          <w:bCs w:val="0"/>
        </w:rPr>
        <w:sectPr>
          <w:pgSz w:w="16383" w:h="11906" w:orient="landscape"/>
          <w:pgMar w:top="1440" w:right="720" w:bottom="1440" w:left="720" w:header="720" w:footer="720" w:gutter="0"/>
          <w:pgNumType w:fmt="decimal"/>
          <w:cols w:space="720" w:num="1"/>
        </w:sectPr>
      </w:pPr>
      <w:r>
        <w:rPr>
          <w:rFonts w:ascii="宋体" w:hAnsi="宋体" w:cs="宋体"/>
          <w:b w:val="0"/>
          <w:bCs w:val="0"/>
          <w:kern w:val="0"/>
          <w:sz w:val="24"/>
        </w:rPr>
        <w:t>注：本表反映部门本年度“三公”经费支出决算情况，包括当年一般公共预算财政拨款和以前年度结转资金安排的实际支</w:t>
      </w: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p>
      <w:pPr>
        <w:pStyle w:val="30"/>
        <w:widowControl/>
        <w:spacing w:before="100" w:after="100"/>
        <w:ind w:left="0" w:right="0" w:firstLine="0"/>
        <w:jc w:val="left"/>
      </w:pPr>
      <w:r>
        <w:rPr>
          <w:rFonts w:ascii="黑体" w:hAnsi="黑体" w:eastAsia="黑体" w:cs="黑体"/>
          <w:spacing w:val="0"/>
          <w:kern w:val="0"/>
          <w:sz w:val="32"/>
          <w:szCs w:val="32"/>
        </w:rPr>
        <w:t>八、政府性基金预算财政拨款收入支出决算表</w:t>
      </w:r>
    </w:p>
    <w:tbl>
      <w:tblPr>
        <w:tblStyle w:val="18"/>
        <w:tblpPr w:leftFromText="180" w:rightFromText="180" w:vertAnchor="text" w:horzAnchor="page" w:tblpX="614" w:tblpY="420"/>
        <w:tblOverlap w:val="never"/>
        <w:tblW w:w="13755" w:type="dxa"/>
        <w:tblInd w:w="0" w:type="dxa"/>
        <w:tblLayout w:type="fixed"/>
        <w:tblCellMar>
          <w:top w:w="15" w:type="dxa"/>
          <w:left w:w="15" w:type="dxa"/>
          <w:bottom w:w="15" w:type="dxa"/>
          <w:right w:w="15" w:type="dxa"/>
        </w:tblCellMar>
      </w:tblPr>
      <w:tblGrid>
        <w:gridCol w:w="610"/>
        <w:gridCol w:w="610"/>
        <w:gridCol w:w="610"/>
        <w:gridCol w:w="2324"/>
        <w:gridCol w:w="1112"/>
        <w:gridCol w:w="708"/>
        <w:gridCol w:w="439"/>
        <w:gridCol w:w="708"/>
        <w:gridCol w:w="2674"/>
        <w:gridCol w:w="3960"/>
      </w:tblGrid>
      <w:tr>
        <w:tblPrEx>
          <w:tblCellMar>
            <w:top w:w="15" w:type="dxa"/>
            <w:left w:w="15" w:type="dxa"/>
            <w:bottom w:w="15" w:type="dxa"/>
            <w:right w:w="15" w:type="dxa"/>
          </w:tblCellMar>
        </w:tblPrEx>
        <w:trPr>
          <w:tblHeader/>
        </w:trPr>
        <w:tc>
          <w:tcPr>
            <w:tcW w:w="13755" w:type="dxa"/>
            <w:gridSpan w:val="10"/>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政府性基金预算财政拨款收入支出决算表</w:t>
            </w:r>
          </w:p>
        </w:tc>
      </w:tr>
      <w:tr>
        <w:tblPrEx>
          <w:tblCellMar>
            <w:top w:w="15" w:type="dxa"/>
            <w:left w:w="15" w:type="dxa"/>
            <w:bottom w:w="15" w:type="dxa"/>
            <w:right w:w="15" w:type="dxa"/>
          </w:tblCellMar>
        </w:tblPrEx>
        <w:trPr>
          <w:tblHeader/>
        </w:trPr>
        <w:tc>
          <w:tcPr>
            <w:tcW w:w="122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61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24"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112"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96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公开08表</w:t>
            </w:r>
          </w:p>
        </w:tc>
      </w:tr>
      <w:tr>
        <w:tblPrEx>
          <w:tblCellMar>
            <w:top w:w="15" w:type="dxa"/>
            <w:left w:w="15" w:type="dxa"/>
            <w:bottom w:w="15" w:type="dxa"/>
            <w:right w:w="15" w:type="dxa"/>
          </w:tblCellMar>
        </w:tblPrEx>
        <w:trPr>
          <w:tblHeader/>
        </w:trPr>
        <w:tc>
          <w:tcPr>
            <w:tcW w:w="4154"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1112"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9"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96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4154"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1112"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708"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w:t>
            </w:r>
          </w:p>
        </w:tc>
        <w:tc>
          <w:tcPr>
            <w:tcW w:w="3821"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c>
          <w:tcPr>
            <w:tcW w:w="396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年末结转和结余</w:t>
            </w:r>
          </w:p>
        </w:tc>
      </w:tr>
      <w:tr>
        <w:tblPrEx>
          <w:tblCellMar>
            <w:top w:w="15" w:type="dxa"/>
            <w:left w:w="15" w:type="dxa"/>
            <w:bottom w:w="15" w:type="dxa"/>
            <w:right w:w="15" w:type="dxa"/>
          </w:tblCellMar>
        </w:tblPrEx>
        <w:trPr>
          <w:tblHeader/>
        </w:trPr>
        <w:tc>
          <w:tcPr>
            <w:tcW w:w="1830"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324"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1112"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708"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439"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708"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基本支出 </w:t>
            </w:r>
          </w:p>
        </w:tc>
        <w:tc>
          <w:tcPr>
            <w:tcW w:w="2674"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tcW w:w="3960"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1830" w:type="dxa"/>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324"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1112"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708"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439"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708"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674"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3960" w:type="dxa"/>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61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61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61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r>
      <w:tr>
        <w:tblPrEx>
          <w:tblCellMar>
            <w:top w:w="15" w:type="dxa"/>
            <w:left w:w="15" w:type="dxa"/>
            <w:bottom w:w="15" w:type="dxa"/>
            <w:right w:w="15" w:type="dxa"/>
          </w:tblCellMar>
        </w:tblPrEx>
        <w:trPr>
          <w:tblHeader/>
        </w:trPr>
        <w:tc>
          <w:tcPr>
            <w:tcW w:w="61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61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610" w:type="dxa"/>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rHeight w:val="90" w:hRule="atLeast"/>
        </w:trPr>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国有土地使用权出让收入安排的支出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2120804</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农村基础设施建设支出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彩票发行销售机构业务费安排的支出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183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2290808</w:t>
            </w:r>
          </w:p>
        </w:tc>
        <w:tc>
          <w:tcPr>
            <w:tcW w:w="232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彩票市场调控资金支出</w:t>
            </w:r>
          </w:p>
        </w:tc>
        <w:tc>
          <w:tcPr>
            <w:tcW w:w="1112"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439"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708"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67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w:t>
            </w:r>
          </w:p>
        </w:tc>
        <w:tc>
          <w:tcPr>
            <w:tcW w:w="396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宋体" w:hAnsi="宋体" w:cs="宋体"/>
          <w:spacing w:val="0"/>
          <w:kern w:val="0"/>
          <w:sz w:val="32"/>
          <w:szCs w:val="32"/>
        </w:rPr>
      </w:pPr>
      <w:r>
        <w:rPr>
          <w:rFonts w:ascii="Times New Roman" w:hAnsi="Times New Roman" w:eastAsia="Times New Roman" w:cs="Times New Roman"/>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ascii="Times New Roman" w:hAnsi="Times New Roman" w:eastAsia="Times New Roman" w:cs="Times New Roman"/>
          <w:kern w:val="0"/>
          <w:sz w:val="24"/>
        </w:rPr>
        <w:t>1.</w:t>
      </w:r>
      <w:r>
        <w:rPr>
          <w:rFonts w:ascii="Calibri" w:hAnsi="Calibri" w:eastAsia="Calibri" w:cs="Calibri"/>
          <w:spacing w:val="0"/>
          <w:kern w:val="0"/>
          <w:sz w:val="32"/>
          <w:szCs w:val="32"/>
        </w:rPr>
        <w:t> </w:t>
      </w:r>
      <w:r>
        <w:rPr>
          <w:rFonts w:ascii="宋体" w:hAnsi="宋体" w:cs="宋体"/>
          <w:spacing w:val="0"/>
          <w:kern w:val="0"/>
          <w:sz w:val="32"/>
          <w:szCs w:val="32"/>
        </w:rPr>
        <w:t>本表反映部门本年度政府性基金预算财政拨款收入、支出及结转和结余情况。</w:t>
      </w:r>
    </w:p>
    <w:p>
      <w:pPr>
        <w:pStyle w:val="30"/>
        <w:widowControl/>
        <w:spacing w:before="100" w:after="100"/>
        <w:ind w:left="0" w:right="0" w:firstLine="48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2. </w:t>
      </w:r>
      <w:r>
        <w:rPr>
          <w:rFonts w:ascii="宋体" w:hAnsi="宋体" w:cs="宋体"/>
          <w:spacing w:val="0"/>
          <w:kern w:val="0"/>
          <w:sz w:val="32"/>
          <w:szCs w:val="32"/>
        </w:rPr>
        <w:t>没有政府性基金拨款支出的部门请公开空表，并说明“本部门2023年度没有使用政府性基金预算拨款安排的收支”。</w:t>
      </w:r>
    </w:p>
    <w:p>
      <w:pPr>
        <w:pStyle w:val="2"/>
        <w:sectPr>
          <w:pgSz w:w="15840" w:h="12240" w:orient="landscape"/>
          <w:pgMar w:top="720" w:right="1440" w:bottom="720" w:left="1440" w:header="720" w:footer="720" w:gutter="0"/>
          <w:pgNumType w:fmt="decimal"/>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p>
      <w:pPr>
        <w:pStyle w:val="30"/>
        <w:widowControl/>
        <w:spacing w:before="100" w:after="100"/>
        <w:ind w:left="0" w:right="0" w:firstLine="480"/>
        <w:jc w:val="left"/>
        <w:rPr>
          <w:rFonts w:ascii="Times New Roman" w:hAnsi="Times New Roman" w:eastAsia="Times New Roman" w:cs="Times New Roman"/>
          <w:kern w:val="0"/>
          <w:sz w:val="24"/>
        </w:rPr>
      </w:pP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九、国有资本经营预算财政拨款支出决算表</w:t>
      </w:r>
    </w:p>
    <w:p/>
    <w:tbl>
      <w:tblPr>
        <w:tblStyle w:val="18"/>
        <w:tblpPr w:leftFromText="180" w:rightFromText="180" w:vertAnchor="text" w:tblpXSpec="left" w:tblpY="1"/>
        <w:tblOverlap w:val="never"/>
        <w:tblW w:w="12209" w:type="dxa"/>
        <w:tblInd w:w="0" w:type="dxa"/>
        <w:tblLayout w:type="fixed"/>
        <w:tblCellMar>
          <w:top w:w="15" w:type="dxa"/>
          <w:left w:w="15" w:type="dxa"/>
          <w:bottom w:w="15" w:type="dxa"/>
          <w:right w:w="15" w:type="dxa"/>
        </w:tblCellMar>
      </w:tblPr>
      <w:tblGrid>
        <w:gridCol w:w="2286"/>
        <w:gridCol w:w="2363"/>
        <w:gridCol w:w="2234"/>
        <w:gridCol w:w="2311"/>
        <w:gridCol w:w="3015"/>
      </w:tblGrid>
      <w:tr>
        <w:tblPrEx>
          <w:tblCellMar>
            <w:top w:w="15" w:type="dxa"/>
            <w:left w:w="15" w:type="dxa"/>
            <w:bottom w:w="15" w:type="dxa"/>
            <w:right w:w="15" w:type="dxa"/>
          </w:tblCellMar>
        </w:tblPrEx>
        <w:trPr>
          <w:trHeight w:val="0" w:hRule="atLeast"/>
          <w:tblHeader/>
        </w:trPr>
        <w:tc>
          <w:tcPr>
            <w:tcW w:w="12209" w:type="dxa"/>
            <w:gridSpan w:val="5"/>
            <w:noWrap w:val="0"/>
            <w:tcMar>
              <w:top w:w="20" w:type="dxa"/>
              <w:left w:w="20" w:type="dxa"/>
              <w:bottom w:w="20" w:type="dxa"/>
              <w:right w:w="20" w:type="dxa"/>
            </w:tcMar>
            <w:vAlign w:val="top"/>
          </w:tcPr>
          <w:p>
            <w:pPr>
              <w:widowControl/>
              <w:spacing w:line="900" w:lineRule="atLeast"/>
              <w:ind w:firstLine="1350" w:firstLineChars="500"/>
              <w:jc w:val="left"/>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国有资本经营预算财政拨款支出决算表</w:t>
            </w:r>
          </w:p>
        </w:tc>
      </w:tr>
      <w:tr>
        <w:tblPrEx>
          <w:tblCellMar>
            <w:top w:w="15" w:type="dxa"/>
            <w:left w:w="15" w:type="dxa"/>
            <w:bottom w:w="15" w:type="dxa"/>
            <w:right w:w="15" w:type="dxa"/>
          </w:tblCellMar>
        </w:tblPrEx>
        <w:trPr>
          <w:trHeight w:val="0" w:hRule="atLeast"/>
          <w:tblHeader/>
        </w:trPr>
        <w:tc>
          <w:tcPr>
            <w:tcW w:w="4649"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234"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11"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公开09表</w:t>
            </w:r>
          </w:p>
        </w:tc>
      </w:tr>
      <w:tr>
        <w:tblPrEx>
          <w:tblCellMar>
            <w:top w:w="15" w:type="dxa"/>
            <w:left w:w="15" w:type="dxa"/>
            <w:bottom w:w="15" w:type="dxa"/>
            <w:right w:w="15" w:type="dxa"/>
          </w:tblCellMar>
        </w:tblPrEx>
        <w:trPr>
          <w:trHeight w:val="0" w:hRule="atLeast"/>
          <w:tblHeader/>
        </w:trPr>
        <w:tc>
          <w:tcPr>
            <w:tcW w:w="9194"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编制单位：上杭县公安局（汇总）</w:t>
            </w:r>
          </w:p>
        </w:tc>
        <w:tc>
          <w:tcPr>
            <w:tcW w:w="301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rHeight w:val="0" w:hRule="atLeast"/>
          <w:tblHeader/>
        </w:trPr>
        <w:tc>
          <w:tcPr>
            <w:tcW w:w="4649"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 目</w:t>
            </w:r>
          </w:p>
        </w:tc>
        <w:tc>
          <w:tcPr>
            <w:tcW w:w="756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tblPrEx>
          <w:tblCellMar>
            <w:top w:w="15" w:type="dxa"/>
            <w:left w:w="15" w:type="dxa"/>
            <w:bottom w:w="15" w:type="dxa"/>
            <w:right w:w="15" w:type="dxa"/>
          </w:tblCellMar>
        </w:tblPrEx>
        <w:trPr>
          <w:trHeight w:val="312" w:hRule="atLeast"/>
          <w:tblHeader/>
        </w:trPr>
        <w:tc>
          <w:tcPr>
            <w:tcW w:w="2286"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363"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234"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311"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301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tblPrEx>
          <w:tblCellMar>
            <w:top w:w="15" w:type="dxa"/>
            <w:left w:w="15" w:type="dxa"/>
            <w:bottom w:w="15" w:type="dxa"/>
            <w:right w:w="15" w:type="dxa"/>
          </w:tblCellMar>
        </w:tblPrEx>
        <w:trPr>
          <w:trHeight w:val="312" w:hRule="atLeast"/>
          <w:tblHeader/>
        </w:trPr>
        <w:tc>
          <w:tcPr>
            <w:tcW w:w="2286"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363"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234"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311"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3015"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rHeight w:val="312" w:hRule="atLeast"/>
          <w:tblHeader/>
        </w:trPr>
        <w:tc>
          <w:tcPr>
            <w:tcW w:w="2286"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363"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234"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2311"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c>
          <w:tcPr>
            <w:tcW w:w="3015" w:type="dxa"/>
            <w:vMerge w:val="continue"/>
            <w:tcBorders>
              <w:top w:val="single" w:color="000000" w:sz="6" w:space="0"/>
              <w:left w:val="single" w:color="000000" w:sz="6" w:space="0"/>
              <w:bottom w:val="single" w:color="000000" w:sz="6" w:space="0"/>
              <w:right w:val="single" w:color="000000" w:sz="6" w:space="0"/>
            </w:tcBorders>
            <w:vAlign w:val="top"/>
          </w:tcPr>
          <w:p>
            <w:pPr>
              <w:jc w:val="left"/>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rHeight w:val="0" w:hRule="atLeast"/>
        </w:trPr>
        <w:tc>
          <w:tcPr>
            <w:tcW w:w="4649"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23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31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30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rPr>
          <w:trHeight w:val="0" w:hRule="atLeast"/>
        </w:trPr>
        <w:tc>
          <w:tcPr>
            <w:tcW w:w="4649"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23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1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rHeight w:val="0" w:hRule="atLeast"/>
        </w:trPr>
        <w:tc>
          <w:tcPr>
            <w:tcW w:w="2286"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63"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234"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311"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1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top"/>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Calibri" w:hAnsi="Calibri" w:eastAsia="Calibri" w:cs="Calibri"/>
          <w:spacing w:val="0"/>
          <w:kern w:val="0"/>
          <w:szCs w:val="21"/>
        </w:rPr>
      </w:pPr>
      <w:r>
        <w:rPr>
          <w:rFonts w:ascii="Calibri" w:hAnsi="Calibri" w:eastAsia="Calibri" w:cs="Calibri"/>
          <w:spacing w:val="0"/>
          <w:kern w:val="0"/>
          <w:szCs w:val="21"/>
        </w:rPr>
        <w:t> </w:t>
      </w: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ascii="宋体" w:hAnsi="宋体" w:cs="宋体"/>
          <w:kern w:val="0"/>
          <w:sz w:val="24"/>
        </w:rPr>
      </w:pPr>
    </w:p>
    <w:p>
      <w:pPr>
        <w:pStyle w:val="30"/>
        <w:widowControl/>
        <w:spacing w:before="240" w:after="240"/>
        <w:jc w:val="left"/>
        <w:rPr>
          <w:rFonts w:hint="eastAsia" w:ascii="宋体" w:hAnsi="宋体" w:cs="宋体"/>
          <w:kern w:val="0"/>
          <w:sz w:val="24"/>
          <w:lang w:eastAsia="zh-CN"/>
        </w:rPr>
      </w:pPr>
      <w:r>
        <w:rPr>
          <w:rFonts w:ascii="宋体" w:hAnsi="宋体" w:cs="宋体"/>
          <w:kern w:val="0"/>
          <w:sz w:val="24"/>
        </w:rPr>
        <w:t>注：1.本表反映部门本年度国有资本经营预算财政拨款支出情况</w:t>
      </w:r>
      <w:r>
        <w:rPr>
          <w:rFonts w:hint="eastAsia" w:ascii="宋体" w:hAnsi="宋体" w:cs="宋体"/>
          <w:kern w:val="0"/>
          <w:sz w:val="24"/>
          <w:lang w:eastAsia="zh-CN"/>
        </w:rPr>
        <w:t>。</w:t>
      </w:r>
    </w:p>
    <w:p>
      <w:pPr>
        <w:pStyle w:val="30"/>
        <w:widowControl/>
        <w:spacing w:before="240" w:after="240"/>
        <w:jc w:val="left"/>
        <w:rPr>
          <w:rFonts w:hint="eastAsia" w:ascii="宋体" w:hAnsi="宋体" w:cs="宋体"/>
          <w:kern w:val="0"/>
          <w:sz w:val="24"/>
          <w:lang w:eastAsia="zh-CN"/>
        </w:rPr>
        <w:sectPr>
          <w:pgSz w:w="16383" w:h="11906" w:orient="landscape"/>
          <w:pgMar w:top="1440" w:right="1800" w:bottom="1440" w:left="1800" w:header="720" w:footer="720" w:gutter="0"/>
          <w:pgNumType w:fmt="decimal"/>
          <w:cols w:space="720" w:num="1"/>
        </w:sectPr>
      </w:pPr>
      <w:r>
        <w:rPr>
          <w:rFonts w:ascii="宋体" w:hAnsi="宋体" w:cs="宋体"/>
          <w:kern w:val="0"/>
          <w:sz w:val="24"/>
        </w:rPr>
        <w:t> </w:t>
      </w:r>
      <w:r>
        <w:rPr>
          <w:rFonts w:hint="eastAsia" w:ascii="宋体" w:hAnsi="宋体" w:cs="宋体"/>
          <w:kern w:val="0"/>
          <w:sz w:val="24"/>
          <w:lang w:val="en-US" w:eastAsia="zh-CN"/>
        </w:rPr>
        <w:t xml:space="preserve">  </w:t>
      </w:r>
      <w:r>
        <w:rPr>
          <w:rFonts w:ascii="宋体" w:hAnsi="宋体" w:cs="宋体"/>
          <w:kern w:val="0"/>
          <w:sz w:val="24"/>
        </w:rPr>
        <w:t>2.没有国有资本经营预算财政拨款支出的部门请公开空表，并说明“本部门2023年度没有使用国有资本经营预算财政拨款安排的支出”</w:t>
      </w: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p>
      <w:pPr>
        <w:widowControl/>
        <w:jc w:val="left"/>
        <w:rPr>
          <w:rFonts w:ascii="Calibri" w:hAnsi="Calibri" w:eastAsia="Calibri" w:cs="Calibri"/>
          <w:spacing w:val="0"/>
          <w:kern w:val="0"/>
          <w:szCs w:val="21"/>
        </w:rPr>
      </w:pPr>
      <w:r>
        <w:rPr>
          <w:rFonts w:ascii="Calibri" w:hAnsi="Calibri" w:eastAsia="Calibri" w:cs="Calibri"/>
          <w:spacing w:val="0"/>
          <w:kern w:val="0"/>
          <w:szCs w:val="21"/>
        </w:rPr>
        <w:t> </w:t>
      </w:r>
    </w:p>
    <w:p>
      <w:pPr>
        <w:pStyle w:val="32"/>
        <w:widowControl/>
        <w:spacing w:before="240" w:after="240"/>
        <w:jc w:val="left"/>
        <w:rPr>
          <w:rFonts w:ascii="Times New Roman" w:hAnsi="Times New Roman" w:eastAsia="Times New Roman" w:cs="Times New Roman"/>
          <w:kern w:val="0"/>
          <w:sz w:val="24"/>
        </w:rPr>
      </w:pPr>
    </w:p>
    <w:p>
      <w:pPr>
        <w:pStyle w:val="29"/>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第三部分</w:t>
      </w:r>
      <w:r>
        <w:rPr>
          <w:rFonts w:ascii="宋体" w:hAnsi="宋体" w:cs="宋体"/>
          <w:spacing w:val="0"/>
          <w:kern w:val="0"/>
          <w:sz w:val="56"/>
          <w:szCs w:val="56"/>
        </w:rPr>
        <w:t> </w:t>
      </w:r>
    </w:p>
    <w:p>
      <w:pPr>
        <w:pStyle w:val="30"/>
        <w:widowControl/>
        <w:spacing w:before="100" w:after="100" w:line="600" w:lineRule="atLeast"/>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2023年度部门决算情况说明</w:t>
      </w:r>
    </w:p>
    <w:p>
      <w:pPr>
        <w:pStyle w:val="30"/>
        <w:widowControl/>
        <w:spacing w:before="100" w:after="100" w:line="600" w:lineRule="atLeast"/>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一、收入支出决算总体情况说明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（一）收入支出决算总体情况说明</w:t>
      </w:r>
    </w:p>
    <w:p>
      <w:pPr>
        <w:tabs>
          <w:tab w:val="left" w:pos="7513"/>
        </w:tabs>
        <w:adjustRightInd w:val="0"/>
        <w:snapToGrid w:val="0"/>
        <w:spacing w:line="600" w:lineRule="exact"/>
        <w:ind w:firstLine="640" w:firstLineChars="200"/>
        <w:rPr>
          <w:rFonts w:ascii="仿宋" w:hAnsi="仿宋" w:eastAsia="仿宋" w:cs="仿宋_GB2312"/>
          <w:sz w:val="32"/>
          <w:szCs w:val="32"/>
          <w:highlight w:val="none"/>
        </w:rPr>
      </w:pPr>
      <w:r>
        <w:rPr>
          <w:rFonts w:ascii="仿宋" w:hAnsi="仿宋" w:eastAsia="仿宋" w:cs="仿宋"/>
          <w:spacing w:val="0"/>
          <w:kern w:val="0"/>
          <w:sz w:val="32"/>
          <w:szCs w:val="32"/>
        </w:rPr>
        <w:t>2023年度本部门收入总计17,250.49万元，支出总计17,250.49万元，与上年决算数相比，各增加-3,011.57万元，增长（下降）-14.86%。</w:t>
      </w:r>
      <w:r>
        <w:rPr>
          <w:rFonts w:hint="eastAsia" w:ascii="仿宋" w:hAnsi="仿宋" w:eastAsia="仿宋" w:cs="仿宋_GB2312"/>
          <w:sz w:val="32"/>
          <w:szCs w:val="32"/>
          <w:highlight w:val="none"/>
        </w:rPr>
        <w:t>主要是</w:t>
      </w:r>
      <w:r>
        <w:rPr>
          <w:rFonts w:hint="eastAsia" w:ascii="仿宋" w:hAnsi="仿宋" w:eastAsia="仿宋" w:cs="仿宋_GB2312"/>
          <w:sz w:val="32"/>
          <w:szCs w:val="32"/>
          <w:highlight w:val="none"/>
          <w:lang w:eastAsia="zh-CN"/>
        </w:rPr>
        <w:t>：一是</w:t>
      </w:r>
      <w:r>
        <w:rPr>
          <w:rFonts w:hint="eastAsia" w:ascii="仿宋" w:hAnsi="仿宋" w:eastAsia="仿宋" w:cs="仿宋_GB2312"/>
          <w:sz w:val="32"/>
          <w:szCs w:val="32"/>
          <w:highlight w:val="none"/>
          <w:lang w:val="en-US" w:eastAsia="zh-CN"/>
        </w:rPr>
        <w:t>本年度人员及工资组成减少，工资福利收入较上年有所减少；二是本年度开源节流，公用经费支出减少。</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（二）收入决算情况说明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2023年度收入15,730.96万元，比上年决算数减少2,233.05万元，下降-12.43％，具体情况如下：</w:t>
      </w:r>
    </w:p>
    <w:p>
      <w:pPr>
        <w:pStyle w:val="30"/>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1.一般公共预算财政拨款收入15,040.18万元。</w:t>
      </w:r>
    </w:p>
    <w:p>
      <w:pPr>
        <w:pStyle w:val="30"/>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2.政府性基金预算财政拨款收入17.00万元。</w:t>
      </w:r>
    </w:p>
    <w:p>
      <w:pPr>
        <w:pStyle w:val="30"/>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3.国有资本经营预算财政拨款收入0.00万元。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4.上级补助收入0.00万元。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5.事业收入0.00万元。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6.经营收入0.00万元。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7.附属单位上缴收入0.00万元。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8.其他收入673.77万元。</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（三）支出决算情况说明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2023年度支出15,501.61万元，比上年决算数减少3,330.75万元，下降17.69％，具体情况如下：</w:t>
      </w:r>
    </w:p>
    <w:p>
      <w:pPr>
        <w:pStyle w:val="30"/>
        <w:widowControl/>
        <w:spacing w:before="100" w:after="100" w:line="600" w:lineRule="atLeast"/>
        <w:ind w:left="237"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1.基本支出13,055.83万元。其中，人员支出11,576.25万元，公用支出1,479.58万元。</w:t>
      </w:r>
    </w:p>
    <w:p>
      <w:pPr>
        <w:pStyle w:val="30"/>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2.项目支出2,445.78万元。</w:t>
      </w:r>
    </w:p>
    <w:p>
      <w:pPr>
        <w:pStyle w:val="30"/>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3.上缴上级支出0.00万元。</w:t>
      </w:r>
    </w:p>
    <w:p>
      <w:pPr>
        <w:pStyle w:val="30"/>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4.经营支出0.00万元。</w:t>
      </w:r>
    </w:p>
    <w:p>
      <w:pPr>
        <w:pStyle w:val="30"/>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5.对附属单位补助支出0.00万元。</w:t>
      </w:r>
    </w:p>
    <w:p>
      <w:pPr>
        <w:pStyle w:val="30"/>
        <w:widowControl/>
        <w:spacing w:before="100" w:after="100"/>
        <w:ind w:left="0" w:right="0" w:firstLine="480"/>
        <w:jc w:val="left"/>
        <w:rPr>
          <w:rFonts w:ascii="Times New Roman" w:hAnsi="Times New Roman" w:eastAsia="Times New Roman" w:cs="Times New Roman"/>
          <w:kern w:val="0"/>
          <w:sz w:val="24"/>
        </w:rPr>
      </w:pPr>
      <w:r>
        <w:rPr>
          <w:rFonts w:ascii="黑体" w:hAnsi="黑体" w:eastAsia="黑体" w:cs="黑体"/>
          <w:spacing w:val="0"/>
          <w:kern w:val="0"/>
          <w:sz w:val="32"/>
          <w:szCs w:val="32"/>
        </w:rPr>
        <w:t>二、财政拨款收入支出决算总体情况说明</w:t>
      </w:r>
    </w:p>
    <w:p>
      <w:pPr>
        <w:pStyle w:val="30"/>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2023年度财政拨款收入总计15,152.83万元，支出总计15,152.83万元，与上年决算数相比，各减少2,329.24万元，下降-13.32%，主要是：</w:t>
      </w:r>
      <w:r>
        <w:rPr>
          <w:rFonts w:hint="eastAsia" w:ascii="仿宋" w:hAnsi="仿宋" w:eastAsia="仿宋"/>
          <w:color w:val="auto"/>
          <w:sz w:val="32"/>
          <w:szCs w:val="32"/>
          <w:highlight w:val="none"/>
          <w:lang w:val="en-US" w:eastAsia="zh-CN"/>
        </w:rPr>
        <w:t>非税收入较上年减少，财政拨款支出也相应的减少</w:t>
      </w:r>
      <w:r>
        <w:rPr>
          <w:rFonts w:ascii="仿宋" w:hAnsi="仿宋" w:eastAsia="仿宋" w:cs="仿宋"/>
          <w:color w:val="auto"/>
          <w:spacing w:val="0"/>
          <w:kern w:val="0"/>
          <w:sz w:val="32"/>
          <w:szCs w:val="32"/>
          <w:highlight w:val="none"/>
        </w:rPr>
        <w:t>。</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三、一般公共预算财政拨款支出决算情况说明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2023年一般公共预算支出15,135.83万元，比上年决算数减少2,346.24万元，下降13.42%，具体情况如下(按项级科目分类统计)：</w:t>
      </w:r>
    </w:p>
    <w:p>
      <w:pPr>
        <w:pStyle w:val="30"/>
        <w:widowControl/>
        <w:numPr>
          <w:ilvl w:val="0"/>
          <w:numId w:val="2"/>
        </w:numPr>
        <w:spacing w:before="100" w:after="100" w:line="600" w:lineRule="atLeast"/>
        <w:ind w:left="0" w:right="0" w:firstLine="640"/>
        <w:jc w:val="left"/>
        <w:rPr>
          <w:rFonts w:ascii="仿宋" w:hAnsi="仿宋" w:eastAsia="仿宋"/>
          <w:sz w:val="32"/>
          <w:u w:val="none" w:color="auto"/>
        </w:rPr>
      </w:pPr>
      <w:r>
        <w:rPr>
          <w:rFonts w:ascii="仿宋" w:hAnsi="仿宋" w:eastAsia="仿宋"/>
          <w:sz w:val="32"/>
          <w:u w:val="none" w:color="auto"/>
        </w:rPr>
        <w:t>2040201-行政运行</w:t>
      </w:r>
      <w:r>
        <w:rPr>
          <w:rFonts w:hint="eastAsia" w:ascii="仿宋" w:hAnsi="仿宋" w:eastAsia="仿宋"/>
          <w:sz w:val="32"/>
          <w:u w:val="none" w:color="auto"/>
        </w:rPr>
        <w:t>12224.42</w:t>
      </w:r>
      <w:r>
        <w:rPr>
          <w:rFonts w:ascii="仿宋" w:hAnsi="仿宋" w:eastAsia="仿宋"/>
          <w:sz w:val="32"/>
          <w:u w:val="none" w:color="auto"/>
        </w:rPr>
        <w:t>万元，较上年决算数</w:t>
      </w:r>
      <w:r>
        <w:rPr>
          <w:rFonts w:hint="eastAsia" w:ascii="仿宋" w:hAnsi="仿宋" w:eastAsia="仿宋"/>
          <w:sz w:val="32"/>
          <w:u w:val="none" w:color="auto"/>
          <w:lang w:val="en-US" w:eastAsia="zh-CN"/>
        </w:rPr>
        <w:t>减少1384.39</w:t>
      </w:r>
      <w:r>
        <w:rPr>
          <w:rFonts w:ascii="仿宋" w:hAnsi="仿宋" w:eastAsia="仿宋"/>
          <w:sz w:val="32"/>
          <w:u w:val="none" w:color="auto"/>
        </w:rPr>
        <w:t xml:space="preserve"> 万元，</w:t>
      </w:r>
      <w:r>
        <w:rPr>
          <w:rFonts w:hint="eastAsia" w:ascii="仿宋" w:hAnsi="仿宋" w:eastAsia="仿宋"/>
          <w:sz w:val="32"/>
          <w:u w:val="none" w:color="auto"/>
          <w:lang w:eastAsia="zh-CN"/>
        </w:rPr>
        <w:t>下降</w:t>
      </w:r>
      <w:r>
        <w:rPr>
          <w:rFonts w:hint="eastAsia" w:ascii="仿宋" w:hAnsi="仿宋" w:eastAsia="仿宋"/>
          <w:sz w:val="32"/>
          <w:u w:val="none" w:color="auto"/>
          <w:lang w:val="en-US" w:eastAsia="zh-CN"/>
        </w:rPr>
        <w:t>10.17</w:t>
      </w:r>
      <w:r>
        <w:rPr>
          <w:rFonts w:ascii="仿宋" w:hAnsi="仿宋" w:eastAsia="仿宋"/>
          <w:sz w:val="32"/>
          <w:u w:val="none" w:color="auto"/>
        </w:rPr>
        <w:t>%。主要原因：</w:t>
      </w:r>
      <w:r>
        <w:rPr>
          <w:rFonts w:hint="eastAsia" w:ascii="仿宋" w:hAnsi="仿宋" w:eastAsia="仿宋"/>
          <w:sz w:val="32"/>
          <w:u w:val="none" w:color="auto"/>
          <w:lang w:val="en-US" w:eastAsia="zh-CN"/>
        </w:rPr>
        <w:t>本年度</w:t>
      </w:r>
      <w:r>
        <w:rPr>
          <w:rFonts w:hint="eastAsia" w:ascii="仿宋" w:hAnsi="仿宋" w:eastAsia="仿宋"/>
          <w:sz w:val="32"/>
          <w:szCs w:val="32"/>
          <w:highlight w:val="none"/>
          <w:lang w:val="en-US" w:eastAsia="zh-CN"/>
        </w:rPr>
        <w:t>非税收入较上年减少，对应支出也相应的减少</w:t>
      </w:r>
      <w:r>
        <w:rPr>
          <w:rFonts w:ascii="仿宋" w:hAnsi="仿宋" w:eastAsia="仿宋"/>
          <w:sz w:val="32"/>
          <w:u w:val="none" w:color="auto"/>
        </w:rPr>
        <w:t>。</w:t>
      </w:r>
      <w:r>
        <w:rPr>
          <w:rFonts w:ascii="仿宋" w:hAnsi="仿宋" w:eastAsia="仿宋"/>
          <w:sz w:val="32"/>
          <w:u w:val="none" w:color="auto"/>
        </w:rPr>
        <w:cr/>
      </w:r>
      <w:r>
        <w:rPr>
          <w:rFonts w:ascii="仿宋" w:hAnsi="仿宋" w:eastAsia="仿宋"/>
          <w:sz w:val="32"/>
          <w:u w:val="none" w:color="auto"/>
        </w:rPr>
        <w:t>（二) 2040202-一般行政管理事务</w:t>
      </w:r>
      <w:r>
        <w:rPr>
          <w:rFonts w:hint="eastAsia" w:ascii="仿宋" w:hAnsi="仿宋" w:eastAsia="仿宋"/>
          <w:sz w:val="32"/>
          <w:u w:val="none" w:color="auto"/>
          <w:lang w:val="en-US" w:eastAsia="zh-CN"/>
        </w:rPr>
        <w:t>20</w:t>
      </w:r>
      <w:r>
        <w:rPr>
          <w:rFonts w:ascii="仿宋" w:hAnsi="仿宋" w:eastAsia="仿宋"/>
          <w:sz w:val="32"/>
          <w:u w:val="none" w:color="auto"/>
        </w:rPr>
        <w:t>万元，较上年决算数</w:t>
      </w:r>
      <w:r>
        <w:rPr>
          <w:rFonts w:hint="eastAsia" w:ascii="仿宋" w:hAnsi="仿宋" w:eastAsia="仿宋"/>
          <w:sz w:val="32"/>
          <w:u w:val="none" w:color="auto"/>
          <w:lang w:eastAsia="zh-CN"/>
        </w:rPr>
        <w:t>减少</w:t>
      </w:r>
      <w:r>
        <w:rPr>
          <w:rFonts w:hint="eastAsia" w:ascii="仿宋" w:hAnsi="仿宋" w:eastAsia="仿宋"/>
          <w:sz w:val="32"/>
          <w:u w:val="none" w:color="auto"/>
          <w:lang w:val="en-US" w:eastAsia="zh-CN"/>
        </w:rPr>
        <w:t>298</w:t>
      </w:r>
      <w:r>
        <w:rPr>
          <w:rFonts w:ascii="仿宋" w:hAnsi="仿宋" w:eastAsia="仿宋"/>
          <w:sz w:val="32"/>
          <w:u w:val="none" w:color="auto"/>
        </w:rPr>
        <w:t>万元，</w:t>
      </w:r>
      <w:r>
        <w:rPr>
          <w:rFonts w:hint="eastAsia" w:ascii="仿宋" w:hAnsi="仿宋" w:eastAsia="仿宋"/>
          <w:sz w:val="32"/>
          <w:u w:val="none" w:color="auto"/>
          <w:lang w:eastAsia="zh-CN"/>
        </w:rPr>
        <w:t>下降</w:t>
      </w:r>
      <w:r>
        <w:rPr>
          <w:rFonts w:hint="eastAsia" w:ascii="仿宋" w:hAnsi="仿宋" w:eastAsia="仿宋"/>
          <w:sz w:val="32"/>
          <w:u w:val="none" w:color="auto"/>
          <w:lang w:val="en-US" w:eastAsia="zh-CN"/>
        </w:rPr>
        <w:t>93.71</w:t>
      </w:r>
      <w:r>
        <w:rPr>
          <w:rFonts w:ascii="仿宋" w:hAnsi="仿宋" w:eastAsia="仿宋"/>
          <w:sz w:val="32"/>
          <w:u w:val="none" w:color="auto"/>
        </w:rPr>
        <w:t>%。主要原因</w:t>
      </w:r>
      <w:r>
        <w:rPr>
          <w:rFonts w:hint="eastAsia" w:ascii="仿宋" w:hAnsi="仿宋" w:eastAsia="仿宋"/>
          <w:sz w:val="32"/>
          <w:u w:val="none" w:color="auto"/>
          <w:lang w:val="en-US" w:eastAsia="zh-CN"/>
        </w:rPr>
        <w:t>此科目费用为向上争取资金，本年度减少该项科目资金收入，支出对应减少</w:t>
      </w:r>
      <w:r>
        <w:rPr>
          <w:rFonts w:ascii="仿宋" w:hAnsi="仿宋" w:eastAsia="仿宋"/>
          <w:sz w:val="32"/>
          <w:u w:val="none" w:color="auto"/>
        </w:rPr>
        <w:t>。</w:t>
      </w:r>
      <w:r>
        <w:rPr>
          <w:rFonts w:ascii="仿宋" w:hAnsi="仿宋" w:eastAsia="仿宋"/>
          <w:sz w:val="32"/>
          <w:u w:val="none" w:color="auto"/>
        </w:rPr>
        <w:cr/>
      </w:r>
      <w:r>
        <w:rPr>
          <w:rFonts w:ascii="仿宋" w:hAnsi="仿宋" w:eastAsia="仿宋"/>
          <w:sz w:val="32"/>
          <w:u w:val="none" w:color="auto"/>
        </w:rPr>
        <w:t xml:space="preserve">（三) 2040250-事业运行 </w:t>
      </w:r>
      <w:r>
        <w:rPr>
          <w:rFonts w:hint="eastAsia" w:ascii="仿宋" w:hAnsi="仿宋" w:eastAsia="仿宋"/>
          <w:sz w:val="32"/>
          <w:u w:val="none" w:color="auto"/>
          <w:lang w:val="en-US" w:eastAsia="zh-CN"/>
        </w:rPr>
        <w:t>470.56</w:t>
      </w:r>
      <w:r>
        <w:rPr>
          <w:rFonts w:ascii="仿宋" w:hAnsi="仿宋" w:eastAsia="仿宋"/>
          <w:sz w:val="32"/>
          <w:u w:val="none" w:color="auto"/>
        </w:rPr>
        <w:t>万元，较上年决算数增加</w:t>
      </w:r>
      <w:r>
        <w:rPr>
          <w:rFonts w:hint="eastAsia" w:ascii="仿宋" w:hAnsi="仿宋" w:eastAsia="仿宋"/>
          <w:sz w:val="32"/>
          <w:u w:val="none" w:color="auto"/>
          <w:lang w:val="en-US" w:eastAsia="zh-CN"/>
        </w:rPr>
        <w:t>17.81</w:t>
      </w:r>
      <w:r>
        <w:rPr>
          <w:rFonts w:ascii="仿宋" w:hAnsi="仿宋" w:eastAsia="仿宋"/>
          <w:sz w:val="32"/>
          <w:u w:val="none" w:color="auto"/>
        </w:rPr>
        <w:t>万元。主要原因：</w:t>
      </w:r>
      <w:r>
        <w:rPr>
          <w:rFonts w:hint="eastAsia" w:ascii="仿宋" w:hAnsi="仿宋" w:eastAsia="仿宋"/>
          <w:sz w:val="32"/>
          <w:u w:val="none" w:color="auto"/>
          <w:lang w:val="en-US" w:eastAsia="zh-CN"/>
        </w:rPr>
        <w:t>本年度新增事业人员，该科目对应新增</w:t>
      </w:r>
      <w:r>
        <w:rPr>
          <w:rFonts w:ascii="仿宋" w:hAnsi="仿宋" w:eastAsia="仿宋"/>
          <w:sz w:val="32"/>
          <w:u w:val="none" w:color="auto"/>
        </w:rPr>
        <w:t>。</w:t>
      </w:r>
      <w:r>
        <w:rPr>
          <w:rFonts w:ascii="仿宋" w:hAnsi="仿宋" w:eastAsia="仿宋"/>
          <w:sz w:val="32"/>
          <w:u w:val="none" w:color="auto"/>
        </w:rPr>
        <w:cr/>
      </w:r>
      <w:r>
        <w:rPr>
          <w:rFonts w:ascii="仿宋" w:hAnsi="仿宋" w:eastAsia="仿宋"/>
          <w:sz w:val="32"/>
          <w:u w:val="none" w:color="auto"/>
        </w:rPr>
        <w:t xml:space="preserve">（四) 2040299-其他公安支出 </w:t>
      </w:r>
      <w:r>
        <w:rPr>
          <w:rFonts w:hint="eastAsia" w:ascii="仿宋" w:hAnsi="仿宋" w:eastAsia="仿宋"/>
          <w:sz w:val="32"/>
          <w:u w:val="none" w:color="auto"/>
        </w:rPr>
        <w:t>2082.05</w:t>
      </w:r>
      <w:r>
        <w:rPr>
          <w:rFonts w:ascii="仿宋" w:hAnsi="仿宋" w:eastAsia="仿宋"/>
          <w:sz w:val="32"/>
          <w:u w:val="none" w:color="auto"/>
        </w:rPr>
        <w:t>万元，较上年决算数</w:t>
      </w:r>
      <w:r>
        <w:rPr>
          <w:rFonts w:hint="eastAsia" w:ascii="仿宋" w:hAnsi="仿宋" w:eastAsia="仿宋"/>
          <w:sz w:val="32"/>
          <w:u w:val="none" w:color="auto"/>
          <w:lang w:eastAsia="zh-CN"/>
        </w:rPr>
        <w:t>减少</w:t>
      </w:r>
      <w:r>
        <w:rPr>
          <w:rFonts w:hint="eastAsia" w:ascii="仿宋" w:hAnsi="仿宋" w:eastAsia="仿宋"/>
          <w:sz w:val="32"/>
          <w:u w:val="none" w:color="auto"/>
          <w:lang w:val="en-US" w:eastAsia="zh-CN"/>
        </w:rPr>
        <w:t>508.47</w:t>
      </w:r>
      <w:r>
        <w:rPr>
          <w:rFonts w:ascii="仿宋" w:hAnsi="仿宋" w:eastAsia="仿宋"/>
          <w:sz w:val="32"/>
          <w:u w:val="none" w:color="auto"/>
        </w:rPr>
        <w:t xml:space="preserve"> 万元，</w:t>
      </w:r>
      <w:r>
        <w:rPr>
          <w:rFonts w:hint="eastAsia" w:ascii="仿宋" w:hAnsi="仿宋" w:eastAsia="仿宋"/>
          <w:sz w:val="32"/>
          <w:u w:val="none" w:color="auto"/>
          <w:lang w:eastAsia="zh-CN"/>
        </w:rPr>
        <w:t>下降</w:t>
      </w:r>
      <w:r>
        <w:rPr>
          <w:rFonts w:hint="eastAsia" w:ascii="仿宋" w:hAnsi="仿宋" w:eastAsia="仿宋"/>
          <w:sz w:val="32"/>
          <w:u w:val="none" w:color="auto"/>
          <w:lang w:val="en-US" w:eastAsia="zh-CN"/>
        </w:rPr>
        <w:t>19.63</w:t>
      </w:r>
      <w:r>
        <w:rPr>
          <w:rFonts w:ascii="仿宋" w:hAnsi="仿宋" w:eastAsia="仿宋"/>
          <w:sz w:val="32"/>
          <w:u w:val="none" w:color="auto"/>
        </w:rPr>
        <w:t>%。主要原因：</w:t>
      </w:r>
      <w:r>
        <w:rPr>
          <w:rFonts w:hint="eastAsia" w:ascii="仿宋" w:hAnsi="仿宋" w:eastAsia="仿宋"/>
          <w:sz w:val="32"/>
          <w:u w:val="none" w:color="auto"/>
          <w:lang w:val="en-US" w:eastAsia="zh-CN"/>
        </w:rPr>
        <w:t>此科目费用体现的是向上争取资金中央政法转移资金，本年度减少该项科目资金收入，支出对应减少</w:t>
      </w:r>
      <w:r>
        <w:rPr>
          <w:rFonts w:ascii="仿宋" w:hAnsi="仿宋" w:eastAsia="仿宋"/>
          <w:sz w:val="32"/>
          <w:u w:val="none" w:color="auto"/>
        </w:rPr>
        <w:t>。</w:t>
      </w:r>
      <w:r>
        <w:rPr>
          <w:rFonts w:ascii="仿宋" w:hAnsi="仿宋" w:eastAsia="仿宋"/>
          <w:sz w:val="32"/>
          <w:u w:val="none" w:color="auto"/>
        </w:rPr>
        <w:cr/>
      </w:r>
      <w:r>
        <w:rPr>
          <w:rFonts w:ascii="仿宋" w:hAnsi="仿宋" w:eastAsia="仿宋"/>
          <w:sz w:val="32"/>
          <w:u w:val="none" w:color="auto"/>
        </w:rPr>
        <w:t>（五) 2299999-其他支出</w:t>
      </w:r>
      <w:r>
        <w:rPr>
          <w:rFonts w:hint="eastAsia" w:ascii="仿宋" w:hAnsi="仿宋" w:eastAsia="仿宋"/>
          <w:sz w:val="32"/>
          <w:u w:val="none" w:color="auto"/>
        </w:rPr>
        <w:t>290.87</w:t>
      </w:r>
      <w:r>
        <w:rPr>
          <w:rFonts w:ascii="仿宋" w:hAnsi="仿宋" w:eastAsia="仿宋"/>
          <w:sz w:val="32"/>
          <w:u w:val="none" w:color="auto"/>
        </w:rPr>
        <w:t>万元，较上年决算数</w:t>
      </w:r>
      <w:r>
        <w:rPr>
          <w:rFonts w:hint="eastAsia" w:ascii="仿宋" w:hAnsi="仿宋" w:eastAsia="仿宋"/>
          <w:sz w:val="32"/>
          <w:u w:val="none" w:color="auto"/>
          <w:lang w:eastAsia="zh-CN"/>
        </w:rPr>
        <w:t>减少</w:t>
      </w:r>
      <w:r>
        <w:rPr>
          <w:rFonts w:hint="eastAsia" w:ascii="仿宋" w:hAnsi="仿宋" w:eastAsia="仿宋"/>
          <w:sz w:val="32"/>
          <w:u w:val="none" w:color="auto"/>
          <w:lang w:val="en-US" w:eastAsia="zh-CN"/>
        </w:rPr>
        <w:t>221.13</w:t>
      </w:r>
      <w:r>
        <w:rPr>
          <w:rFonts w:ascii="仿宋" w:hAnsi="仿宋" w:eastAsia="仿宋"/>
          <w:sz w:val="32"/>
          <w:u w:val="none" w:color="auto"/>
        </w:rPr>
        <w:t>万元。主要原因：</w:t>
      </w:r>
      <w:r>
        <w:rPr>
          <w:rFonts w:hint="eastAsia" w:ascii="仿宋" w:hAnsi="仿宋" w:eastAsia="仿宋"/>
          <w:sz w:val="32"/>
          <w:u w:val="none" w:color="auto"/>
          <w:lang w:val="en-US" w:eastAsia="zh-CN"/>
        </w:rPr>
        <w:t>此科目费用为向上争取资金，本年度减少该项科目资金收入，支出对应减少</w:t>
      </w:r>
      <w:r>
        <w:rPr>
          <w:rFonts w:ascii="仿宋" w:hAnsi="仿宋" w:eastAsia="仿宋"/>
          <w:sz w:val="32"/>
          <w:u w:val="none" w:color="auto"/>
        </w:rPr>
        <w:t>。</w:t>
      </w:r>
    </w:p>
    <w:p>
      <w:pPr>
        <w:pStyle w:val="30"/>
        <w:widowControl/>
        <w:numPr>
          <w:ilvl w:val="0"/>
          <w:numId w:val="0"/>
        </w:numPr>
        <w:spacing w:before="100" w:after="100" w:line="600" w:lineRule="atLeast"/>
        <w:ind w:right="0" w:rightChars="0"/>
        <w:jc w:val="left"/>
        <w:rPr>
          <w:rFonts w:ascii="仿宋" w:hAnsi="仿宋" w:eastAsia="仿宋"/>
          <w:sz w:val="32"/>
          <w:u w:val="none" w:color="auto"/>
        </w:rPr>
      </w:pPr>
      <w:r>
        <w:rPr>
          <w:rFonts w:ascii="仿宋" w:hAnsi="仿宋" w:eastAsia="仿宋"/>
          <w:sz w:val="32"/>
          <w:u w:val="none" w:color="auto"/>
        </w:rPr>
        <w:t>（</w:t>
      </w:r>
      <w:r>
        <w:rPr>
          <w:rFonts w:hint="eastAsia" w:ascii="仿宋" w:hAnsi="仿宋" w:eastAsia="仿宋"/>
          <w:sz w:val="32"/>
          <w:u w:val="none" w:color="auto"/>
          <w:lang w:eastAsia="zh-CN"/>
        </w:rPr>
        <w:t>六</w:t>
      </w:r>
      <w:r>
        <w:rPr>
          <w:rFonts w:ascii="仿宋" w:hAnsi="仿宋" w:eastAsia="仿宋"/>
          <w:sz w:val="32"/>
          <w:u w:val="none" w:color="auto"/>
        </w:rPr>
        <w:t xml:space="preserve">) </w:t>
      </w:r>
      <w:r>
        <w:rPr>
          <w:rFonts w:hint="eastAsia" w:ascii="仿宋" w:hAnsi="仿宋" w:eastAsia="仿宋"/>
          <w:sz w:val="32"/>
          <w:u w:val="none" w:color="auto"/>
        </w:rPr>
        <w:t>2040101</w:t>
      </w:r>
      <w:r>
        <w:rPr>
          <w:rFonts w:ascii="仿宋" w:hAnsi="仿宋" w:eastAsia="仿宋"/>
          <w:sz w:val="32"/>
          <w:u w:val="none" w:color="auto"/>
        </w:rPr>
        <w:t>-</w:t>
      </w:r>
      <w:r>
        <w:rPr>
          <w:rFonts w:hint="eastAsia" w:ascii="仿宋" w:hAnsi="仿宋" w:eastAsia="仿宋"/>
          <w:sz w:val="32"/>
          <w:u w:val="none" w:color="auto"/>
        </w:rPr>
        <w:t>武装警察部队</w:t>
      </w:r>
      <w:r>
        <w:rPr>
          <w:rFonts w:hint="eastAsia" w:ascii="仿宋" w:hAnsi="仿宋" w:eastAsia="仿宋"/>
          <w:sz w:val="32"/>
          <w:u w:val="none" w:color="auto"/>
          <w:lang w:val="en-US" w:eastAsia="zh-CN"/>
        </w:rPr>
        <w:t>47.94</w:t>
      </w:r>
      <w:r>
        <w:rPr>
          <w:rFonts w:ascii="仿宋" w:hAnsi="仿宋" w:eastAsia="仿宋"/>
          <w:sz w:val="32"/>
          <w:u w:val="none" w:color="auto"/>
        </w:rPr>
        <w:t>万元，较上年决算数</w:t>
      </w:r>
      <w:r>
        <w:rPr>
          <w:rFonts w:hint="eastAsia" w:ascii="仿宋" w:hAnsi="仿宋" w:eastAsia="仿宋"/>
          <w:sz w:val="32"/>
          <w:u w:val="none" w:color="auto"/>
          <w:lang w:eastAsia="zh-CN"/>
        </w:rPr>
        <w:t>增加</w:t>
      </w:r>
      <w:r>
        <w:rPr>
          <w:rFonts w:hint="eastAsia" w:ascii="仿宋" w:hAnsi="仿宋" w:eastAsia="仿宋"/>
          <w:sz w:val="32"/>
          <w:u w:val="none" w:color="auto"/>
          <w:lang w:val="en-US" w:eastAsia="zh-CN"/>
        </w:rPr>
        <w:t>47.94万元</w:t>
      </w:r>
      <w:r>
        <w:rPr>
          <w:rFonts w:ascii="仿宋" w:hAnsi="仿宋" w:eastAsia="仿宋"/>
          <w:sz w:val="32"/>
          <w:u w:val="none" w:color="auto"/>
        </w:rPr>
        <w:t>。主要原因：</w:t>
      </w:r>
      <w:r>
        <w:rPr>
          <w:rFonts w:hint="eastAsia" w:ascii="仿宋" w:hAnsi="仿宋" w:eastAsia="仿宋"/>
          <w:sz w:val="32"/>
          <w:u w:val="none" w:color="auto"/>
          <w:lang w:val="en-US" w:eastAsia="zh-CN"/>
        </w:rPr>
        <w:t>此科目费用武装警察部队磐石工程尾款。</w:t>
      </w:r>
    </w:p>
    <w:p>
      <w:pPr>
        <w:pStyle w:val="30"/>
        <w:widowControl/>
        <w:numPr>
          <w:ilvl w:val="0"/>
          <w:numId w:val="0"/>
        </w:numPr>
        <w:spacing w:before="100" w:after="100" w:line="600" w:lineRule="atLeast"/>
        <w:ind w:left="640" w:leftChars="0" w:right="0" w:rightChars="0"/>
        <w:jc w:val="left"/>
        <w:rPr>
          <w:rFonts w:ascii="Times New Roman" w:hAnsi="Times New Roman" w:eastAsia="Times New Roman" w:cs="Times New Roman"/>
          <w:kern w:val="0"/>
          <w:sz w:val="24"/>
        </w:rPr>
      </w:pPr>
      <w:r>
        <w:rPr>
          <w:rFonts w:ascii="黑体" w:hAnsi="黑体" w:eastAsia="黑体" w:cs="黑体"/>
          <w:spacing w:val="0"/>
          <w:kern w:val="0"/>
          <w:sz w:val="32"/>
          <w:szCs w:val="32"/>
        </w:rPr>
        <w:t>四、政府性基金预算财政拨款支出决算情况说明</w:t>
      </w:r>
    </w:p>
    <w:p>
      <w:pPr>
        <w:pStyle w:val="30"/>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2023年度政府性基金支出17.00万元，比上年决算数增加17.00万元，增长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%，具体情况如下(按项级科目统计)：</w:t>
      </w:r>
    </w:p>
    <w:p>
      <w:pPr>
        <w:pStyle w:val="30"/>
        <w:widowControl/>
        <w:numPr>
          <w:ilvl w:val="0"/>
          <w:numId w:val="0"/>
        </w:numPr>
        <w:spacing w:before="100" w:after="100" w:line="600" w:lineRule="atLeast"/>
        <w:ind w:left="640" w:leftChars="0" w:right="0" w:rightChars="0"/>
        <w:jc w:val="left"/>
        <w:rPr>
          <w:rFonts w:ascii="仿宋" w:hAnsi="仿宋" w:eastAsia="仿宋"/>
          <w:sz w:val="32"/>
          <w:u w:val="none" w:color="auto"/>
        </w:rPr>
      </w:pPr>
      <w:r>
        <w:rPr>
          <w:rFonts w:ascii="仿宋" w:hAnsi="仿宋" w:eastAsia="仿宋"/>
          <w:sz w:val="32"/>
          <w:u w:val="none" w:color="auto"/>
        </w:rPr>
        <w:t>（</w:t>
      </w:r>
      <w:r>
        <w:rPr>
          <w:rFonts w:hint="eastAsia" w:ascii="仿宋" w:hAnsi="仿宋" w:eastAsia="仿宋"/>
          <w:sz w:val="32"/>
          <w:u w:val="none" w:color="auto"/>
          <w:lang w:eastAsia="zh-CN"/>
        </w:rPr>
        <w:t>一</w:t>
      </w:r>
      <w:r>
        <w:rPr>
          <w:rFonts w:ascii="仿宋" w:hAnsi="仿宋" w:eastAsia="仿宋"/>
          <w:sz w:val="32"/>
          <w:u w:val="none" w:color="auto"/>
        </w:rPr>
        <w:t xml:space="preserve">) </w:t>
      </w:r>
      <w:r>
        <w:rPr>
          <w:rFonts w:hint="eastAsia" w:ascii="仿宋" w:hAnsi="仿宋" w:eastAsia="仿宋"/>
          <w:sz w:val="32"/>
          <w:u w:val="none" w:color="auto"/>
        </w:rPr>
        <w:t>2120804</w:t>
      </w:r>
      <w:r>
        <w:rPr>
          <w:rFonts w:ascii="仿宋" w:hAnsi="仿宋" w:eastAsia="仿宋"/>
          <w:sz w:val="32"/>
          <w:u w:val="none" w:color="auto"/>
        </w:rPr>
        <w:t>-</w:t>
      </w:r>
      <w:r>
        <w:rPr>
          <w:rFonts w:hint="eastAsia" w:ascii="仿宋" w:hAnsi="仿宋" w:eastAsia="仿宋"/>
          <w:sz w:val="32"/>
          <w:u w:val="none" w:color="auto"/>
        </w:rPr>
        <w:t>农村基础设施建设支出</w:t>
      </w:r>
      <w:r>
        <w:rPr>
          <w:rFonts w:hint="eastAsia" w:ascii="仿宋" w:hAnsi="仿宋" w:eastAsia="仿宋"/>
          <w:sz w:val="32"/>
          <w:u w:val="none" w:color="auto"/>
          <w:lang w:val="en-US" w:eastAsia="zh-CN"/>
        </w:rPr>
        <w:t>10</w:t>
      </w:r>
      <w:r>
        <w:rPr>
          <w:rFonts w:ascii="仿宋" w:hAnsi="仿宋" w:eastAsia="仿宋"/>
          <w:sz w:val="32"/>
          <w:u w:val="none" w:color="auto"/>
        </w:rPr>
        <w:t>万元，较上年决算数</w:t>
      </w:r>
      <w:r>
        <w:rPr>
          <w:rFonts w:hint="eastAsia" w:ascii="仿宋" w:hAnsi="仿宋" w:eastAsia="仿宋"/>
          <w:sz w:val="32"/>
          <w:u w:val="none" w:color="auto"/>
          <w:lang w:eastAsia="zh-CN"/>
        </w:rPr>
        <w:t>增加</w:t>
      </w:r>
      <w:r>
        <w:rPr>
          <w:rFonts w:hint="eastAsia" w:ascii="仿宋" w:hAnsi="仿宋" w:eastAsia="仿宋"/>
          <w:sz w:val="32"/>
          <w:u w:val="none" w:color="auto"/>
          <w:lang w:val="en-US" w:eastAsia="zh-CN"/>
        </w:rPr>
        <w:t>10</w:t>
      </w:r>
      <w:r>
        <w:rPr>
          <w:rFonts w:ascii="仿宋" w:hAnsi="仿宋" w:eastAsia="仿宋"/>
          <w:sz w:val="32"/>
          <w:u w:val="none" w:color="auto"/>
        </w:rPr>
        <w:t>万元。主要原因：</w:t>
      </w:r>
      <w:r>
        <w:rPr>
          <w:rFonts w:hint="eastAsia" w:ascii="仿宋" w:hAnsi="仿宋" w:eastAsia="仿宋"/>
          <w:sz w:val="32"/>
          <w:u w:val="none" w:color="auto"/>
          <w:lang w:val="en-US" w:eastAsia="zh-CN"/>
        </w:rPr>
        <w:t>此科目费用为向上争取资金，本年度增加该项科目资金收入，支出对应增加</w:t>
      </w:r>
      <w:r>
        <w:rPr>
          <w:rFonts w:ascii="仿宋" w:hAnsi="仿宋" w:eastAsia="仿宋"/>
          <w:sz w:val="32"/>
          <w:u w:val="none" w:color="auto"/>
        </w:rPr>
        <w:t>。</w:t>
      </w:r>
    </w:p>
    <w:p>
      <w:pPr>
        <w:pStyle w:val="30"/>
        <w:widowControl/>
        <w:numPr>
          <w:ilvl w:val="0"/>
          <w:numId w:val="0"/>
        </w:numPr>
        <w:spacing w:before="100" w:after="100" w:line="600" w:lineRule="atLeast"/>
        <w:ind w:left="640" w:leftChars="0" w:right="0" w:rightChars="0"/>
        <w:jc w:val="left"/>
        <w:rPr>
          <w:rFonts w:ascii="仿宋" w:hAnsi="仿宋" w:eastAsia="仿宋"/>
          <w:sz w:val="32"/>
          <w:u w:val="none" w:color="auto"/>
        </w:rPr>
      </w:pPr>
      <w:r>
        <w:rPr>
          <w:rFonts w:ascii="仿宋" w:hAnsi="仿宋" w:eastAsia="仿宋"/>
          <w:sz w:val="32"/>
          <w:u w:val="none" w:color="auto"/>
        </w:rPr>
        <w:t>（</w:t>
      </w:r>
      <w:r>
        <w:rPr>
          <w:rFonts w:hint="eastAsia" w:ascii="仿宋" w:hAnsi="仿宋" w:eastAsia="仿宋"/>
          <w:sz w:val="32"/>
          <w:u w:val="none" w:color="auto"/>
          <w:lang w:eastAsia="zh-CN"/>
        </w:rPr>
        <w:t>二</w:t>
      </w:r>
      <w:r>
        <w:rPr>
          <w:rFonts w:ascii="仿宋" w:hAnsi="仿宋" w:eastAsia="仿宋"/>
          <w:sz w:val="32"/>
          <w:u w:val="none" w:color="auto"/>
        </w:rPr>
        <w:t xml:space="preserve">) </w:t>
      </w:r>
      <w:r>
        <w:rPr>
          <w:rFonts w:hint="eastAsia" w:ascii="仿宋" w:hAnsi="仿宋" w:eastAsia="仿宋"/>
          <w:sz w:val="32"/>
          <w:u w:val="none" w:color="auto"/>
        </w:rPr>
        <w:t>2290808</w:t>
      </w:r>
      <w:r>
        <w:rPr>
          <w:rFonts w:ascii="仿宋" w:hAnsi="仿宋" w:eastAsia="仿宋"/>
          <w:sz w:val="32"/>
          <w:u w:val="none" w:color="auto"/>
        </w:rPr>
        <w:t>-</w:t>
      </w:r>
      <w:r>
        <w:rPr>
          <w:rFonts w:hint="eastAsia" w:ascii="仿宋" w:hAnsi="仿宋" w:eastAsia="仿宋"/>
          <w:sz w:val="32"/>
          <w:u w:val="none" w:color="auto"/>
        </w:rPr>
        <w:t>彩票市场调控资金支</w:t>
      </w:r>
      <w:r>
        <w:rPr>
          <w:rFonts w:hint="eastAsia" w:ascii="仿宋" w:hAnsi="仿宋" w:eastAsia="仿宋"/>
          <w:sz w:val="32"/>
          <w:u w:val="none" w:color="auto"/>
          <w:lang w:val="en-US" w:eastAsia="zh-CN"/>
        </w:rPr>
        <w:t>7</w:t>
      </w:r>
      <w:r>
        <w:rPr>
          <w:rFonts w:ascii="仿宋" w:hAnsi="仿宋" w:eastAsia="仿宋"/>
          <w:sz w:val="32"/>
          <w:u w:val="none" w:color="auto"/>
        </w:rPr>
        <w:t>万元，较上年决算数</w:t>
      </w:r>
      <w:r>
        <w:rPr>
          <w:rFonts w:hint="eastAsia" w:ascii="仿宋" w:hAnsi="仿宋" w:eastAsia="仿宋"/>
          <w:sz w:val="32"/>
          <w:u w:val="none" w:color="auto"/>
          <w:lang w:eastAsia="zh-CN"/>
        </w:rPr>
        <w:t>增加</w:t>
      </w:r>
      <w:r>
        <w:rPr>
          <w:rFonts w:hint="eastAsia" w:ascii="仿宋" w:hAnsi="仿宋" w:eastAsia="仿宋"/>
          <w:sz w:val="32"/>
          <w:u w:val="none" w:color="auto"/>
          <w:lang w:val="en-US" w:eastAsia="zh-CN"/>
        </w:rPr>
        <w:t>7</w:t>
      </w:r>
      <w:r>
        <w:rPr>
          <w:rFonts w:ascii="仿宋" w:hAnsi="仿宋" w:eastAsia="仿宋"/>
          <w:sz w:val="32"/>
          <w:u w:val="none" w:color="auto"/>
        </w:rPr>
        <w:t>万元。主要原因：</w:t>
      </w:r>
      <w:r>
        <w:rPr>
          <w:rFonts w:hint="eastAsia" w:ascii="仿宋" w:hAnsi="仿宋" w:eastAsia="仿宋"/>
          <w:sz w:val="32"/>
          <w:u w:val="none" w:color="auto"/>
          <w:lang w:val="en-US" w:eastAsia="zh-CN"/>
        </w:rPr>
        <w:t>此科目费用为向上争取资金，本年度增加该项科目资金收入，支出对应增加</w:t>
      </w:r>
      <w:r>
        <w:rPr>
          <w:rFonts w:ascii="仿宋" w:hAnsi="仿宋" w:eastAsia="仿宋"/>
          <w:sz w:val="32"/>
          <w:u w:val="none" w:color="auto"/>
        </w:rPr>
        <w:t>。</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五、国有资本经营预算财政拨款支出决算情况说明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hint="eastAsia" w:ascii="仿宋" w:hAnsi="仿宋" w:eastAsia="仿宋" w:cs="仿宋_GB2312"/>
          <w:sz w:val="32"/>
          <w:szCs w:val="32"/>
          <w:highlight w:val="none"/>
          <w:lang w:eastAsia="zh-CN"/>
        </w:rPr>
        <w:t>202</w:t>
      </w:r>
      <w:r>
        <w:rPr>
          <w:rFonts w:hint="eastAsia" w:ascii="仿宋" w:hAnsi="仿宋" w:eastAsia="仿宋" w:cs="仿宋_GB2312"/>
          <w:sz w:val="32"/>
          <w:szCs w:val="32"/>
          <w:highlight w:val="none"/>
          <w:lang w:val="en-US" w:eastAsia="zh-CN"/>
        </w:rPr>
        <w:t>3</w:t>
      </w:r>
      <w:r>
        <w:rPr>
          <w:rFonts w:hint="eastAsia" w:ascii="仿宋" w:hAnsi="仿宋" w:eastAsia="仿宋" w:cs="仿宋_GB2312"/>
          <w:sz w:val="32"/>
          <w:szCs w:val="32"/>
          <w:highlight w:val="none"/>
          <w:lang w:eastAsia="zh-CN"/>
        </w:rPr>
        <w:t xml:space="preserve">年度国有资本经营预算支出0.00 万元，比上年决算数增加 0万元，与上年决算数持平。 </w:t>
      </w:r>
      <w:r>
        <w:rPr>
          <w:rFonts w:hint="eastAsia" w:ascii="仿宋" w:hAnsi="仿宋" w:eastAsia="仿宋" w:cs="仿宋_GB2312"/>
          <w:sz w:val="32"/>
          <w:szCs w:val="32"/>
          <w:highlight w:val="none"/>
          <w:lang w:eastAsia="zh-CN"/>
        </w:rPr>
        <w:cr/>
      </w:r>
      <w:r>
        <w:rPr>
          <w:rFonts w:hint="eastAsia" w:ascii="仿宋" w:hAnsi="仿宋" w:eastAsia="仿宋" w:cs="仿宋_GB2312"/>
          <w:sz w:val="32"/>
          <w:szCs w:val="32"/>
          <w:highlight w:val="none"/>
          <w:lang w:eastAsia="zh-CN"/>
        </w:rPr>
        <w:t>注:本单位202</w:t>
      </w:r>
      <w:r>
        <w:rPr>
          <w:rFonts w:hint="eastAsia" w:ascii="仿宋" w:hAnsi="仿宋" w:eastAsia="仿宋" w:cs="仿宋_GB2312"/>
          <w:sz w:val="32"/>
          <w:szCs w:val="32"/>
          <w:highlight w:val="none"/>
          <w:lang w:val="en-US" w:eastAsia="zh-CN"/>
        </w:rPr>
        <w:t>3</w:t>
      </w:r>
      <w:r>
        <w:rPr>
          <w:rFonts w:hint="eastAsia" w:ascii="仿宋" w:hAnsi="仿宋" w:eastAsia="仿宋" w:cs="仿宋_GB2312"/>
          <w:sz w:val="32"/>
          <w:szCs w:val="32"/>
          <w:highlight w:val="none"/>
          <w:lang w:eastAsia="zh-CN"/>
        </w:rPr>
        <w:t>年度没有使用国有资本经营预算财政拨款安排的支出用国有资本经营预算财政拨款安排的支出”。</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六、一般公共预算财政拨款基本支出决算情况说明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2023年度一般公共预算财政拨款基本支出12,707.05万元，其中：</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人员经费11,450.63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30"/>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用经费1,256.42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七、一般公共预算拨款“三公”经费支出决算情况说明</w:t>
      </w:r>
    </w:p>
    <w:p>
      <w:pPr>
        <w:pStyle w:val="30"/>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2023年度一般公共预算拨款“三公”经费支出534.91万元，完成全年预算的 77.70%；较上年增加248.58万元，增长86.81%。主要原因是</w:t>
      </w:r>
      <w:r>
        <w:rPr>
          <w:rFonts w:hint="eastAsia" w:ascii="仿宋" w:hAnsi="仿宋" w:eastAsia="仿宋" w:cs="仿宋"/>
          <w:spacing w:val="0"/>
          <w:kern w:val="0"/>
          <w:sz w:val="32"/>
          <w:szCs w:val="32"/>
          <w:lang w:eastAsia="zh-CN"/>
        </w:rPr>
        <w:t>本年度新购置执法执勤车辆</w:t>
      </w:r>
      <w:r>
        <w:rPr>
          <w:rFonts w:hint="eastAsia" w:ascii="仿宋" w:hAnsi="仿宋" w:eastAsia="仿宋" w:cs="仿宋"/>
          <w:spacing w:val="0"/>
          <w:kern w:val="0"/>
          <w:sz w:val="32"/>
          <w:szCs w:val="32"/>
          <w:lang w:val="en-US" w:eastAsia="zh-CN"/>
        </w:rPr>
        <w:t>10辆</w:t>
      </w:r>
      <w:r>
        <w:rPr>
          <w:rFonts w:ascii="仿宋" w:hAnsi="仿宋" w:eastAsia="仿宋" w:cs="仿宋"/>
          <w:spacing w:val="0"/>
          <w:kern w:val="0"/>
          <w:sz w:val="32"/>
          <w:szCs w:val="32"/>
        </w:rPr>
        <w:t>。具体情况如下：</w:t>
      </w:r>
    </w:p>
    <w:p>
      <w:pPr>
        <w:tabs>
          <w:tab w:val="left" w:pos="7513"/>
        </w:tabs>
        <w:adjustRightInd w:val="0"/>
        <w:snapToGrid w:val="0"/>
        <w:spacing w:line="600" w:lineRule="exact"/>
        <w:ind w:firstLine="704" w:firstLineChars="220"/>
        <w:rPr>
          <w:rFonts w:ascii="Times New Roman" w:hAnsi="Times New Roman" w:eastAsia="Times New Roman" w:cs="Times New Roman"/>
          <w:kern w:val="0"/>
          <w:sz w:val="24"/>
        </w:rPr>
      </w:pPr>
      <w:r>
        <w:rPr>
          <w:rFonts w:ascii="仿宋" w:hAnsi="仿宋" w:eastAsia="仿宋" w:cs="仿宋"/>
          <w:spacing w:val="0"/>
          <w:kern w:val="0"/>
          <w:sz w:val="32"/>
          <w:szCs w:val="32"/>
        </w:rPr>
        <w:t>（一）</w:t>
      </w:r>
      <w:r>
        <w:rPr>
          <w:rFonts w:hint="eastAsia" w:ascii="仿宋" w:hAnsi="仿宋" w:eastAsia="仿宋" w:cs="仿宋_GB2312"/>
          <w:sz w:val="32"/>
          <w:szCs w:val="32"/>
          <w:highlight w:val="none"/>
        </w:rPr>
        <w:t>因公出国（境）费支出</w:t>
      </w:r>
      <w:r>
        <w:rPr>
          <w:rFonts w:hint="eastAsia" w:ascii="仿宋" w:hAnsi="仿宋" w:eastAsia="仿宋" w:cs="仿宋_GB2312"/>
          <w:sz w:val="32"/>
          <w:szCs w:val="32"/>
          <w:highlight w:val="none"/>
          <w:lang w:eastAsia="zh-CN"/>
        </w:rPr>
        <w:t>0.00</w:t>
      </w:r>
      <w:r>
        <w:rPr>
          <w:rFonts w:hint="eastAsia" w:ascii="仿宋" w:hAnsi="仿宋" w:eastAsia="仿宋" w:cs="仿宋_GB2312"/>
          <w:sz w:val="32"/>
          <w:szCs w:val="32"/>
          <w:highlight w:val="none"/>
        </w:rPr>
        <w:t>万元，</w:t>
      </w:r>
      <w:r>
        <w:rPr>
          <w:rFonts w:hint="eastAsia" w:ascii="仿宋" w:hAnsi="仿宋" w:eastAsia="仿宋" w:cs="仿宋_GB2312"/>
          <w:sz w:val="32"/>
          <w:szCs w:val="32"/>
          <w:highlight w:val="none"/>
          <w:lang w:eastAsia="zh-CN"/>
        </w:rPr>
        <w:t>与全年预算的0万元持平</w:t>
      </w:r>
      <w:r>
        <w:rPr>
          <w:rFonts w:hint="eastAsia" w:ascii="仿宋" w:hAnsi="仿宋" w:eastAsia="仿宋" w:cs="仿宋_GB2312"/>
          <w:sz w:val="32"/>
          <w:szCs w:val="32"/>
          <w:highlight w:val="none"/>
        </w:rPr>
        <w:t>；较上年</w:t>
      </w:r>
      <w:r>
        <w:rPr>
          <w:rFonts w:hint="eastAsia" w:ascii="仿宋" w:hAnsi="仿宋" w:eastAsia="仿宋" w:cs="仿宋_GB2312"/>
          <w:sz w:val="32"/>
          <w:szCs w:val="32"/>
          <w:highlight w:val="none"/>
          <w:lang w:eastAsia="zh-CN"/>
        </w:rPr>
        <w:t>增加0.0万元，与上年决算数持平</w:t>
      </w:r>
      <w:r>
        <w:rPr>
          <w:rFonts w:hint="eastAsia" w:ascii="仿宋" w:hAnsi="仿宋" w:eastAsia="仿宋" w:cs="仿宋_GB2312"/>
          <w:sz w:val="32"/>
          <w:szCs w:val="32"/>
          <w:highlight w:val="none"/>
        </w:rPr>
        <w:t>。全年安排本单位组织的出国团组</w:t>
      </w:r>
      <w:r>
        <w:rPr>
          <w:rFonts w:hint="eastAsia" w:ascii="仿宋" w:hAnsi="仿宋" w:eastAsia="仿宋" w:cs="仿宋_GB2312"/>
          <w:sz w:val="32"/>
          <w:szCs w:val="32"/>
          <w:highlight w:val="none"/>
          <w:lang w:eastAsia="zh-CN"/>
        </w:rPr>
        <w:t>0</w:t>
      </w:r>
      <w:r>
        <w:rPr>
          <w:rFonts w:hint="eastAsia" w:ascii="仿宋" w:hAnsi="仿宋" w:eastAsia="仿宋" w:cs="仿宋_GB2312"/>
          <w:sz w:val="32"/>
          <w:szCs w:val="32"/>
          <w:highlight w:val="none"/>
        </w:rPr>
        <w:t>个，参加其他单位出国团组</w:t>
      </w:r>
      <w:r>
        <w:rPr>
          <w:rFonts w:hint="eastAsia" w:ascii="仿宋" w:hAnsi="仿宋" w:eastAsia="仿宋" w:cs="仿宋_GB2312"/>
          <w:sz w:val="32"/>
          <w:szCs w:val="32"/>
          <w:highlight w:val="none"/>
          <w:lang w:eastAsia="zh-CN"/>
        </w:rPr>
        <w:t>0</w:t>
      </w:r>
      <w:r>
        <w:rPr>
          <w:rFonts w:hint="eastAsia" w:ascii="仿宋" w:hAnsi="仿宋" w:eastAsia="仿宋" w:cs="仿宋_GB2312"/>
          <w:sz w:val="32"/>
          <w:szCs w:val="32"/>
          <w:highlight w:val="none"/>
        </w:rPr>
        <w:t>个；全年因公出国（境）累计</w:t>
      </w:r>
      <w:r>
        <w:rPr>
          <w:rFonts w:hint="eastAsia" w:ascii="仿宋" w:hAnsi="仿宋" w:eastAsia="仿宋" w:cs="仿宋_GB2312"/>
          <w:sz w:val="32"/>
          <w:szCs w:val="32"/>
          <w:highlight w:val="none"/>
          <w:lang w:eastAsia="zh-CN"/>
        </w:rPr>
        <w:t>0</w:t>
      </w:r>
      <w:r>
        <w:rPr>
          <w:rFonts w:hint="eastAsia" w:ascii="仿宋" w:hAnsi="仿宋" w:eastAsia="仿宋" w:cs="仿宋_GB2312"/>
          <w:sz w:val="32"/>
          <w:szCs w:val="32"/>
          <w:highlight w:val="none"/>
        </w:rPr>
        <w:t>人次。主要是</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lang w:val="en-US" w:eastAsia="zh-CN"/>
        </w:rPr>
        <w:t>本年无</w:t>
      </w:r>
      <w:r>
        <w:rPr>
          <w:rFonts w:hint="eastAsia" w:ascii="仿宋" w:hAnsi="仿宋" w:eastAsia="仿宋" w:cs="仿宋_GB2312"/>
          <w:sz w:val="32"/>
          <w:szCs w:val="32"/>
          <w:highlight w:val="none"/>
        </w:rPr>
        <w:t>因公出国（境）费支出</w:t>
      </w:r>
      <w:r>
        <w:rPr>
          <w:rFonts w:hint="eastAsia" w:ascii="仿宋" w:hAnsi="仿宋" w:eastAsia="仿宋" w:cs="仿宋_GB2312"/>
          <w:sz w:val="32"/>
          <w:szCs w:val="32"/>
          <w:highlight w:val="none"/>
          <w:lang w:eastAsia="zh-CN"/>
        </w:rPr>
        <w:t>。</w:t>
      </w:r>
    </w:p>
    <w:p>
      <w:pPr>
        <w:pStyle w:val="30"/>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（二）公务用车购置及运行费支出521.71万元，完成全年预算的77.27%；较上年</w:t>
      </w:r>
      <w:r>
        <w:rPr>
          <w:rFonts w:hint="eastAsia" w:ascii="仿宋" w:hAnsi="仿宋" w:eastAsia="仿宋" w:cs="仿宋"/>
          <w:spacing w:val="0"/>
          <w:kern w:val="0"/>
          <w:sz w:val="32"/>
          <w:szCs w:val="32"/>
          <w:lang w:eastAsia="zh-CN"/>
        </w:rPr>
        <w:t>增加</w:t>
      </w:r>
      <w:r>
        <w:rPr>
          <w:rFonts w:ascii="仿宋" w:hAnsi="仿宋" w:eastAsia="仿宋" w:cs="仿宋"/>
          <w:spacing w:val="0"/>
          <w:kern w:val="0"/>
          <w:sz w:val="32"/>
          <w:szCs w:val="32"/>
        </w:rPr>
        <w:t>246.52万元，增长 89.58%。其中：</w:t>
      </w:r>
    </w:p>
    <w:p>
      <w:pPr>
        <w:pStyle w:val="30"/>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公务用车购置费支出189.77万元，完成全年预算的94.89%；较上年增加185.47万元，增长4,307.40%。2023年公务用车购置10辆，主要是:</w:t>
      </w:r>
      <w:r>
        <w:rPr>
          <w:rFonts w:hint="eastAsia" w:ascii="仿宋" w:hAnsi="仿宋" w:eastAsia="仿宋" w:cs="仿宋"/>
          <w:spacing w:val="0"/>
          <w:kern w:val="0"/>
          <w:sz w:val="32"/>
          <w:szCs w:val="32"/>
          <w:lang w:eastAsia="zh-CN"/>
        </w:rPr>
        <w:t>购置公务用车用于执法办案</w:t>
      </w:r>
      <w:r>
        <w:rPr>
          <w:rFonts w:ascii="仿宋" w:hAnsi="仿宋" w:eastAsia="仿宋" w:cs="仿宋"/>
          <w:spacing w:val="0"/>
          <w:kern w:val="0"/>
          <w:sz w:val="32"/>
          <w:szCs w:val="32"/>
        </w:rPr>
        <w:t>。</w:t>
      </w:r>
    </w:p>
    <w:p>
      <w:pPr>
        <w:pStyle w:val="30"/>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公务用车运行费支出331.93万元，完成全年预算的69.85%；较上年增加61.05万元，增长22.54%。主要是</w:t>
      </w:r>
      <w:r>
        <w:rPr>
          <w:rFonts w:hint="eastAsia" w:ascii="仿宋" w:hAnsi="仿宋" w:eastAsia="仿宋" w:cs="仿宋_GB2312"/>
          <w:sz w:val="32"/>
          <w:szCs w:val="32"/>
          <w:highlight w:val="none"/>
          <w:lang w:val="en-US" w:eastAsia="zh-CN"/>
        </w:rPr>
        <w:t>本年汽油油价上升幅度较大，汽车加油费用上涨，部分车辆老化，新购置公务用车10辆，费用增加</w:t>
      </w:r>
      <w:r>
        <w:rPr>
          <w:rFonts w:ascii="仿宋" w:hAnsi="仿宋" w:eastAsia="仿宋" w:cs="仿宋"/>
          <w:spacing w:val="0"/>
          <w:kern w:val="0"/>
          <w:sz w:val="32"/>
          <w:szCs w:val="32"/>
        </w:rPr>
        <w:t>。截至2023年12月31日，本部门公务用车保有量为99辆。</w:t>
      </w:r>
    </w:p>
    <w:p>
      <w:pPr>
        <w:pStyle w:val="30"/>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（三）公务接待费支出13.20万元，完成全年预算的 100.00%；较上年增加2.06万元，增长18.46%。主要是</w:t>
      </w:r>
      <w:r>
        <w:rPr>
          <w:rFonts w:hint="eastAsia" w:ascii="仿宋" w:hAnsi="仿宋" w:eastAsia="仿宋" w:cs="仿宋_GB2312"/>
          <w:sz w:val="32"/>
          <w:szCs w:val="32"/>
          <w:highlight w:val="none"/>
        </w:rPr>
        <w:t>主要</w:t>
      </w:r>
      <w:r>
        <w:rPr>
          <w:rFonts w:hint="eastAsia" w:ascii="仿宋" w:hAnsi="仿宋" w:eastAsia="仿宋" w:cs="仿宋_GB2312"/>
          <w:sz w:val="32"/>
          <w:szCs w:val="32"/>
          <w:highlight w:val="none"/>
          <w:lang w:val="en-US" w:eastAsia="zh-CN"/>
        </w:rPr>
        <w:t>是疫情放开，接待批次及人数相应增加</w:t>
      </w:r>
      <w:r>
        <w:rPr>
          <w:rFonts w:ascii="仿宋" w:hAnsi="仿宋" w:eastAsia="仿宋" w:cs="仿宋"/>
          <w:spacing w:val="0"/>
          <w:kern w:val="0"/>
          <w:sz w:val="32"/>
          <w:szCs w:val="32"/>
        </w:rPr>
        <w:t>。累计接待294批次、1810人次。</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八、预算绩效情况说明</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根据预算绩效管理要求，本单位组织对</w:t>
      </w:r>
      <w:r>
        <w:rPr>
          <w:rFonts w:hint="eastAsia" w:ascii="仿宋" w:hAnsi="仿宋" w:eastAsia="仿宋"/>
          <w:sz w:val="32"/>
          <w:szCs w:val="32"/>
          <w:highlight w:val="none"/>
          <w:lang w:eastAsia="zh-CN"/>
        </w:rPr>
        <w:t>202</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年度</w:t>
      </w:r>
      <w:r>
        <w:rPr>
          <w:rFonts w:hint="eastAsia" w:ascii="仿宋" w:hAnsi="仿宋" w:eastAsia="仿宋"/>
          <w:sz w:val="32"/>
          <w:szCs w:val="32"/>
          <w:highlight w:val="none"/>
          <w:lang w:val="en-US" w:eastAsia="zh-CN"/>
        </w:rPr>
        <w:t>16</w:t>
      </w:r>
      <w:r>
        <w:rPr>
          <w:rFonts w:hint="eastAsia" w:ascii="仿宋" w:hAnsi="仿宋" w:eastAsia="仿宋"/>
          <w:sz w:val="32"/>
          <w:szCs w:val="32"/>
          <w:highlight w:val="none"/>
        </w:rPr>
        <w:t>个项目实施单位自评，分别是</w:t>
      </w:r>
      <w:r>
        <w:rPr>
          <w:rFonts w:hint="eastAsia" w:ascii="仿宋" w:hAnsi="仿宋" w:eastAsia="仿宋"/>
          <w:sz w:val="32"/>
          <w:szCs w:val="32"/>
          <w:highlight w:val="none"/>
          <w:lang w:val="en-US" w:eastAsia="zh-CN"/>
        </w:rPr>
        <w:t>打击整治非法彩票工作专项资金、打击电诈经费、道安隐患治理奖金资金</w:t>
      </w:r>
      <w:r>
        <w:rPr>
          <w:rFonts w:hint="eastAsia" w:ascii="仿宋" w:hAnsi="仿宋" w:eastAsia="仿宋"/>
          <w:sz w:val="32"/>
          <w:szCs w:val="32"/>
          <w:highlight w:val="none"/>
        </w:rPr>
        <w:t>等项目，涉及财政拨款资金共计</w:t>
      </w:r>
      <w:r>
        <w:rPr>
          <w:rFonts w:hint="eastAsia" w:ascii="仿宋" w:hAnsi="仿宋" w:eastAsia="仿宋"/>
          <w:sz w:val="32"/>
          <w:szCs w:val="32"/>
          <w:highlight w:val="none"/>
          <w:lang w:val="en-US" w:eastAsia="zh-CN"/>
        </w:rPr>
        <w:t>3913.32</w:t>
      </w:r>
      <w:r>
        <w:rPr>
          <w:rFonts w:hint="eastAsia" w:ascii="仿宋" w:hAnsi="仿宋" w:eastAsia="仿宋"/>
          <w:sz w:val="32"/>
          <w:szCs w:val="32"/>
          <w:highlight w:val="none"/>
        </w:rPr>
        <w:t>万元。（《项目支出绩效自评表》详见附件）</w:t>
      </w:r>
    </w:p>
    <w:p>
      <w:pPr>
        <w:ind w:firstLine="640" w:firstLineChars="200"/>
      </w:pPr>
      <w:r>
        <w:rPr>
          <w:rFonts w:hint="eastAsia" w:ascii="仿宋" w:hAnsi="仿宋" w:eastAsia="仿宋"/>
          <w:sz w:val="32"/>
          <w:szCs w:val="32"/>
          <w:highlight w:val="none"/>
          <w:lang w:val="en-US" w:eastAsia="zh-CN"/>
        </w:rPr>
        <w:t>2.</w:t>
      </w:r>
      <w:r>
        <w:rPr>
          <w:rFonts w:hint="eastAsia" w:ascii="仿宋" w:hAnsi="仿宋" w:eastAsia="仿宋"/>
          <w:sz w:val="32"/>
          <w:szCs w:val="32"/>
          <w:highlight w:val="none"/>
          <w:lang w:eastAsia="zh-CN"/>
        </w:rPr>
        <w:t>该年度本部门无部门评价项目。</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九、其他重要事项说明</w:t>
      </w:r>
    </w:p>
    <w:p>
      <w:pPr>
        <w:pStyle w:val="30"/>
        <w:widowControl/>
        <w:spacing w:before="100" w:after="100" w:line="600" w:lineRule="atLeast"/>
        <w:ind w:left="0" w:right="0" w:firstLine="643"/>
        <w:jc w:val="left"/>
        <w:rPr>
          <w:rFonts w:ascii="Times New Roman" w:hAnsi="Times New Roman" w:eastAsia="Times New Roman" w:cs="Times New Roman"/>
          <w:kern w:val="0"/>
          <w:sz w:val="24"/>
        </w:rPr>
      </w:pPr>
      <w:r>
        <w:rPr>
          <w:rFonts w:ascii="楷体" w:hAnsi="楷体" w:eastAsia="楷体" w:cs="楷体"/>
          <w:spacing w:val="0"/>
          <w:kern w:val="0"/>
          <w:sz w:val="32"/>
          <w:szCs w:val="32"/>
        </w:rPr>
        <w:t>（一）机关运行经费</w:t>
      </w:r>
      <w:r>
        <w:rPr>
          <w:rFonts w:ascii="宋体" w:hAnsi="宋体" w:cs="宋体"/>
          <w:spacing w:val="0"/>
          <w:kern w:val="0"/>
          <w:sz w:val="32"/>
          <w:szCs w:val="32"/>
        </w:rPr>
        <w:t> </w:t>
      </w:r>
    </w:p>
    <w:p>
      <w:pPr>
        <w:tabs>
          <w:tab w:val="left" w:pos="7513"/>
        </w:tabs>
        <w:adjustRightInd w:val="0"/>
        <w:snapToGrid w:val="0"/>
        <w:spacing w:line="600" w:lineRule="exact"/>
        <w:ind w:firstLine="640" w:firstLineChars="200"/>
        <w:rPr>
          <w:rFonts w:ascii="仿宋" w:hAnsi="仿宋" w:eastAsia="仿宋" w:cs="仿宋_GB2312"/>
          <w:sz w:val="32"/>
          <w:szCs w:val="32"/>
          <w:highlight w:val="none"/>
        </w:rPr>
      </w:pPr>
      <w:r>
        <w:rPr>
          <w:rFonts w:ascii="仿宋" w:hAnsi="仿宋" w:eastAsia="仿宋" w:cs="仿宋"/>
          <w:spacing w:val="0"/>
          <w:kern w:val="0"/>
          <w:sz w:val="32"/>
          <w:szCs w:val="32"/>
        </w:rPr>
        <w:t>2023年度机关运行经费支出1,256.42万元，比上年决算数减少2,165.14万元，降低63.28%，主要原因是:</w:t>
      </w:r>
      <w:r>
        <w:rPr>
          <w:rFonts w:hint="eastAsia" w:ascii="仿宋" w:hAnsi="仿宋" w:eastAsia="仿宋" w:cs="仿宋_GB2312"/>
          <w:sz w:val="32"/>
          <w:szCs w:val="32"/>
          <w:highlight w:val="none"/>
          <w:lang w:val="en-US" w:eastAsia="zh-CN"/>
        </w:rPr>
        <w:t>本年度经费保障倾斜于基层派出所、办案大队业务办案经费</w:t>
      </w:r>
      <w:r>
        <w:rPr>
          <w:rFonts w:hint="eastAsia" w:ascii="仿宋" w:hAnsi="仿宋" w:eastAsia="仿宋" w:cs="仿宋_GB2312"/>
          <w:sz w:val="32"/>
          <w:szCs w:val="32"/>
          <w:highlight w:val="none"/>
        </w:rPr>
        <w:t>。</w:t>
      </w:r>
    </w:p>
    <w:p>
      <w:pPr>
        <w:pStyle w:val="30"/>
        <w:widowControl/>
        <w:spacing w:before="100" w:after="100" w:line="600" w:lineRule="atLeast"/>
        <w:ind w:left="0" w:right="0" w:firstLine="643"/>
        <w:jc w:val="left"/>
        <w:rPr>
          <w:rFonts w:ascii="Times New Roman" w:hAnsi="Times New Roman" w:eastAsia="Times New Roman" w:cs="Times New Roman"/>
          <w:kern w:val="0"/>
          <w:sz w:val="24"/>
        </w:rPr>
      </w:pPr>
      <w:r>
        <w:rPr>
          <w:rFonts w:ascii="楷体" w:hAnsi="楷体" w:eastAsia="楷体" w:cs="楷体"/>
          <w:spacing w:val="0"/>
          <w:kern w:val="0"/>
          <w:sz w:val="32"/>
          <w:szCs w:val="32"/>
        </w:rPr>
        <w:t>（二）政府采购情况</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本部门2023年度政府采购支出总额440.40万元，其中：政府采购货物支出425.58万元、政府采购工程支出0.00万元、政府采购服务支出14.82万元。授予中小企业合同金额440.40万元，占政府采购支出总额的100.00%，其中：授予小微企业合同金额440.40万元，占授予中小企业合同金额的100.00%；货物采购授予中小企业合同金额占货物支出金额的</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%，工程采购授予中小企业合同金额占工程支出金额的</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%，服务采购授予中小企业合同金额占服务支出金额的</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w:t>
      </w:r>
    </w:p>
    <w:p>
      <w:pPr>
        <w:pStyle w:val="30"/>
        <w:widowControl/>
        <w:spacing w:before="100" w:after="100" w:line="600" w:lineRule="atLeast"/>
        <w:ind w:left="0" w:right="0" w:firstLine="707"/>
        <w:jc w:val="left"/>
        <w:rPr>
          <w:rFonts w:ascii="Times New Roman" w:hAnsi="Times New Roman" w:eastAsia="Times New Roman" w:cs="Times New Roman"/>
          <w:kern w:val="0"/>
          <w:sz w:val="24"/>
        </w:rPr>
      </w:pPr>
      <w:r>
        <w:rPr>
          <w:rFonts w:ascii="楷体" w:hAnsi="楷体" w:eastAsia="楷体" w:cs="楷体"/>
          <w:spacing w:val="0"/>
          <w:kern w:val="0"/>
          <w:sz w:val="32"/>
          <w:szCs w:val="32"/>
        </w:rPr>
        <w:t>（三）国有资产占用使用情况</w:t>
      </w:r>
      <w:r>
        <w:rPr>
          <w:rFonts w:ascii="宋体" w:hAnsi="宋体" w:cs="宋体"/>
          <w:spacing w:val="0"/>
          <w:kern w:val="0"/>
          <w:sz w:val="32"/>
          <w:szCs w:val="32"/>
        </w:rPr>
        <w:t> </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截至2023年12月31日，本部门共有车辆99辆，其中：副部（省）级以上领导用车0辆、主要领导干部用车0辆、机要通信用车0辆、应急保障用车0辆、执法执勤用车99辆、特种专业技术用车0辆、离退休干部用车0辆、其他用车0辆，其他用车</w:t>
      </w:r>
      <w:r>
        <w:rPr>
          <w:rFonts w:hint="eastAsia" w:ascii="仿宋" w:hAnsi="仿宋" w:eastAsia="仿宋" w:cs="仿宋"/>
          <w:spacing w:val="0"/>
          <w:kern w:val="0"/>
          <w:sz w:val="32"/>
          <w:szCs w:val="32"/>
          <w:lang w:val="en-US" w:eastAsia="zh-CN"/>
        </w:rPr>
        <w:t>0辆</w:t>
      </w:r>
      <w:r>
        <w:rPr>
          <w:rFonts w:ascii="仿宋" w:hAnsi="仿宋" w:eastAsia="仿宋" w:cs="仿宋"/>
          <w:spacing w:val="0"/>
          <w:kern w:val="0"/>
          <w:sz w:val="32"/>
          <w:szCs w:val="32"/>
        </w:rPr>
        <w:t>；单位价值100万元以上设备（不含车辆）0台（套）。 </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7"/>
          <w:szCs w:val="27"/>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黑体" w:hAnsi="黑体" w:eastAsia="黑体" w:cs="黑体"/>
          <w:spacing w:val="0"/>
          <w:kern w:val="0"/>
          <w:sz w:val="56"/>
          <w:szCs w:val="56"/>
        </w:rPr>
      </w:pPr>
    </w:p>
    <w:p>
      <w:pPr>
        <w:pStyle w:val="30"/>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第四部分</w:t>
      </w:r>
      <w:r>
        <w:rPr>
          <w:rFonts w:ascii="宋体" w:hAnsi="宋体" w:cs="宋体"/>
          <w:spacing w:val="0"/>
          <w:kern w:val="0"/>
          <w:sz w:val="56"/>
          <w:szCs w:val="56"/>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名词解释</w:t>
      </w: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一、财政拨款收入：指单位从本级财政部门取得的财政预算资金，包括一般公共预算财政拨款、政府性基金预算财政拨款和国有资本经营预算财政拨款。</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二、事业收入：指事业单位开展专业业务活动及辅助活动所取得的收入。</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三、经营收入：指事业单位在专业业务活动及其辅助活动之外开展非独立核算经营活动取得的收入。</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四、其他收入：指除上述“财政拨款收入”“事业收入”</w:t>
      </w:r>
      <w:r>
        <w:rPr>
          <w:rFonts w:ascii="宋体" w:hAnsi="宋体" w:cs="宋体"/>
          <w:spacing w:val="0"/>
          <w:kern w:val="0"/>
          <w:sz w:val="32"/>
          <w:szCs w:val="32"/>
        </w:rPr>
        <w:t> </w:t>
      </w:r>
      <w:r>
        <w:rPr>
          <w:rFonts w:ascii="仿宋" w:hAnsi="仿宋" w:eastAsia="仿宋" w:cs="仿宋"/>
          <w:spacing w:val="0"/>
          <w:kern w:val="0"/>
          <w:sz w:val="32"/>
          <w:szCs w:val="32"/>
        </w:rPr>
        <w:t>“上级补助收入”“附属单位上缴收入”“经营收入”等以外取得的各项收入。主要是事业单位固定资产出租收入等。</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五、使用非财政拨款结余：指事业单位使用以前年度积累的非财政拨款结余弥补当年收支差额的金额。</w:t>
      </w:r>
    </w:p>
    <w:p>
      <w:pPr>
        <w:pStyle w:val="30"/>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六、年初结转和结余：指单位以前年度尚未完成、结转到本年仍按原规定用途继续使用的资金，或项目已完成等产生的结余资金。</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七、结余分配：指事业单位按照会计制度规定缴纳的所得税、提取的专用结余以及转入非财政拨款结余的金额等。</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八、年末结转和结余：指单位按有关规定结转到下年或以后年度继续使用的资金，或项目已完成等产生的结余资金。</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九、基本支出：指为保障机构正常运转、完成日常工作任务而发生的人员支出和公用支出。</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十、项目支出：指在基本支出之外为完成特定行政任务和事业发展目标所发生的支出。</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十一、经营支出：指事业单位在专业业务活动及其辅助活动之外开展非独立核算经营活动发生的支出。</w:t>
      </w:r>
    </w:p>
    <w:p>
      <w:pPr>
        <w:pStyle w:val="29"/>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二、“三公”经费：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ascii="仿宋" w:hAnsi="仿宋" w:eastAsia="仿宋" w:cs="仿宋"/>
          <w:spacing w:val="0"/>
          <w:kern w:val="0"/>
          <w:sz w:val="32"/>
          <w:szCs w:val="32"/>
          <w:u w:val="single"/>
        </w:rPr>
        <w:t>、牌照费</w:t>
      </w:r>
      <w:r>
        <w:rPr>
          <w:rFonts w:ascii="仿宋" w:hAnsi="仿宋" w:eastAsia="仿宋" w:cs="仿宋"/>
          <w:spacing w:val="0"/>
          <w:kern w:val="0"/>
          <w:sz w:val="32"/>
          <w:szCs w:val="32"/>
        </w:rPr>
        <w:t>）及燃料费、维修费、过桥过路费、保险费</w:t>
      </w:r>
      <w:r>
        <w:rPr>
          <w:rFonts w:ascii="仿宋" w:hAnsi="仿宋" w:eastAsia="仿宋" w:cs="仿宋"/>
          <w:spacing w:val="0"/>
          <w:kern w:val="0"/>
          <w:sz w:val="32"/>
          <w:szCs w:val="32"/>
          <w:u w:val="single"/>
        </w:rPr>
        <w:t>、安全奖励费用</w:t>
      </w:r>
      <w:r>
        <w:rPr>
          <w:rFonts w:ascii="仿宋" w:hAnsi="仿宋" w:eastAsia="仿宋" w:cs="仿宋"/>
          <w:spacing w:val="0"/>
          <w:kern w:val="0"/>
          <w:sz w:val="32"/>
          <w:szCs w:val="32"/>
        </w:rPr>
        <w:t>等支出；公务接待费反映单位按规定开支的各类公务接待（含外宾接待）支出。</w:t>
      </w:r>
    </w:p>
    <w:p>
      <w:pPr>
        <w:pStyle w:val="30"/>
        <w:widowControl/>
        <w:spacing w:before="100" w:after="100"/>
        <w:ind w:left="0" w:right="0" w:firstLine="643"/>
        <w:jc w:val="left"/>
        <w:rPr>
          <w:rFonts w:ascii="Times New Roman" w:hAnsi="Times New Roman" w:eastAsia="Times New Roman" w:cs="Times New Roman"/>
          <w:kern w:val="0"/>
          <w:sz w:val="24"/>
        </w:rPr>
      </w:pPr>
      <w:r>
        <w:rPr>
          <w:rFonts w:ascii="仿宋" w:hAnsi="仿宋" w:eastAsia="仿宋" w:cs="仿宋"/>
          <w:spacing w:val="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hAnsi="宋体" w:cs="宋体"/>
          <w:spacing w:val="0"/>
          <w:kern w:val="0"/>
          <w:sz w:val="56"/>
          <w:szCs w:val="56"/>
        </w:rPr>
        <w:t> </w:t>
      </w:r>
    </w:p>
    <w:p>
      <w:pPr>
        <w:pStyle w:val="30"/>
        <w:widowControl/>
        <w:spacing w:before="100" w:after="100"/>
        <w:ind w:right="0" w:firstLine="3920" w:firstLineChars="700"/>
        <w:jc w:val="both"/>
        <w:rPr>
          <w:rFonts w:ascii="Times New Roman" w:hAnsi="Times New Roman" w:eastAsia="Times New Roman" w:cs="Times New Roman"/>
          <w:kern w:val="0"/>
          <w:sz w:val="24"/>
        </w:rPr>
      </w:pPr>
      <w:r>
        <w:rPr>
          <w:rFonts w:ascii="黑体" w:hAnsi="黑体" w:eastAsia="黑体" w:cs="黑体"/>
          <w:spacing w:val="0"/>
          <w:kern w:val="0"/>
          <w:sz w:val="56"/>
          <w:szCs w:val="56"/>
        </w:rPr>
        <w:t>第五部分</w:t>
      </w:r>
      <w:r>
        <w:rPr>
          <w:rFonts w:ascii="宋体" w:hAnsi="宋体" w:cs="宋体"/>
          <w:spacing w:val="0"/>
          <w:kern w:val="0"/>
          <w:sz w:val="56"/>
          <w:szCs w:val="56"/>
        </w:rPr>
        <w:t> </w:t>
      </w:r>
    </w:p>
    <w:p>
      <w:pPr>
        <w:pStyle w:val="30"/>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附件</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0"/>
        <w:widowControl/>
        <w:numPr>
          <w:ilvl w:val="0"/>
          <w:numId w:val="3"/>
        </w:numPr>
        <w:spacing w:before="100" w:after="100" w:line="600" w:lineRule="atLeast"/>
        <w:ind w:left="0" w:right="0" w:firstLine="640"/>
        <w:jc w:val="left"/>
        <w:rPr>
          <w:rFonts w:ascii="黑体" w:hAnsi="黑体" w:eastAsia="黑体" w:cs="黑体"/>
          <w:spacing w:val="0"/>
          <w:kern w:val="0"/>
          <w:sz w:val="32"/>
          <w:szCs w:val="32"/>
        </w:rPr>
      </w:pPr>
      <w:r>
        <w:rPr>
          <w:rFonts w:ascii="黑体" w:hAnsi="黑体" w:eastAsia="黑体" w:cs="黑体"/>
          <w:spacing w:val="0"/>
          <w:kern w:val="0"/>
          <w:sz w:val="32"/>
          <w:szCs w:val="32"/>
        </w:rPr>
        <w:t>项目支出绩效自评表</w:t>
      </w:r>
    </w:p>
    <w:tbl>
      <w:tblPr>
        <w:tblStyle w:val="18"/>
        <w:tblW w:w="9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16"/>
        <w:gridCol w:w="571"/>
        <w:gridCol w:w="337"/>
        <w:gridCol w:w="2726"/>
        <w:gridCol w:w="898"/>
        <w:gridCol w:w="532"/>
        <w:gridCol w:w="993"/>
        <w:gridCol w:w="542"/>
        <w:gridCol w:w="633"/>
        <w:gridCol w:w="847"/>
        <w:gridCol w:w="1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“平安上杭”畅通工程建设经费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2494.52</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1594.52</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1532.52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96.11</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2494.52</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1594.52</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1532.52</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96.11</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预计本次项目总计投入2494.52万元，主要用于“平安上杭”雪亮工程建设及运维管理，并每年按市对县综治考评任务、乡村振兴考评任务续建，逐年分步实施。</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本次项目总计使用1532.52万元，主要用于“平安上杭”雪亮工程建设及运维管理，并每年按市对县综治考评任务、乡村振兴考评任务续建，逐年分步实施。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成本控制</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≤2494.52万元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1532.52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挽回经济损失</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达到或超过目标得100，未达到目标值的，（完成数量/目标数量）*100</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≥150起</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犯罪人数减少数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网络监控覆盖乡镇数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≥22个</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乡村监控覆盖率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项目按计划时间比例</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2022年度政法转移支付资金1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89</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罚没资金追缴金额</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≥8800万元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13202.23</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新增装备使用率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公安执法满意度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支持市（县）公安机关数量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≥1个</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警用装备配备达标率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受理案件及时率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2023年第一批道路交通安全隐患治理市级补助资金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57.63</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57.63</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用于道路交通安全隐患治理</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用于道路交通安全隐患治理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交通安全感提升率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完成省、市、县为民办实事项目数量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≥6处</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交通安全综合整治工作成效提高率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完成时效</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=1年</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2023年全市流动人口协管员经费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2023年全市流动人口协管员经费</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2023年全市流动人口协管员经费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补助各县（市、区）流动人口协管员经费</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持证人口享有基本公共服务化率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生态环境成本指标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符合条件办证率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持证人口享有基本公共服务比率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符合条件办证率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符合条件办证率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公众满意率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实有人口变动率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居住证办理合格率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居住证办理及时率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打击电诈经费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49.95</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49.95</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完成全年打击电信诈骗犯罪行为的目标，保障公民合法权益。</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完成全年打击电信诈骗犯罪行为的目标，保障公民合法权益。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成本控制</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挽回经济损失</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4082.2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减少电信诈骗案件发生</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≤200起</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群众反诈骗意识持续提升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反诈宣传活动满意率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破获电信诈骗案件数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≥50起</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移送起诉涉电信诈骗犯罪人数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按序时进度完成上级任务</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打击整治非法彩票工作专项资金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本次投入资金7万元，用于打击整治非法彩票专项工作。</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用于打击整治非法彩票工作专项资金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≥7万</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非法彩票案件涉案金额</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≥2万</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查处非法彩票案件人员数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破获非法彩票案件数量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≥5起</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打击非法彩票宣传覆盖率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年度工作目标按时完成比例</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道安隐患治理奖励资金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用于道路交通安全综合整治工作，提高道路交通安全隐患治理成效。</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用于道路交通安全综合整治工作，提高道路交通安全隐患治理成效。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道路交通安全综合整治工作成本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交通安全感提升率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完成省、市、县为民办实事项目数量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≥6处</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交通安全综合整治工作成效提高率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完成时效</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=1年</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第二批中央政法转移支付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罚没资金追缴金额</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≥8800万元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13202.23</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破案率上升率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公安执法满意度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支持市（县）公安机关数量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≥1个</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装备配备达标率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项目按计划时间比率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第一批中央政法转移支付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8.53</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8.54</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用于政治安全，维稳治安，提升辖区人民安全感</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用于政治安全，维稳治安，提升辖区人民安全感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0.85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本年度加快资金使用力度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罚没资金追缴金额（万元）</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14.37</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破案上升率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促进社会治安稳定情况</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公安执法满意度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刑事案件立案数量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≥25件</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购置装备验收合格率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装备（设备）采购及时性</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截止2022年9月30日反诈办劝返滞留缅北诈骗人员专项工作经费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用于反诈办劝返滞留缅北诈骗人员专项工作</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用于反诈办劝返滞留缅北诈骗人员专项工作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挽回经济损失</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3494.9</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反诈宣传活动满意率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破获电信诈骗案件数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≥50起</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移送起诉涉电信诈骗犯罪人数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按序时进度完成上级任务</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拘留所经费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预计本年支出拘留所经费78万元，主要用于拘留所日常所需，确保拘留所正常运转。</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预计本年支出拘留所经费78万元，主要用于拘留所日常所需，确保拘留所正常运转。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挽回经济损失</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犯罪率下降</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拘留人数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1536</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拘留事故数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≤0件</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项目按计划比例时间</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看守所经费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本年预计支出284.52万元，主要用于看守所日常经费支出，确保看守所正常运转。</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本年预计支出284.52万元，主要用于看守所日常经费支出，确保看守所正常运转。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284.52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挽回经济损失</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犯罪率下降</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关押人数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≥4560人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1.13</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年初绩效目标值定的太高，导致目标未完成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监区安全率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项目按计划比例时间</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=1年</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特定项目+1980000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182.43</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项目总投资909.2万元，用于建设南阳派出所</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用于建设南阳派出所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≥909.2万</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909.2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财政拨款资金</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≥198万</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198</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工程建设进度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项目方满意度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用地面积</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≥1851平方米</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1851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基本建设开工及时率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年度工作目标按时完成比例</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用于政治安全。维稳治安，安全隐患排查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80.00</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用于政治安全、维稳治安、提高公安快速反应能力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罚没资金追缴金额</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≥8800万元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13202.23</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破案率上升率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公安执法满意度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支持市（县）公安机关数量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≥1个</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装备配备达标率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项目按计划时间比率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增拨县公安民警英烈定向基金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基金补助人数达到40人，困难民辅警补助比例达到80%以上</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认真贯彻落实英烈基金各项要求，积极开展各项活动，切实将暖警惠警落到实处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20.35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困难民辅警救助覆盖率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基金补助人数</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≥40人</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194</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困难民辅警救助比例</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82</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项目按时间计划比例</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绩效自评公开表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77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844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追加林则徐禁毒教育基地建设项目资金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32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1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项目资金(万元)</w:t>
            </w: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290.87</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290.87</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其中：当年财政拨款</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290.87</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290.87</w:t>
            </w:r>
          </w:p>
        </w:tc>
        <w:tc>
          <w:tcPr>
            <w:tcW w:w="5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06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2023年12月以前完成建设并投入使用</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2023年12月以前完成建设并投入使用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7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624"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支出成本</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≤290.865569万元</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290.865</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提升青少年毒品防御能力</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≥85%</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支持市县（区）禁毒教育基地数量</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≥1个</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设备仪器配备达标率</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6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按时序进度完成建设任务</w:t>
            </w:r>
          </w:p>
        </w:tc>
        <w:tc>
          <w:tcPr>
            <w:tcW w:w="1525"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015"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w:t>
            </w:r>
          </w:p>
        </w:tc>
        <w:tc>
          <w:tcPr>
            <w:tcW w:w="275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bl>
    <w:p>
      <w:pPr>
        <w:pStyle w:val="30"/>
        <w:widowControl/>
        <w:numPr>
          <w:ilvl w:val="0"/>
          <w:numId w:val="0"/>
        </w:numPr>
        <w:spacing w:before="100" w:after="100" w:line="600" w:lineRule="atLeast"/>
        <w:ind w:left="640" w:leftChars="0" w:right="0" w:rightChars="0"/>
        <w:jc w:val="left"/>
        <w:rPr>
          <w:rFonts w:ascii="黑体" w:hAnsi="黑体" w:eastAsia="黑体" w:cs="黑体"/>
          <w:spacing w:val="0"/>
          <w:kern w:val="0"/>
          <w:sz w:val="32"/>
          <w:szCs w:val="32"/>
        </w:rPr>
      </w:pPr>
    </w:p>
    <w:tbl>
      <w:tblPr>
        <w:tblStyle w:val="33"/>
        <w:tblW w:w="9700" w:type="dxa"/>
        <w:jc w:val="center"/>
        <w:tblCellSpacing w:w="0" w:type="dxa"/>
        <w:tblLayout w:type="fixed"/>
        <w:tblCellMar>
          <w:top w:w="15" w:type="dxa"/>
          <w:left w:w="15" w:type="dxa"/>
          <w:bottom w:w="15" w:type="dxa"/>
          <w:right w:w="15" w:type="dxa"/>
        </w:tblCellMar>
      </w:tblPr>
      <w:tblGrid>
        <w:gridCol w:w="9700"/>
      </w:tblGrid>
      <w:tr>
        <w:tblPrEx>
          <w:tblCellMar>
            <w:top w:w="15" w:type="dxa"/>
            <w:left w:w="15" w:type="dxa"/>
            <w:bottom w:w="15" w:type="dxa"/>
            <w:right w:w="15" w:type="dxa"/>
          </w:tblCellMar>
        </w:tblPrEx>
        <w:trPr>
          <w:trHeight w:val="455" w:hRule="atLeast"/>
          <w:tblHeader/>
          <w:tblCellSpacing w:w="0" w:type="dxa"/>
          <w:jc w:val="center"/>
        </w:trPr>
        <w:tc>
          <w:tcPr>
            <w:tcW w:w="9700" w:type="dxa"/>
            <w:noWrap w:val="0"/>
            <w:tcMar>
              <w:top w:w="0" w:type="dxa"/>
              <w:left w:w="108" w:type="dxa"/>
              <w:bottom w:w="0" w:type="dxa"/>
              <w:right w:w="108" w:type="dxa"/>
            </w:tcMar>
            <w:vAlign w:val="center"/>
          </w:tcPr>
          <w:p>
            <w:pPr>
              <w:pStyle w:val="30"/>
              <w:widowControl/>
              <w:spacing w:before="100" w:after="100" w:line="320" w:lineRule="atLeast"/>
              <w:ind w:left="0" w:right="0"/>
              <w:jc w:val="center"/>
              <w:rPr>
                <w:rFonts w:ascii="Times New Roman" w:hAnsi="Times New Roman" w:eastAsia="Times New Roman" w:cs="Times New Roman"/>
                <w:b w:val="0"/>
                <w:bCs w:val="0"/>
                <w:i w:val="0"/>
                <w:iCs w:val="0"/>
                <w:smallCaps w:val="0"/>
                <w:color w:val="000000"/>
                <w:kern w:val="0"/>
                <w:sz w:val="24"/>
              </w:rPr>
            </w:pPr>
          </w:p>
        </w:tc>
      </w:tr>
    </w:tbl>
    <w:p>
      <w:pPr>
        <w:pStyle w:val="4"/>
        <w:bidi w:val="0"/>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cs="黑体"/>
          <w:sz w:val="32"/>
          <w:szCs w:val="32"/>
          <w:lang w:eastAsia="zh-CN"/>
        </w:rPr>
        <w:t>无</w:t>
      </w:r>
      <w:r>
        <w:rPr>
          <w:rFonts w:hint="eastAsia" w:ascii="黑体" w:hAnsi="黑体" w:eastAsia="黑体" w:cs="黑体"/>
          <w:sz w:val="32"/>
          <w:szCs w:val="32"/>
        </w:rPr>
        <w:t>《项目支出绩效评价报告》</w:t>
      </w:r>
    </w:p>
    <w:p>
      <w:pPr>
        <w:pStyle w:val="30"/>
        <w:widowControl/>
        <w:spacing w:before="100" w:after="100" w:line="600" w:lineRule="atLeast"/>
        <w:ind w:right="0"/>
        <w:jc w:val="left"/>
        <w:rPr>
          <w:rFonts w:ascii="黑体" w:hAnsi="黑体" w:eastAsia="黑体" w:cs="黑体"/>
          <w:spacing w:val="0"/>
          <w:kern w:val="0"/>
          <w:sz w:val="32"/>
          <w:szCs w:val="32"/>
        </w:rPr>
      </w:pPr>
      <w:r>
        <w:rPr>
          <w:rFonts w:ascii="黑体" w:hAnsi="黑体" w:eastAsia="黑体" w:cs="黑体"/>
          <w:spacing w:val="0"/>
          <w:kern w:val="0"/>
          <w:sz w:val="32"/>
          <w:szCs w:val="32"/>
        </w:rPr>
        <w:t>三、部门整体支出绩效自评表</w:t>
      </w:r>
    </w:p>
    <w:tbl>
      <w:tblPr>
        <w:tblStyle w:val="18"/>
        <w:tblW w:w="97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7"/>
        <w:gridCol w:w="594"/>
        <w:gridCol w:w="759"/>
        <w:gridCol w:w="1020"/>
        <w:gridCol w:w="858"/>
        <w:gridCol w:w="976"/>
        <w:gridCol w:w="976"/>
        <w:gridCol w:w="1028"/>
        <w:gridCol w:w="515"/>
        <w:gridCol w:w="744"/>
        <w:gridCol w:w="1286"/>
        <w:gridCol w:w="408"/>
        <w:gridCol w:w="3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9023"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部门整体绩效自评表</w:t>
            </w:r>
          </w:p>
        </w:tc>
        <w:tc>
          <w:tcPr>
            <w:tcW w:w="4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023"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（2023年度）</w:t>
            </w:r>
          </w:p>
        </w:tc>
        <w:tc>
          <w:tcPr>
            <w:tcW w:w="4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专项名称</w:t>
            </w:r>
          </w:p>
        </w:tc>
        <w:tc>
          <w:tcPr>
            <w:tcW w:w="740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118部门整体</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部门（单位）名称</w:t>
            </w:r>
          </w:p>
        </w:tc>
        <w:tc>
          <w:tcPr>
            <w:tcW w:w="285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上杭县公安局</w:t>
            </w:r>
          </w:p>
        </w:tc>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部门预算编码</w:t>
            </w:r>
          </w:p>
        </w:tc>
        <w:tc>
          <w:tcPr>
            <w:tcW w:w="25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118</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财政资金安排和使用情况</w:t>
            </w:r>
          </w:p>
        </w:tc>
        <w:tc>
          <w:tcPr>
            <w:tcW w:w="135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85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预算安排</w:t>
            </w:r>
          </w:p>
        </w:tc>
        <w:tc>
          <w:tcPr>
            <w:tcW w:w="20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拨付情况</w:t>
            </w:r>
          </w:p>
        </w:tc>
        <w:tc>
          <w:tcPr>
            <w:tcW w:w="254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结余情况</w:t>
            </w:r>
          </w:p>
        </w:tc>
        <w:tc>
          <w:tcPr>
            <w:tcW w:w="40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33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1"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年初部门预算安排金额（含历年结余结转）①</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年中调整金额②</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 ③ = ①+②</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年度拨付金额 ④</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支出实现率(%) ⑤=④/③</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本年度结余金额⑥=③-④</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资金结余率(%) ⑦=⑥/③</w:t>
            </w:r>
          </w:p>
        </w:tc>
        <w:tc>
          <w:tcPr>
            <w:tcW w:w="40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4"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22153.87</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1726.85</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23880.72</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23137.08</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96.8900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743.64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财政资金小计</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①中央财政资金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②省级财政资金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③地方财政资金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22153.87</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1726.85</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23880.72</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23137.08</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96.8900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743.64</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3.1100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其他资金小计</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9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518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8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2023年财政预算收入22153.8698万元，支出预算22153.8698万元，年度目标是100%完成绩效目标，确保公安工作正常运行，进一步提高公安工作快速反应能力。</w:t>
            </w:r>
          </w:p>
        </w:tc>
        <w:tc>
          <w:tcPr>
            <w:tcW w:w="4320"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2023年财政预算收入23880.72万元，支出23137.08万元，确保公安工作正常运行，进一步提高公安工作快速反应能力。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一般性支出情况</w:t>
            </w:r>
          </w:p>
        </w:tc>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一般性支出情况</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“三公”经费控制率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“三公”经费违规使用次数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会议费、差旅费超标准使用次数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≤0次</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各项办公支出</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≤22153.8698万元</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23137.08</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年初预算数没有包括年中调整金额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财政支出项目完成率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96.89</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2.91</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项目资金未支付完成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协助破获案件数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≥500件</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案件减少数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≥100件</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网络监控覆盖乡镇数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=22个</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监控运行在线率</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5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项目实施时间</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≤1年</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0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47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总分值、评价总分 (S)</w:t>
            </w:r>
          </w:p>
        </w:tc>
        <w:tc>
          <w:tcPr>
            <w:tcW w:w="32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88.91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评价等级 </w:t>
            </w:r>
          </w:p>
        </w:tc>
        <w:tc>
          <w:tcPr>
            <w:tcW w:w="89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良（90&gt;S≧80）</w:t>
            </w:r>
          </w:p>
        </w:tc>
      </w:tr>
    </w:tbl>
    <w:p>
      <w:pPr>
        <w:pStyle w:val="30"/>
        <w:widowControl/>
        <w:spacing w:before="100" w:after="100" w:line="600" w:lineRule="atLeast"/>
        <w:ind w:right="0"/>
        <w:jc w:val="left"/>
        <w:rPr>
          <w:rFonts w:ascii="黑体" w:hAnsi="黑体" w:eastAsia="黑体" w:cs="黑体"/>
          <w:spacing w:val="0"/>
          <w:kern w:val="0"/>
          <w:sz w:val="32"/>
          <w:szCs w:val="32"/>
        </w:rPr>
      </w:pPr>
    </w:p>
    <w:p>
      <w:pPr>
        <w:pStyle w:val="30"/>
        <w:widowControl/>
        <w:spacing w:before="100" w:after="100" w:line="600" w:lineRule="atLeast"/>
        <w:ind w:left="0" w:right="0" w:firstLine="640"/>
        <w:jc w:val="left"/>
        <w:rPr>
          <w:rFonts w:ascii="Times New Roman" w:hAnsi="Times New Roman" w:eastAsia="Times New Roman" w:cs="Times New Roman"/>
          <w:kern w:val="0"/>
          <w:sz w:val="24"/>
        </w:rPr>
      </w:pPr>
    </w:p>
    <w:tbl>
      <w:tblPr>
        <w:tblStyle w:val="33"/>
        <w:tblpPr w:leftFromText="180" w:rightFromText="180" w:vertAnchor="text" w:horzAnchor="page" w:tblpX="108" w:tblpY="2244"/>
        <w:tblOverlap w:val="never"/>
        <w:tblW w:w="16976" w:type="dxa"/>
        <w:tblCellSpacing w:w="0" w:type="dxa"/>
        <w:tblInd w:w="0" w:type="dxa"/>
        <w:tblLayout w:type="fixed"/>
        <w:tblCellMar>
          <w:top w:w="15" w:type="dxa"/>
          <w:left w:w="15" w:type="dxa"/>
          <w:bottom w:w="15" w:type="dxa"/>
          <w:right w:w="15" w:type="dxa"/>
        </w:tblCellMar>
      </w:tblPr>
      <w:tblGrid>
        <w:gridCol w:w="16976"/>
      </w:tblGrid>
      <w:tr>
        <w:tblPrEx>
          <w:tblCellMar>
            <w:top w:w="15" w:type="dxa"/>
            <w:left w:w="15" w:type="dxa"/>
            <w:bottom w:w="15" w:type="dxa"/>
            <w:right w:w="15" w:type="dxa"/>
          </w:tblCellMar>
        </w:tblPrEx>
        <w:trPr>
          <w:trHeight w:val="716" w:hRule="atLeast"/>
          <w:tblHeader/>
          <w:tblCellSpacing w:w="0" w:type="dxa"/>
        </w:trPr>
        <w:tc>
          <w:tcPr>
            <w:tcW w:w="16976" w:type="dxa"/>
            <w:noWrap w:val="0"/>
            <w:tcMar>
              <w:top w:w="0" w:type="dxa"/>
              <w:left w:w="108" w:type="dxa"/>
              <w:bottom w:w="0" w:type="dxa"/>
              <w:right w:w="108" w:type="dxa"/>
            </w:tcMar>
            <w:vAlign w:val="center"/>
          </w:tcPr>
          <w:p>
            <w:pPr>
              <w:pStyle w:val="30"/>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p>
        </w:tc>
      </w:tr>
      <w:tr>
        <w:tblPrEx>
          <w:tblCellMar>
            <w:top w:w="15" w:type="dxa"/>
            <w:left w:w="15" w:type="dxa"/>
            <w:bottom w:w="15" w:type="dxa"/>
            <w:right w:w="15" w:type="dxa"/>
          </w:tblCellMar>
        </w:tblPrEx>
        <w:trPr>
          <w:trHeight w:val="638" w:hRule="atLeast"/>
          <w:tblHeader/>
          <w:tblCellSpacing w:w="0" w:type="dxa"/>
        </w:trPr>
        <w:tc>
          <w:tcPr>
            <w:tcW w:w="16976" w:type="dxa"/>
            <w:noWrap w:val="0"/>
            <w:tcMar>
              <w:top w:w="0" w:type="dxa"/>
              <w:left w:w="108" w:type="dxa"/>
              <w:bottom w:w="0" w:type="dxa"/>
              <w:right w:w="108" w:type="dxa"/>
            </w:tcMar>
            <w:vAlign w:val="center"/>
          </w:tcPr>
          <w:p>
            <w:pPr>
              <w:pStyle w:val="30"/>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p>
        </w:tc>
      </w:tr>
    </w:tbl>
    <w:p>
      <w:pPr>
        <w:pStyle w:val="30"/>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pPr>
        <w:pStyle w:val="29"/>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bookmarkEnd w:id="0"/>
    <w:p>
      <w:pPr>
        <w:adjustRightInd w:val="0"/>
        <w:snapToGrid w:val="0"/>
        <w:rPr>
          <w:rFonts w:hint="eastAsia" w:ascii="宋体" w:hAnsi="宋体"/>
          <w:b/>
          <w:sz w:val="32"/>
          <w:szCs w:val="32"/>
        </w:rPr>
      </w:pPr>
    </w:p>
    <w:p>
      <w:pPr>
        <w:adjustRightInd w:val="0"/>
        <w:snapToGrid w:val="0"/>
        <w:rPr>
          <w:rFonts w:hint="eastAsia" w:ascii="宋体" w:hAnsi="宋体"/>
          <w:b/>
          <w:sz w:val="32"/>
          <w:szCs w:val="32"/>
        </w:rPr>
      </w:pPr>
    </w:p>
    <w:sectPr>
      <w:footerReference r:id="rId5" w:type="default"/>
      <w:pgSz w:w="11906" w:h="16838"/>
      <w:pgMar w:top="1440" w:right="1083" w:bottom="1440" w:left="1083" w:header="0" w:footer="7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38</w:t>
                          </w:r>
                          <w:r>
                            <w:rPr>
                              <w:rFonts w:ascii="宋体" w:hAnsi="宋体" w:eastAsia="宋体" w:cs="宋体"/>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38</w:t>
                    </w:r>
                    <w:r>
                      <w:rPr>
                        <w:rFonts w:ascii="宋体" w:hAnsi="宋体" w:eastAsia="宋体" w:cs="宋体"/>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39E35"/>
    <w:multiLevelType w:val="singleLevel"/>
    <w:tmpl w:val="96B39E35"/>
    <w:lvl w:ilvl="0" w:tentative="0">
      <w:start w:val="1"/>
      <w:numFmt w:val="chineseCounting"/>
      <w:suff w:val="space"/>
      <w:lvlText w:val="（%1)"/>
      <w:lvlJc w:val="left"/>
      <w:rPr>
        <w:rFonts w:hint="eastAsia"/>
      </w:rPr>
    </w:lvl>
  </w:abstractNum>
  <w:abstractNum w:abstractNumId="1">
    <w:nsid w:val="ADDBA154"/>
    <w:multiLevelType w:val="singleLevel"/>
    <w:tmpl w:val="ADDBA154"/>
    <w:lvl w:ilvl="0" w:tentative="0">
      <w:start w:val="1"/>
      <w:numFmt w:val="chineseCounting"/>
      <w:suff w:val="nothing"/>
      <w:lvlText w:val="%1、"/>
      <w:lvlJc w:val="left"/>
      <w:rPr>
        <w:rFonts w:hint="eastAsia"/>
      </w:rPr>
    </w:lvl>
  </w:abstractNum>
  <w:abstractNum w:abstractNumId="2">
    <w:nsid w:val="E10BCC79"/>
    <w:multiLevelType w:val="singleLevel"/>
    <w:tmpl w:val="E10BCC79"/>
    <w:lvl w:ilvl="0" w:tentative="0">
      <w:start w:val="1"/>
      <w:numFmt w:val="chineseCounting"/>
      <w:suff w:val="nothing"/>
      <w:lvlText w:val="（%1）"/>
      <w:lvlJc w:val="left"/>
      <w:pPr>
        <w:ind w:left="840" w:leftChars="0" w:firstLine="0" w:firstLineChars="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wMmM3NjI4MWViMDJiNjU1MGNiOTgxZTFmM2M5Y2I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68A6"/>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56D6"/>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7F2F15"/>
    <w:rsid w:val="00836830"/>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10863"/>
    <w:rsid w:val="00B27D51"/>
    <w:rsid w:val="00B326F7"/>
    <w:rsid w:val="00B32BEE"/>
    <w:rsid w:val="00B373AF"/>
    <w:rsid w:val="00B4208A"/>
    <w:rsid w:val="00B57D7A"/>
    <w:rsid w:val="00B76620"/>
    <w:rsid w:val="00B840CE"/>
    <w:rsid w:val="00B96C3D"/>
    <w:rsid w:val="00BD0928"/>
    <w:rsid w:val="00BD380A"/>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B7316"/>
    <w:rsid w:val="00EE533B"/>
    <w:rsid w:val="00F04882"/>
    <w:rsid w:val="00F63327"/>
    <w:rsid w:val="00F80A29"/>
    <w:rsid w:val="00FA7CA5"/>
    <w:rsid w:val="00FD08EC"/>
    <w:rsid w:val="00FD7690"/>
    <w:rsid w:val="133A2AEF"/>
    <w:rsid w:val="14D540D2"/>
    <w:rsid w:val="162D0248"/>
    <w:rsid w:val="1D092F5C"/>
    <w:rsid w:val="23AF2D33"/>
    <w:rsid w:val="2955475B"/>
    <w:rsid w:val="2A4407DB"/>
    <w:rsid w:val="2AAD39E7"/>
    <w:rsid w:val="2CF91956"/>
    <w:rsid w:val="31B8086F"/>
    <w:rsid w:val="37573655"/>
    <w:rsid w:val="40594FDA"/>
    <w:rsid w:val="434C4357"/>
    <w:rsid w:val="49D2453E"/>
    <w:rsid w:val="57CD160B"/>
    <w:rsid w:val="5C0165AE"/>
    <w:rsid w:val="5EC221E6"/>
    <w:rsid w:val="63BD0699"/>
    <w:rsid w:val="65681658"/>
    <w:rsid w:val="6F856972"/>
    <w:rsid w:val="70A638C0"/>
    <w:rsid w:val="71B60AB3"/>
    <w:rsid w:val="71C57D22"/>
    <w:rsid w:val="728E02F3"/>
    <w:rsid w:val="729C6E6A"/>
    <w:rsid w:val="77C32472"/>
    <w:rsid w:val="7ACB4B83"/>
    <w:rsid w:val="7D7E3AB1"/>
    <w:rsid w:val="7DE71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2">
    <w:name w:val="heading 3"/>
    <w:basedOn w:val="1"/>
    <w:next w:val="1"/>
    <w:link w:val="2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23"/>
    <w:autoRedefine/>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autoRedefine/>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autoRedefine/>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6"/>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autoRedefine/>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Strong"/>
    <w:basedOn w:val="19"/>
    <w:autoRedefine/>
    <w:qFormat/>
    <w:uiPriority w:val="0"/>
    <w:rPr>
      <w:rFonts w:cs="Times New Roman"/>
      <w:b/>
      <w:bCs/>
    </w:rPr>
  </w:style>
  <w:style w:type="character" w:styleId="21">
    <w:name w:val="page number"/>
    <w:basedOn w:val="19"/>
    <w:autoRedefine/>
    <w:qFormat/>
    <w:uiPriority w:val="0"/>
  </w:style>
  <w:style w:type="character" w:styleId="22">
    <w:name w:val="Hyperlink"/>
    <w:basedOn w:val="19"/>
    <w:autoRedefine/>
    <w:qFormat/>
    <w:uiPriority w:val="0"/>
    <w:rPr>
      <w:color w:val="0000FF"/>
      <w:u w:val="single"/>
    </w:rPr>
  </w:style>
  <w:style w:type="character" w:customStyle="1" w:styleId="23">
    <w:name w:val="标题 4 字符"/>
    <w:basedOn w:val="19"/>
    <w:link w:val="5"/>
    <w:autoRedefine/>
    <w:qFormat/>
    <w:uiPriority w:val="0"/>
    <w:rPr>
      <w:rFonts w:ascii="Cambria" w:hAnsi="Cambria"/>
      <w:b/>
      <w:bCs/>
      <w:kern w:val="2"/>
      <w:sz w:val="28"/>
      <w:szCs w:val="28"/>
    </w:rPr>
  </w:style>
  <w:style w:type="paragraph" w:styleId="24">
    <w:name w:val="No Spacing"/>
    <w:link w:val="25"/>
    <w:autoRedefine/>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字符"/>
    <w:link w:val="24"/>
    <w:autoRedefine/>
    <w:qFormat/>
    <w:locked/>
    <w:uiPriority w:val="0"/>
    <w:rPr>
      <w:rFonts w:eastAsia="仿宋_GB2312"/>
      <w:sz w:val="30"/>
      <w:szCs w:val="22"/>
      <w:lang w:bidi="ar-SA"/>
    </w:rPr>
  </w:style>
  <w:style w:type="character" w:customStyle="1" w:styleId="26">
    <w:name w:val="页脚 字符"/>
    <w:basedOn w:val="19"/>
    <w:link w:val="11"/>
    <w:autoRedefine/>
    <w:qFormat/>
    <w:uiPriority w:val="0"/>
    <w:rPr>
      <w:kern w:val="2"/>
      <w:sz w:val="18"/>
      <w:szCs w:val="18"/>
    </w:rPr>
  </w:style>
  <w:style w:type="paragraph" w:styleId="27">
    <w:name w:val="List Paragraph"/>
    <w:basedOn w:val="1"/>
    <w:autoRedefine/>
    <w:qFormat/>
    <w:uiPriority w:val="0"/>
    <w:pPr>
      <w:ind w:firstLine="420" w:firstLineChars="200"/>
    </w:pPr>
  </w:style>
  <w:style w:type="character" w:customStyle="1" w:styleId="28">
    <w:name w:val="标题 3 字符"/>
    <w:basedOn w:val="19"/>
    <w:link w:val="2"/>
    <w:autoRedefine/>
    <w:qFormat/>
    <w:uiPriority w:val="0"/>
    <w:rPr>
      <w:b/>
      <w:bCs/>
      <w:kern w:val="2"/>
      <w:sz w:val="32"/>
      <w:szCs w:val="32"/>
    </w:rPr>
  </w:style>
  <w:style w:type="paragraph" w:customStyle="1" w:styleId="29">
    <w:name w:val="p"/>
    <w:basedOn w:val="1"/>
    <w:autoRedefine/>
    <w:qFormat/>
    <w:uiPriority w:val="0"/>
  </w:style>
  <w:style w:type="paragraph" w:customStyle="1" w:styleId="30">
    <w:name w:val="MsoNormal"/>
    <w:basedOn w:val="1"/>
    <w:autoRedefine/>
    <w:qFormat/>
    <w:uiPriority w:val="0"/>
  </w:style>
  <w:style w:type="table" w:customStyle="1" w:styleId="31">
    <w:name w:val="MsoNormalTable"/>
    <w:basedOn w:val="18"/>
    <w:autoRedefine/>
    <w:qFormat/>
    <w:uiPriority w:val="0"/>
  </w:style>
  <w:style w:type="paragraph" w:customStyle="1" w:styleId="32">
    <w:name w:val="15"/>
    <w:basedOn w:val="1"/>
    <w:autoRedefine/>
    <w:qFormat/>
    <w:uiPriority w:val="0"/>
  </w:style>
  <w:style w:type="table" w:customStyle="1" w:styleId="33">
    <w:name w:val="MsoNormalTable mce-item-table"/>
    <w:basedOn w:val="18"/>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0</Words>
  <Characters>2</Characters>
  <Lines>1</Lines>
  <Paragraphs>1</Paragraphs>
  <TotalTime>10</TotalTime>
  <ScaleCrop>false</ScaleCrop>
  <LinksUpToDate>false</LinksUpToDate>
  <CharactersWithSpaces>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Wei</cp:lastModifiedBy>
  <cp:lastPrinted>2024-10-09T08:20:00Z</cp:lastPrinted>
  <dcterms:modified xsi:type="dcterms:W3CDTF">2026-07-17T01:40:29Z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8925444054BC4F3EBB02E998BA6B6F3D_12</vt:lpwstr>
  </property>
</Properties>
</file>