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91900">
      <w:pPr>
        <w:spacing w:line="560" w:lineRule="exact"/>
        <w:jc w:val="both"/>
        <w:rPr>
          <w:rFonts w:hint="eastAsia"/>
          <w:sz w:val="32"/>
          <w:szCs w:val="32"/>
          <w:lang w:eastAsia="zh-CN"/>
        </w:rPr>
      </w:pPr>
      <w:r>
        <w:rPr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bookmarkStart w:id="0" w:name="_GoBack"/>
      <w:bookmarkEnd w:id="0"/>
    </w:p>
    <w:p w14:paraId="6845187A">
      <w:pPr>
        <w:pStyle w:val="2"/>
        <w:rPr>
          <w:rFonts w:hint="eastAsia"/>
          <w:lang w:eastAsia="zh-CN"/>
        </w:rPr>
      </w:pPr>
    </w:p>
    <w:p w14:paraId="308457F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上杭县交通运输局关于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4年度</w:t>
      </w:r>
    </w:p>
    <w:p w14:paraId="2B6CAA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农村道路客运和城市交通发展奖励涨价补贴</w:t>
      </w:r>
    </w:p>
    <w:p w14:paraId="76D2F6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资金（场站部分）考核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情况的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报告</w:t>
      </w:r>
    </w:p>
    <w:p w14:paraId="4ADC3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0B9CB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F4C0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根据福建省财政厅、福建省交通运输厅关于《福建省农村道路客运和城市交通发展奖励涨价补贴资金管理办法》（闽财规〔2023〕8号）精神，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我局开展了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农村道路客运和城市交通发展奖励涨价补贴资金（场站部分）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考核自评，有关情况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报告如下：</w:t>
      </w:r>
    </w:p>
    <w:p w14:paraId="7F9D7B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农村客运站点发展补贴资金（考核分值100分）</w:t>
      </w:r>
    </w:p>
    <w:p w14:paraId="32D54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20" w:left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（一）地方财政投入情况系数（满分10分）</w:t>
      </w:r>
    </w:p>
    <w:p w14:paraId="1EF3F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县级政府落实乡镇综合运输服务站、港湾式客运站建设及客货邮融合发展补助资金，补助资金总额达到30万元的，得3分；达到150万元的，得10分；30万元以下不得分，30-150万元之间按等比例得分，得分保留小数点后面1位数。    </w:t>
      </w:r>
    </w:p>
    <w:p w14:paraId="721C9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县级政府已落实</w:t>
      </w:r>
      <w:r>
        <w:rPr>
          <w:rFonts w:hint="eastAsia" w:ascii="仿宋_GB2312" w:hAnsi="仿宋_GB2312" w:eastAsia="仿宋_GB2312" w:cs="仿宋_GB2312"/>
          <w:sz w:val="32"/>
          <w:szCs w:val="32"/>
        </w:rPr>
        <w:t>客货邮融合发展补助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共计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1545712.17元。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此项内容经自评得分为：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10分。</w:t>
      </w:r>
    </w:p>
    <w:p w14:paraId="237FE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（二）建设投资情况系数（满分35分）</w:t>
      </w:r>
    </w:p>
    <w:p w14:paraId="4614A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建设项目实行投资计划管理，项目投资计划如需调整，须按相关规定履行程序，原则上只能调整1次。设区市交通运输部门应严格把关项目选址，历年列入省级交通建设补助的项目不得再申请建设补贴。1.列入上年度省级建设计划应完工，且实际建成、功能符合相关规定的乡镇综合运输服务站项目（单个乡镇综合运输服务站项目建设总投资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N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表示）, N ≥180万元的，得10分；180万元＞ N ≥90万元的，得6分；90万元＞ N ≥45万元，得4分；45万元＞ N ≥20万元的，得2分。2.列入上年度省级建设计划应完工，且实际建成、功能符合相关规定的港湾式客运站项目（单个港湾式客运站建设总投资用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表示）, M ≥30万元，得2分；30万元＞ M ≥20万元，得1.5分。</w:t>
      </w:r>
    </w:p>
    <w:p w14:paraId="71D6AAD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新建茶地镇翁基村港湾式客运站，得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2分。</w:t>
      </w:r>
    </w:p>
    <w:p w14:paraId="1379D46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2.新建下都镇综合运输服务站，得6分。</w:t>
      </w:r>
    </w:p>
    <w:p w14:paraId="2DAD4B5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3.改建南阳镇综合运输服务站，得4分。</w:t>
      </w:r>
    </w:p>
    <w:p w14:paraId="3608E84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4.改建中都镇综合运输服务站，得2分。</w:t>
      </w:r>
    </w:p>
    <w:p w14:paraId="65D1801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5.改建蛟洋镇综合运输服务站，得4分。</w:t>
      </w:r>
    </w:p>
    <w:p w14:paraId="0A1ECCD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此项内容经自评得分为：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2+6+4+2+4=18分</w:t>
      </w:r>
    </w:p>
    <w:p w14:paraId="63B99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（三）历年列入省级交通建设补助项目数量及建成投入使用情况系数（满分40分）</w:t>
      </w:r>
    </w:p>
    <w:p w14:paraId="24A7F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1.历年列入省级建设补助且已取得《道路运输经营许可证》的乡镇综合运输服务站项目，每个项目得1分，满分40分。</w:t>
      </w:r>
    </w:p>
    <w:p w14:paraId="099D4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2.未完成当年度及往年度省级交通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部门重点工作任务的，每个项目扣0.5分；在省级及以上各类检查中发现问题的，每次扣0.5分。</w:t>
      </w:r>
    </w:p>
    <w:p w14:paraId="0D0AF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3.在考核过程中发现历年列入省级建设补助的乡镇综合运输服务站客、货运功能不能持续发挥作用的，从得分中每个项目扣2分，本项得分扣完为止。扣分项目不得列入当批次补贴范围。</w:t>
      </w:r>
    </w:p>
    <w:p w14:paraId="3DB0A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庐丰畲族乡综合运输服务站、白砂镇综合运输服务站、茶地镇综合运输服务站等三个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项目列入省级建设补助且已取得《道路运输经营许可证》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，各项分别得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1分。</w:t>
      </w:r>
    </w:p>
    <w:p w14:paraId="13FBC1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此项内容经自评得分为：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1+1+1=3分</w:t>
      </w:r>
    </w:p>
    <w:p w14:paraId="41DEC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（四）其他考核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因素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系数（满分15分）</w:t>
      </w:r>
    </w:p>
    <w:p w14:paraId="7DC74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1.上年度承担省级交通相关客货邮融合建设试点任务，并取得相应成效的（具体考核办法另行制定），每年得10分。</w:t>
      </w:r>
    </w:p>
    <w:p w14:paraId="41E93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2.“四好农村路”农村物流服务模式经验做法示范效应突出、获得交通运输部发文推广的，一次性得5分。</w:t>
      </w:r>
    </w:p>
    <w:p w14:paraId="0EEA9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2023年承担省级农村客货邮融合发展试点县创建任务，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2024年通过验收，被评为福建省农村客货邮融合发展典型案例之一。</w:t>
      </w:r>
    </w:p>
    <w:p w14:paraId="2E1F6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此项内容自评得分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分。</w:t>
      </w:r>
    </w:p>
    <w:p w14:paraId="757BE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、等级客运站发展补贴资金（考核分值100分）</w:t>
      </w:r>
    </w:p>
    <w:p w14:paraId="3F53D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（一）地方出台扶持政策情况系数（本项满分10分）</w:t>
      </w:r>
    </w:p>
    <w:p w14:paraId="0CD1DF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县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级政府合计配套并落实等级客运站项目各类资金扶持（包括但不限于建设补助资金、土地出让金返还、税费减免、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贷款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利息减免、运营补贴等），扶持资金总额达到100万元的，得1分；达到1000万元的，得5分；100万元以下不得分，100万元至1000万元之间的，按照等比例得分，得分保留小数点后面1位数。</w:t>
      </w:r>
    </w:p>
    <w:p w14:paraId="5C9EB3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地方政府落实关于等级客运站土地用途混合使用政策，在项目的交通枢纽用地类别基础上增加商务、商业、其他公用设施营业网点和社会停车场等用地类别的，得5分。    </w:t>
      </w:r>
    </w:p>
    <w:p w14:paraId="1BA41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地方出台扶持政策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此项内容经自评得分为：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分</w:t>
      </w:r>
    </w:p>
    <w:p w14:paraId="28D919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）新、改扩建项目建设投资情况系数（本项满分40分）</w:t>
      </w:r>
    </w:p>
    <w:p w14:paraId="6ECDE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建设项目实行投资计划管理，项目投资计划如需调整，须按相关规定履行程序，原则上只能调整1次。列入上年度省级建设计划的等级客运站建设项目（含新、改扩建），于上年度完工的，得35分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81BF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项目完成站级核定的，得1分。</w:t>
      </w:r>
    </w:p>
    <w:p w14:paraId="203F8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项目配套建设充、换电站的，得2分；项目配套建设社会公共停车场（不少于20个轿车车位）的，得2分，每增加5个加0.5分。该项封顶4分。</w:t>
      </w:r>
    </w:p>
    <w:p w14:paraId="117D7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设区市上年度无列入上年度省级建设计划客运站项目的，本项40分不得分。</w:t>
      </w:r>
    </w:p>
    <w:p w14:paraId="33AC5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无</w:t>
      </w:r>
      <w:r>
        <w:rPr>
          <w:rFonts w:hint="eastAsia" w:ascii="仿宋_GB2312" w:hAnsi="仿宋_GB2312" w:eastAsia="仿宋_GB2312" w:cs="仿宋_GB2312"/>
          <w:sz w:val="32"/>
          <w:szCs w:val="32"/>
        </w:rPr>
        <w:t>新、改扩建项目建设投资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此项内容经自评得分为：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0分</w:t>
      </w:r>
    </w:p>
    <w:p w14:paraId="23A8D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）已投入使用项目运营管理情况系数（本项满分50分）</w:t>
      </w:r>
    </w:p>
    <w:p w14:paraId="268C7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客运站项目已在运政系统内（相关信息完整准确），</w:t>
      </w:r>
    </w:p>
    <w:p w14:paraId="23B29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且正常运营的，一、二级站每站得5分，三级站每站得2分；承担客货邮融合发展县级分拨中心功能的，每站加2分。</w:t>
      </w:r>
    </w:p>
    <w:p w14:paraId="431F6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未完成当年度及往年度省级交通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运输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部门重点工作任务的，一、二级站每站扣5分，三级站每站扣2分。</w:t>
      </w:r>
    </w:p>
    <w:p w14:paraId="03743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客运站发生同等及以上安全生产责任事故的，每次扣5分；在省级及以上各类检查中发现问题的，每次扣0.5分。(4）本项满分50分，扣完为止。</w:t>
      </w:r>
    </w:p>
    <w:p w14:paraId="5D655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上杭汽车站（二级站）</w:t>
      </w:r>
      <w:r>
        <w:rPr>
          <w:rFonts w:hint="eastAsia" w:ascii="仿宋_GB2312" w:hAnsi="仿宋_GB2312" w:eastAsia="仿宋_GB2312" w:cs="仿宋_GB2312"/>
          <w:sz w:val="32"/>
          <w:szCs w:val="32"/>
        </w:rPr>
        <w:t>在运政系统内（相关信息完整准确）且正常运营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此项内容经自评得分为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：5分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 w14:paraId="36BF6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以上各项合计得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46</w:t>
      </w:r>
      <w:r>
        <w:rPr>
          <w:rFonts w:hint="eastAsia" w:ascii="仿宋_GB2312" w:hAnsi="仿宋_GB2312" w:eastAsia="仿宋_GB2312" w:cs="仿宋_GB2312"/>
          <w:sz w:val="32"/>
          <w:szCs w:val="32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79B2E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eastAsia"/>
          <w:lang w:val="en-US" w:eastAsia="zh-CN"/>
        </w:rPr>
      </w:pPr>
    </w:p>
    <w:p w14:paraId="48D5A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上杭县交通运输局</w:t>
      </w:r>
    </w:p>
    <w:p w14:paraId="386D1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2025年2月28日</w:t>
      </w:r>
    </w:p>
    <w:p w14:paraId="01B4FB6D">
      <w:pPr>
        <w:pStyle w:val="2"/>
        <w:rPr>
          <w:rFonts w:hint="eastAsia"/>
          <w:lang w:eastAsia="zh-CN"/>
        </w:rPr>
      </w:pPr>
    </w:p>
    <w:p w14:paraId="0891AFDF">
      <w:pPr>
        <w:pStyle w:val="2"/>
        <w:rPr>
          <w:rFonts w:hint="eastAsia"/>
          <w:lang w:val="en-US" w:eastAsia="zh-CN"/>
        </w:rPr>
      </w:pPr>
    </w:p>
    <w:p w14:paraId="71FB4934">
      <w:pPr>
        <w:pStyle w:val="2"/>
        <w:rPr>
          <w:rFonts w:hint="eastAsia"/>
        </w:rPr>
      </w:pPr>
    </w:p>
    <w:p w14:paraId="1AD5D4A7">
      <w:pPr>
        <w:pStyle w:val="2"/>
        <w:rPr>
          <w:rFonts w:hint="eastAsia"/>
          <w:lang w:val="en-US" w:eastAsia="zh-CN"/>
        </w:rPr>
      </w:pPr>
    </w:p>
    <w:p w14:paraId="3FF70856">
      <w:pPr>
        <w:pStyle w:val="2"/>
        <w:rPr>
          <w:rFonts w:hint="eastAsia"/>
          <w:lang w:eastAsia="zh-CN"/>
        </w:rPr>
      </w:pPr>
    </w:p>
    <w:p w14:paraId="4C7A7755">
      <w:pPr>
        <w:pStyle w:val="2"/>
        <w:rPr>
          <w:rFonts w:hint="eastAsia"/>
          <w:lang w:eastAsia="zh-CN"/>
        </w:rPr>
      </w:pPr>
    </w:p>
    <w:p w14:paraId="1BA65AC2">
      <w:pPr>
        <w:pStyle w:val="2"/>
        <w:rPr>
          <w:rFonts w:hint="eastAsia"/>
          <w:lang w:eastAsia="zh-CN"/>
        </w:rPr>
      </w:pPr>
    </w:p>
    <w:p w14:paraId="73EEF04B">
      <w:pPr>
        <w:pStyle w:val="2"/>
        <w:rPr>
          <w:rFonts w:hint="default"/>
          <w:lang w:val="en-US" w:eastAsia="zh-CN"/>
        </w:rPr>
      </w:pPr>
    </w:p>
    <w:p w14:paraId="4B14C7FE">
      <w:pPr>
        <w:pStyle w:val="2"/>
        <w:rPr>
          <w:rFonts w:hint="eastAsia" w:eastAsia="仿宋_GB2312"/>
          <w:lang w:eastAsia="zh-CN"/>
        </w:rPr>
      </w:pPr>
    </w:p>
    <w:p w14:paraId="3C3EB75D">
      <w:pPr>
        <w:pStyle w:val="2"/>
        <w:rPr>
          <w:rFonts w:hint="eastAsia"/>
          <w:lang w:val="en-US" w:eastAsia="zh-CN"/>
        </w:rPr>
      </w:pPr>
    </w:p>
    <w:p w14:paraId="0B6FC53D"/>
    <w:sectPr>
      <w:pgSz w:w="11906" w:h="16838"/>
      <w:pgMar w:top="192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FEFA7"/>
    <w:rsid w:val="103E5D3B"/>
    <w:rsid w:val="12205BEC"/>
    <w:rsid w:val="143FEFA7"/>
    <w:rsid w:val="49A71C9E"/>
    <w:rsid w:val="549F1EF9"/>
    <w:rsid w:val="63FF6781"/>
    <w:rsid w:val="79EE1522"/>
    <w:rsid w:val="7D7DE865"/>
    <w:rsid w:val="7DFF3CB2"/>
    <w:rsid w:val="7EFED9CC"/>
    <w:rsid w:val="E9EEE106"/>
    <w:rsid w:val="FFEF9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0404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2063</Words>
  <Characters>2195</Characters>
  <Lines>0</Lines>
  <Paragraphs>0</Paragraphs>
  <TotalTime>82</TotalTime>
  <ScaleCrop>false</ScaleCrop>
  <LinksUpToDate>false</LinksUpToDate>
  <CharactersWithSpaces>2217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2025-02-27T15:29:00Z</dcterms:created>
  <dc:creator>Lan</dc:creator>
  <cp:lastModifiedBy>剑气飞缘</cp:lastModifiedBy>
  <cp:lastPrinted>2025-02-28T04:23:00Z</cp:lastPrinted>
  <dcterms:modified xsi:type="dcterms:W3CDTF">2025-03-25T08:43:31Z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eyJoZGlkIjoiYjAyM2Y2NTYyYjJiNzcwMDc5ODhiNDhjMTAxYzg3Y2MiLCJ1c2VySWQiOiI5MDI4MDA5MDAifQ==</vt:lpwstr>
  </property>
  <property fmtid="{D5CDD505-2E9C-101B-9397-08002B2CF9AE}" pid="4" name="ICV">
    <vt:lpwstr>9459A562691F4A4AA22E8DF23D1D52B7_12</vt:lpwstr>
  </property>
</Properties>
</file>