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widowControl/>
        <w:jc w:val="center"/>
        <w:rPr>
          <w:sz w:val="32"/>
          <w:szCs w:val="32"/>
          <w:highlight w:val="none"/>
        </w:rPr>
      </w:pPr>
    </w:p>
    <w:p>
      <w:pPr>
        <w:widowControl/>
        <w:jc w:val="both"/>
        <w:rPr>
          <w:sz w:val="84"/>
          <w:szCs w:val="84"/>
          <w:highlight w:val="none"/>
        </w:rPr>
      </w:pPr>
    </w:p>
    <w:p>
      <w:pPr>
        <w:widowControl/>
        <w:jc w:val="center"/>
        <w:rPr>
          <w:rFonts w:hint="eastAsia" w:ascii="方正小标宋简体" w:eastAsia="方正小标宋简体"/>
          <w:b/>
          <w:bCs/>
          <w:sz w:val="84"/>
          <w:szCs w:val="84"/>
          <w:highlight w:val="none"/>
        </w:rPr>
      </w:pPr>
      <w:r>
        <w:rPr>
          <w:rFonts w:hint="eastAsia" w:ascii="方正小标宋简体" w:eastAsia="方正小标宋简体"/>
          <w:b/>
          <w:bCs/>
          <w:sz w:val="84"/>
          <w:szCs w:val="84"/>
          <w:highlight w:val="none"/>
          <w:lang w:val="en-US" w:eastAsia="zh-CN"/>
        </w:rPr>
        <w:t>2025</w:t>
      </w:r>
      <w:r>
        <w:rPr>
          <w:rFonts w:hint="eastAsia" w:ascii="方正小标宋简体" w:eastAsia="方正小标宋简体"/>
          <w:b/>
          <w:bCs/>
          <w:sz w:val="84"/>
          <w:szCs w:val="84"/>
          <w:highlight w:val="none"/>
        </w:rPr>
        <w:t>年度</w:t>
      </w:r>
    </w:p>
    <w:p>
      <w:pPr>
        <w:widowControl/>
        <w:jc w:val="center"/>
        <w:rPr>
          <w:rFonts w:hint="eastAsia" w:ascii="方正小标宋简体" w:eastAsia="方正小标宋简体"/>
          <w:b/>
          <w:bCs/>
          <w:sz w:val="84"/>
          <w:szCs w:val="84"/>
          <w:highlight w:val="none"/>
        </w:rPr>
      </w:pPr>
      <w:r>
        <w:rPr>
          <w:rFonts w:hint="eastAsia" w:ascii="方正小标宋简体" w:eastAsia="方正小标宋简体"/>
          <w:b/>
          <w:bCs/>
          <w:sz w:val="84"/>
          <w:szCs w:val="84"/>
          <w:highlight w:val="none"/>
        </w:rPr>
        <w:t>上杭县图书馆</w:t>
      </w:r>
    </w:p>
    <w:p>
      <w:pPr>
        <w:widowControl/>
        <w:jc w:val="center"/>
        <w:rPr>
          <w:rFonts w:hint="eastAsia" w:ascii="方正小标宋简体" w:eastAsia="方正小标宋简体"/>
          <w:b/>
          <w:bCs/>
          <w:sz w:val="84"/>
          <w:szCs w:val="84"/>
          <w:highlight w:val="none"/>
          <w:lang w:val="en-US" w:eastAsia="zh-CN"/>
        </w:rPr>
        <w:sectPr>
          <w:footerReference r:id="rId3" w:type="default"/>
          <w:pgSz w:w="11906" w:h="16838"/>
          <w:pgMar w:top="1440" w:right="1083" w:bottom="1440" w:left="1083" w:header="0" w:footer="720" w:gutter="0"/>
          <w:pgBorders>
            <w:top w:val="none" w:sz="0" w:space="0"/>
            <w:left w:val="none" w:sz="0" w:space="0"/>
            <w:bottom w:val="none" w:sz="0" w:space="0"/>
            <w:right w:val="none" w:sz="0" w:space="0"/>
          </w:pgBorders>
          <w:pgNumType w:fmt="decimal"/>
          <w:cols w:space="0" w:num="1"/>
          <w:titlePg/>
          <w:rtlGutter w:val="0"/>
          <w:docGrid w:type="lines" w:linePitch="317" w:charSpace="0"/>
        </w:sectPr>
      </w:pPr>
      <w:r>
        <w:rPr>
          <w:rFonts w:hint="eastAsia" w:ascii="方正小标宋简体" w:eastAsia="方正小标宋简体"/>
          <w:b/>
          <w:bCs/>
          <w:sz w:val="84"/>
          <w:szCs w:val="84"/>
          <w:highlight w:val="none"/>
          <w:lang w:val="en-US" w:eastAsia="zh-CN"/>
        </w:rPr>
        <w:t>单位</w:t>
      </w:r>
      <w:r>
        <w:rPr>
          <w:rFonts w:hint="eastAsia" w:ascii="方正小标宋简体" w:eastAsia="方正小标宋简体"/>
          <w:b/>
          <w:bCs/>
          <w:sz w:val="84"/>
          <w:szCs w:val="84"/>
          <w:highlight w:val="none"/>
        </w:rPr>
        <w:t>决算</w:t>
      </w:r>
    </w:p>
    <w:sdt>
      <w:sdtPr>
        <w:rPr>
          <w:rFonts w:hint="eastAsia" w:ascii="仿宋" w:hAnsi="仿宋" w:eastAsia="仿宋" w:cs="仿宋"/>
          <w:b/>
          <w:bCs/>
          <w:kern w:val="0"/>
          <w:sz w:val="32"/>
          <w:szCs w:val="32"/>
          <w:lang w:val="en-US" w:eastAsia="zh-CN"/>
        </w:rPr>
        <w:id w:val="147456983"/>
        <w15:color w:val="DBDBDB"/>
        <w:docPartObj>
          <w:docPartGallery w:val="Table of Contents"/>
          <w:docPartUnique/>
        </w:docPartObj>
      </w:sdtPr>
      <w:sdtEndPr>
        <w:rPr>
          <w:rFonts w:hint="eastAsia" w:ascii="宋体" w:hAnsi="宋体" w:eastAsia="宋体" w:cs="Times New Roman"/>
          <w:b/>
          <w:bCs/>
          <w:kern w:val="2"/>
          <w:sz w:val="32"/>
          <w:szCs w:val="32"/>
          <w:lang w:val="en-US" w:eastAsia="zh-CN" w:bidi="ar-SA"/>
        </w:rPr>
      </w:sdtEndPr>
      <w:sdtContent>
        <w:p>
          <w:pPr>
            <w:widowControl/>
            <w:spacing w:before="0" w:beforeLines="0" w:after="0" w:afterLines="0" w:line="240" w:lineRule="auto"/>
            <w:ind w:left="0" w:leftChars="0" w:right="0" w:rightChars="0" w:firstLine="0" w:firstLineChars="0"/>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目</w:t>
          </w:r>
          <w:r>
            <w:rPr>
              <w:rFonts w:hint="eastAsia" w:ascii="仿宋" w:hAnsi="仿宋" w:eastAsia="仿宋" w:cs="仿宋"/>
              <w:b/>
              <w:bCs/>
              <w:kern w:val="0"/>
              <w:sz w:val="32"/>
              <w:szCs w:val="32"/>
              <w:lang w:val="en-US" w:eastAsia="zh-CN"/>
            </w:rPr>
            <w:t xml:space="preserve"> </w:t>
          </w:r>
          <w:r>
            <w:rPr>
              <w:rFonts w:hint="eastAsia" w:ascii="仿宋" w:hAnsi="仿宋" w:eastAsia="仿宋" w:cs="仿宋"/>
              <w:b/>
              <w:bCs/>
              <w:kern w:val="0"/>
              <w:sz w:val="32"/>
              <w:szCs w:val="32"/>
            </w:rPr>
            <w:t>录</w:t>
          </w:r>
        </w:p>
        <w:p>
          <w:pPr>
            <w:pStyle w:val="17"/>
            <w:tabs>
              <w:tab w:val="right" w:leader="dot" w:pos="9730"/>
            </w:tabs>
            <w:rPr>
              <w:rFonts w:asciiTheme="minorHAnsi" w:hAnsiTheme="minorHAnsi"/>
              <w:sz w:val="22"/>
            </w:rPr>
          </w:pPr>
          <w:r>
            <w:rPr>
              <w:rFonts w:hint="eastAsia" w:ascii="仿宋" w:hAnsi="仿宋" w:eastAsia="仿宋" w:cs="仿宋"/>
              <w:b w:val="0"/>
              <w:bCs/>
              <w:kern w:val="2"/>
              <w:sz w:val="32"/>
              <w:szCs w:val="32"/>
              <w:lang w:val="en-US" w:eastAsia="zh-CN" w:bidi="ar-SA"/>
            </w:rPr>
            <w:fldChar w:fldCharType="begin"/>
          </w:r>
          <w:r>
            <w:rPr>
              <w:rFonts w:hint="eastAsia" w:ascii="仿宋" w:hAnsi="仿宋" w:eastAsia="仿宋" w:cs="仿宋"/>
              <w:b w:val="0"/>
              <w:bCs/>
              <w:kern w:val="2"/>
              <w:sz w:val="32"/>
              <w:szCs w:val="32"/>
              <w:lang w:val="en-US" w:eastAsia="zh-CN" w:bidi="ar-SA"/>
            </w:rPr>
            <w:instrText xml:space="preserve">TOC \o "1-3" \h \u </w:instrText>
          </w:r>
          <w:r>
            <w:rPr>
              <w:rFonts w:hint="eastAsia" w:ascii="仿宋" w:hAnsi="仿宋" w:eastAsia="仿宋" w:cs="仿宋"/>
              <w:b w:val="0"/>
              <w:bCs/>
              <w:kern w:val="2"/>
              <w:sz w:val="32"/>
              <w:szCs w:val="32"/>
              <w:lang w:val="en-US" w:eastAsia="zh-CN" w:bidi="ar-SA"/>
            </w:rPr>
            <w:fldChar w:fldCharType="separate"/>
          </w:r>
          <w:r>
            <w:fldChar w:fldCharType="begin"/>
          </w:r>
          <w:r>
            <w:instrText xml:space="preserve"> HYPERLINK \l "_Toc256000052" </w:instrText>
          </w:r>
          <w:r>
            <w:fldChar w:fldCharType="separate"/>
          </w:r>
          <w:r>
            <w:rPr>
              <w:rStyle w:val="22"/>
              <w:rFonts w:ascii="仿宋" w:hAnsi="仿宋" w:eastAsia="仿宋" w:cs="仿宋"/>
            </w:rPr>
            <w:t>第一部分</w:t>
          </w:r>
          <w:r>
            <w:rPr>
              <w:rStyle w:val="22"/>
              <w:rFonts w:ascii="黑体" w:hAnsi="黑体" w:eastAsia="黑体" w:cs="黑体"/>
            </w:rPr>
            <w:t xml:space="preserve"> </w:t>
          </w:r>
          <w:r>
            <w:rPr>
              <w:rStyle w:val="22"/>
              <w:rFonts w:ascii="仿宋" w:hAnsi="仿宋" w:eastAsia="仿宋" w:cs="仿宋"/>
            </w:rPr>
            <w:t>单位概况</w:t>
          </w:r>
          <w:r>
            <w:tab/>
          </w:r>
          <w:r>
            <w:fldChar w:fldCharType="begin"/>
          </w:r>
          <w:r>
            <w:instrText xml:space="preserve"> PAGEREF _Toc256000052 \h </w:instrText>
          </w:r>
          <w:r>
            <w:fldChar w:fldCharType="separate"/>
          </w:r>
          <w:r>
            <w:t>1</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"_Toc256000053" </w:instrText>
          </w:r>
          <w:r>
            <w:fldChar w:fldCharType="separate"/>
          </w:r>
          <w:r>
            <w:rPr>
              <w:rStyle w:val="22"/>
              <w:rFonts w:ascii="仿宋" w:hAnsi="仿宋" w:eastAsia="仿宋" w:cs="仿宋"/>
            </w:rPr>
            <w:t>一、单位主要职责</w:t>
          </w:r>
          <w:r>
            <w:tab/>
          </w:r>
          <w:r>
            <w:fldChar w:fldCharType="begin"/>
          </w:r>
          <w:r>
            <w:instrText xml:space="preserve"> PAGEREF _Toc256000053 \h </w:instrText>
          </w:r>
          <w:r>
            <w:fldChar w:fldCharType="separate"/>
          </w:r>
          <w:r>
            <w:t>2</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"_Toc256000054" </w:instrText>
          </w:r>
          <w:r>
            <w:fldChar w:fldCharType="separate"/>
          </w:r>
          <w:r>
            <w:rPr>
              <w:rStyle w:val="22"/>
              <w:rFonts w:ascii="仿宋" w:hAnsi="仿宋" w:eastAsia="仿宋" w:cs="仿宋"/>
            </w:rPr>
            <w:t>二、单位基本情况</w:t>
          </w:r>
          <w:r>
            <w:tab/>
          </w:r>
          <w:r>
            <w:fldChar w:fldCharType="begin"/>
          </w:r>
          <w:r>
            <w:instrText xml:space="preserve"> PAGEREF _Toc256000054 \h </w:instrText>
          </w:r>
          <w:r>
            <w:fldChar w:fldCharType="separate"/>
          </w:r>
          <w:r>
            <w:t>2</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"_Toc256000055" </w:instrText>
          </w:r>
          <w:r>
            <w:fldChar w:fldCharType="separate"/>
          </w:r>
          <w:r>
            <w:rPr>
              <w:rStyle w:val="22"/>
              <w:rFonts w:ascii="仿宋" w:hAnsi="仿宋" w:eastAsia="仿宋" w:cs="仿宋"/>
            </w:rPr>
            <w:t>三、单位主要工作总结</w:t>
          </w:r>
          <w:r>
            <w:tab/>
          </w:r>
          <w:r>
            <w:fldChar w:fldCharType="begin"/>
          </w:r>
          <w:r>
            <w:instrText xml:space="preserve"> PAGEREF _Toc256000055 \h </w:instrText>
          </w:r>
          <w:r>
            <w:fldChar w:fldCharType="separate"/>
          </w:r>
          <w:r>
            <w:t>2</w:t>
          </w:r>
          <w:r>
            <w:fldChar w:fldCharType="end"/>
          </w:r>
          <w:r>
            <w:fldChar w:fldCharType="end"/>
          </w:r>
        </w:p>
        <w:p>
          <w:pPr>
            <w:pStyle w:val="17"/>
            <w:tabs>
              <w:tab w:val="right" w:leader="dot" w:pos="9730"/>
            </w:tabs>
            <w:rPr>
              <w:rFonts w:asciiTheme="minorHAnsi" w:hAnsiTheme="minorHAnsi"/>
              <w:sz w:val="22"/>
            </w:rPr>
          </w:pPr>
          <w:r>
            <w:fldChar w:fldCharType="begin"/>
          </w:r>
          <w:r>
            <w:instrText xml:space="preserve"> HYPERLINK \l "_Toc256000056" </w:instrText>
          </w:r>
          <w:r>
            <w:fldChar w:fldCharType="separate"/>
          </w:r>
          <w:r>
            <w:rPr>
              <w:rStyle w:val="22"/>
              <w:rFonts w:ascii="仿宋" w:hAnsi="仿宋" w:eastAsia="仿宋" w:cs="仿宋"/>
            </w:rPr>
            <w:t>第二部分</w:t>
          </w:r>
          <w:r>
            <w:rPr>
              <w:rStyle w:val="22"/>
              <w:rFonts w:ascii="黑体" w:hAnsi="黑体" w:eastAsia="黑体" w:cs="黑体"/>
            </w:rPr>
            <w:t xml:space="preserve"> </w:t>
          </w:r>
          <w:r>
            <w:rPr>
              <w:rStyle w:val="22"/>
              <w:rFonts w:ascii="仿宋" w:hAnsi="仿宋" w:eastAsia="仿宋" w:cs="仿宋"/>
            </w:rPr>
            <w:t>2025年度单位决算表</w:t>
          </w:r>
          <w:r>
            <w:tab/>
          </w:r>
          <w:r>
            <w:fldChar w:fldCharType="begin"/>
          </w:r>
          <w:r>
            <w:instrText xml:space="preserve"> PAGEREF _Toc256000056 \h </w:instrText>
          </w:r>
          <w:r>
            <w:fldChar w:fldCharType="separate"/>
          </w:r>
          <w:r>
            <w:t>4</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"_Toc256000057" </w:instrText>
          </w:r>
          <w:r>
            <w:fldChar w:fldCharType="separate"/>
          </w:r>
          <w:r>
            <w:rPr>
              <w:rStyle w:val="22"/>
              <w:rFonts w:ascii="仿宋" w:hAnsi="仿宋" w:eastAsia="仿宋" w:cs="仿宋"/>
            </w:rPr>
            <w:t>一、收入支出决算总表</w:t>
          </w:r>
          <w:r>
            <w:tab/>
          </w:r>
          <w:r>
            <w:fldChar w:fldCharType="begin"/>
          </w:r>
          <w:r>
            <w:instrText xml:space="preserve"> PAGEREF _Toc256000057 \h </w:instrText>
          </w:r>
          <w:r>
            <w:fldChar w:fldCharType="separate"/>
          </w:r>
          <w:r>
            <w:t>5</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"_Toc256000058" </w:instrText>
          </w:r>
          <w:r>
            <w:fldChar w:fldCharType="separate"/>
          </w:r>
          <w:r>
            <w:rPr>
              <w:rStyle w:val="22"/>
              <w:rFonts w:ascii="仿宋" w:hAnsi="仿宋" w:eastAsia="仿宋" w:cs="仿宋"/>
            </w:rPr>
            <w:t>二、收入决算表</w:t>
          </w:r>
          <w:r>
            <w:tab/>
          </w:r>
          <w:r>
            <w:fldChar w:fldCharType="begin"/>
          </w:r>
          <w:r>
            <w:instrText xml:space="preserve"> PAGEREF _Toc256000058 \h </w:instrText>
          </w:r>
          <w:r>
            <w:fldChar w:fldCharType="separate"/>
          </w:r>
          <w:r>
            <w:t>7</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"_Toc256000059" </w:instrText>
          </w:r>
          <w:r>
            <w:fldChar w:fldCharType="separate"/>
          </w:r>
          <w:r>
            <w:rPr>
              <w:rStyle w:val="22"/>
              <w:rFonts w:ascii="仿宋" w:hAnsi="仿宋" w:eastAsia="仿宋" w:cs="仿宋"/>
            </w:rPr>
            <w:t>三、支出决算表</w:t>
          </w:r>
          <w:r>
            <w:tab/>
          </w:r>
          <w:r>
            <w:fldChar w:fldCharType="begin"/>
          </w:r>
          <w:r>
            <w:instrText xml:space="preserve"> PAGEREF _Toc256000059 \h </w:instrText>
          </w:r>
          <w:r>
            <w:fldChar w:fldCharType="separate"/>
          </w:r>
          <w:r>
            <w:t>8</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"_Toc256000060" </w:instrText>
          </w:r>
          <w:r>
            <w:fldChar w:fldCharType="separate"/>
          </w:r>
          <w:r>
            <w:rPr>
              <w:rStyle w:val="22"/>
              <w:rFonts w:ascii="仿宋" w:hAnsi="仿宋" w:eastAsia="仿宋" w:cs="仿宋"/>
            </w:rPr>
            <w:t>四、财政拨款收入支出决算总表</w:t>
          </w:r>
          <w:r>
            <w:tab/>
          </w:r>
          <w:r>
            <w:fldChar w:fldCharType="begin"/>
          </w:r>
          <w:r>
            <w:instrText xml:space="preserve"> PAGEREF _Toc256000060 \h </w:instrText>
          </w:r>
          <w:r>
            <w:fldChar w:fldCharType="separate"/>
          </w:r>
          <w:r>
            <w:t>9</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"_Toc256000061" </w:instrText>
          </w:r>
          <w:r>
            <w:fldChar w:fldCharType="separate"/>
          </w:r>
          <w:r>
            <w:rPr>
              <w:rStyle w:val="22"/>
              <w:rFonts w:ascii="仿宋" w:hAnsi="仿宋" w:eastAsia="仿宋" w:cs="仿宋"/>
            </w:rPr>
            <w:t>五、一般公共预算财政拨款支出决算表</w:t>
          </w:r>
          <w:r>
            <w:tab/>
          </w:r>
          <w:r>
            <w:fldChar w:fldCharType="begin"/>
          </w:r>
          <w:r>
            <w:instrText xml:space="preserve"> PAGEREF _Toc256000061 \h </w:instrText>
          </w:r>
          <w:r>
            <w:fldChar w:fldCharType="separate"/>
          </w:r>
          <w:r>
            <w:t>12</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"_Toc256000062" </w:instrText>
          </w:r>
          <w:r>
            <w:fldChar w:fldCharType="separate"/>
          </w:r>
          <w:r>
            <w:rPr>
              <w:rStyle w:val="22"/>
              <w:rFonts w:ascii="仿宋" w:hAnsi="仿宋" w:eastAsia="仿宋" w:cs="仿宋"/>
            </w:rPr>
            <w:t>六、一般公共预算财政拨款基本支出决算表</w:t>
          </w:r>
          <w:r>
            <w:tab/>
          </w:r>
          <w:r>
            <w:fldChar w:fldCharType="begin"/>
          </w:r>
          <w:r>
            <w:instrText xml:space="preserve"> PAGEREF _Toc256000062 \h </w:instrText>
          </w:r>
          <w:r>
            <w:fldChar w:fldCharType="separate"/>
          </w:r>
          <w:r>
            <w:t>13</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"_Toc256000063" </w:instrText>
          </w:r>
          <w:r>
            <w:fldChar w:fldCharType="separate"/>
          </w:r>
          <w:r>
            <w:rPr>
              <w:rStyle w:val="22"/>
              <w:rFonts w:ascii="仿宋" w:hAnsi="仿宋" w:eastAsia="仿宋" w:cs="仿宋"/>
            </w:rPr>
            <w:t>七、一般公共预算财政拨款“三公”经费支出决算表</w:t>
          </w:r>
          <w:r>
            <w:tab/>
          </w:r>
          <w:r>
            <w:fldChar w:fldCharType="begin"/>
          </w:r>
          <w:r>
            <w:instrText xml:space="preserve"> PAGEREF _Toc256000063 \h </w:instrText>
          </w:r>
          <w:r>
            <w:fldChar w:fldCharType="separate"/>
          </w:r>
          <w:r>
            <w:t>16</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"_Toc256000064" </w:instrText>
          </w:r>
          <w:r>
            <w:fldChar w:fldCharType="separate"/>
          </w:r>
          <w:r>
            <w:rPr>
              <w:rStyle w:val="22"/>
              <w:rFonts w:ascii="仿宋" w:hAnsi="仿宋" w:eastAsia="仿宋" w:cs="仿宋"/>
            </w:rPr>
            <w:t>八、政府性基金预算财政拨款收入支出决算表</w:t>
          </w:r>
          <w:r>
            <w:tab/>
          </w:r>
          <w:r>
            <w:fldChar w:fldCharType="begin"/>
          </w:r>
          <w:r>
            <w:instrText xml:space="preserve"> PAGEREF _Toc256000064 \h </w:instrText>
          </w:r>
          <w:r>
            <w:fldChar w:fldCharType="separate"/>
          </w:r>
          <w:r>
            <w:t>17</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"_Toc256000065" </w:instrText>
          </w:r>
          <w:r>
            <w:fldChar w:fldCharType="separate"/>
          </w:r>
          <w:r>
            <w:rPr>
              <w:rStyle w:val="22"/>
              <w:rFonts w:ascii="仿宋" w:hAnsi="仿宋" w:eastAsia="仿宋" w:cs="仿宋"/>
            </w:rPr>
            <w:t>九、国有资本经营预算财政拨款支出决算表</w:t>
          </w:r>
          <w:r>
            <w:tab/>
          </w:r>
          <w:r>
            <w:fldChar w:fldCharType="begin"/>
          </w:r>
          <w:r>
            <w:instrText xml:space="preserve"> PAGEREF _Toc256000065 \h </w:instrText>
          </w:r>
          <w:r>
            <w:fldChar w:fldCharType="separate"/>
          </w:r>
          <w:r>
            <w:t>18</w:t>
          </w:r>
          <w:r>
            <w:fldChar w:fldCharType="end"/>
          </w:r>
          <w:r>
            <w:fldChar w:fldCharType="end"/>
          </w:r>
        </w:p>
        <w:p>
          <w:pPr>
            <w:pStyle w:val="17"/>
            <w:tabs>
              <w:tab w:val="right" w:leader="dot" w:pos="9730"/>
            </w:tabs>
            <w:rPr>
              <w:rFonts w:asciiTheme="minorHAnsi" w:hAnsiTheme="minorHAnsi"/>
              <w:sz w:val="22"/>
            </w:rPr>
          </w:pPr>
          <w:r>
            <w:fldChar w:fldCharType="begin"/>
          </w:r>
          <w:r>
            <w:instrText xml:space="preserve"> HYPERLINK \l "_Toc256000066" </w:instrText>
          </w:r>
          <w:r>
            <w:fldChar w:fldCharType="separate"/>
          </w:r>
          <w:r>
            <w:rPr>
              <w:rStyle w:val="22"/>
              <w:rFonts w:ascii="仿宋" w:hAnsi="仿宋" w:eastAsia="仿宋" w:cs="仿宋"/>
            </w:rPr>
            <w:t>第三部分</w:t>
          </w:r>
          <w:r>
            <w:rPr>
              <w:rStyle w:val="22"/>
              <w:rFonts w:ascii="黑体" w:hAnsi="黑体" w:eastAsia="黑体" w:cs="黑体"/>
            </w:rPr>
            <w:t xml:space="preserve"> </w:t>
          </w:r>
          <w:r>
            <w:rPr>
              <w:rStyle w:val="22"/>
              <w:rFonts w:ascii="仿宋" w:hAnsi="仿宋" w:eastAsia="仿宋" w:cs="仿宋"/>
            </w:rPr>
            <w:t>2025年度单位决算情况说明</w:t>
          </w:r>
          <w:r>
            <w:tab/>
          </w:r>
          <w:r>
            <w:fldChar w:fldCharType="begin"/>
          </w:r>
          <w:r>
            <w:instrText xml:space="preserve"> PAGEREF _Toc256000066 \h </w:instrText>
          </w:r>
          <w:r>
            <w:fldChar w:fldCharType="separate"/>
          </w:r>
          <w:r>
            <w:t>19</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"_Toc256000067" </w:instrText>
          </w:r>
          <w:r>
            <w:fldChar w:fldCharType="separate"/>
          </w:r>
          <w:r>
            <w:rPr>
              <w:rStyle w:val="22"/>
              <w:rFonts w:ascii="仿宋" w:hAnsi="仿宋" w:eastAsia="仿宋" w:cs="仿宋"/>
            </w:rPr>
            <w:t>一、收入支出决算总体情况说明</w:t>
          </w:r>
          <w:r>
            <w:tab/>
          </w:r>
          <w:r>
            <w:fldChar w:fldCharType="begin"/>
          </w:r>
          <w:r>
            <w:instrText xml:space="preserve"> PAGEREF _Toc256000067 \h </w:instrText>
          </w:r>
          <w:r>
            <w:fldChar w:fldCharType="separate"/>
          </w:r>
          <w:r>
            <w:t>20</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"_Toc256000068" </w:instrText>
          </w:r>
          <w:r>
            <w:fldChar w:fldCharType="separate"/>
          </w:r>
          <w:r>
            <w:rPr>
              <w:rStyle w:val="22"/>
              <w:rFonts w:ascii="仿宋" w:hAnsi="仿宋" w:eastAsia="仿宋" w:cs="仿宋"/>
            </w:rPr>
            <w:t>二、财政拨款收入支出决算总体情况说明</w:t>
          </w:r>
          <w:r>
            <w:tab/>
          </w:r>
          <w:r>
            <w:fldChar w:fldCharType="begin"/>
          </w:r>
          <w:r>
            <w:instrText xml:space="preserve"> PAGEREF _Toc256000068 \h </w:instrText>
          </w:r>
          <w:r>
            <w:fldChar w:fldCharType="separate"/>
          </w:r>
          <w:r>
            <w:t>21</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"_Toc256000069" </w:instrText>
          </w:r>
          <w:r>
            <w:fldChar w:fldCharType="separate"/>
          </w:r>
          <w:r>
            <w:rPr>
              <w:rStyle w:val="22"/>
              <w:rFonts w:ascii="仿宋" w:hAnsi="仿宋" w:eastAsia="仿宋" w:cs="仿宋"/>
            </w:rPr>
            <w:t>三、一般公共预算财政拨款支出决算情况说明</w:t>
          </w:r>
          <w:r>
            <w:tab/>
          </w:r>
          <w:r>
            <w:fldChar w:fldCharType="begin"/>
          </w:r>
          <w:r>
            <w:instrText xml:space="preserve"> PAGEREF _Toc256000069 \h </w:instrText>
          </w:r>
          <w:r>
            <w:fldChar w:fldCharType="separate"/>
          </w:r>
          <w:r>
            <w:t>21</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"_Toc256000070" </w:instrText>
          </w:r>
          <w:r>
            <w:fldChar w:fldCharType="separate"/>
          </w:r>
          <w:r>
            <w:rPr>
              <w:rStyle w:val="22"/>
              <w:rFonts w:ascii="仿宋" w:hAnsi="仿宋" w:eastAsia="仿宋" w:cs="仿宋"/>
            </w:rPr>
            <w:t>四、政府性基金预算财政拨款支出决算情况说明</w:t>
          </w:r>
          <w:r>
            <w:tab/>
          </w:r>
          <w:r>
            <w:fldChar w:fldCharType="begin"/>
          </w:r>
          <w:r>
            <w:instrText xml:space="preserve"> PAGEREF _Toc256000070 \h </w:instrText>
          </w:r>
          <w:r>
            <w:fldChar w:fldCharType="separate"/>
          </w:r>
          <w:r>
            <w:t>21</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"_Toc256000071" </w:instrText>
          </w:r>
          <w:r>
            <w:fldChar w:fldCharType="separate"/>
          </w:r>
          <w:r>
            <w:rPr>
              <w:rStyle w:val="22"/>
              <w:rFonts w:ascii="仿宋" w:hAnsi="仿宋" w:eastAsia="仿宋" w:cs="仿宋"/>
            </w:rPr>
            <w:t>五、国有资本经营预算财政拨款支出决算情况说明</w:t>
          </w:r>
          <w:r>
            <w:tab/>
          </w:r>
          <w:r>
            <w:fldChar w:fldCharType="begin"/>
          </w:r>
          <w:r>
            <w:instrText xml:space="preserve"> PAGEREF _Toc256000071 \h </w:instrText>
          </w:r>
          <w:r>
            <w:fldChar w:fldCharType="separate"/>
          </w:r>
          <w:r>
            <w:t>21</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"_Toc256000072" </w:instrText>
          </w:r>
          <w:r>
            <w:fldChar w:fldCharType="separate"/>
          </w:r>
          <w:r>
            <w:rPr>
              <w:rStyle w:val="22"/>
              <w:rFonts w:ascii="仿宋" w:hAnsi="仿宋" w:eastAsia="仿宋" w:cs="仿宋"/>
            </w:rPr>
            <w:t>六、一般公共预算财政拨款基本支出决算情况说明</w:t>
          </w:r>
          <w:r>
            <w:tab/>
          </w:r>
          <w:r>
            <w:fldChar w:fldCharType="begin"/>
          </w:r>
          <w:r>
            <w:instrText xml:space="preserve"> PAGEREF _Toc256000072 \h </w:instrText>
          </w:r>
          <w:r>
            <w:fldChar w:fldCharType="separate"/>
          </w:r>
          <w:r>
            <w:t>22</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"_Toc256000073" </w:instrText>
          </w:r>
          <w:r>
            <w:fldChar w:fldCharType="separate"/>
          </w:r>
          <w:r>
            <w:rPr>
              <w:rStyle w:val="22"/>
              <w:rFonts w:ascii="仿宋" w:hAnsi="仿宋" w:eastAsia="仿宋" w:cs="仿宋"/>
            </w:rPr>
            <w:t>七、一般公共预算财政拨款“三公”经费支出决算情况说明</w:t>
          </w:r>
          <w:r>
            <w:tab/>
          </w:r>
          <w:r>
            <w:fldChar w:fldCharType="begin"/>
          </w:r>
          <w:r>
            <w:instrText xml:space="preserve"> PAGEREF _Toc256000073 \h </w:instrText>
          </w:r>
          <w:r>
            <w:fldChar w:fldCharType="separate"/>
          </w:r>
          <w:r>
            <w:t>22</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"_Toc256000074" </w:instrText>
          </w:r>
          <w:r>
            <w:fldChar w:fldCharType="separate"/>
          </w:r>
          <w:r>
            <w:rPr>
              <w:rStyle w:val="22"/>
              <w:rFonts w:ascii="仿宋" w:hAnsi="仿宋" w:eastAsia="仿宋" w:cs="仿宋"/>
            </w:rPr>
            <w:t>八、预算绩效情况说明</w:t>
          </w:r>
          <w:r>
            <w:tab/>
          </w:r>
          <w:r>
            <w:fldChar w:fldCharType="begin"/>
          </w:r>
          <w:r>
            <w:instrText xml:space="preserve"> PAGEREF _Toc256000074 \h </w:instrText>
          </w:r>
          <w:r>
            <w:fldChar w:fldCharType="separate"/>
          </w:r>
          <w:r>
            <w:t>23</w:t>
          </w:r>
          <w:r>
            <w:fldChar w:fldCharType="end"/>
          </w:r>
          <w:r>
            <w:fldChar w:fldCharType="end"/>
          </w:r>
        </w:p>
        <w:p>
          <w:pPr>
            <w:pStyle w:val="10"/>
            <w:tabs>
              <w:tab w:val="right" w:leader="dot" w:pos="9730"/>
            </w:tabs>
            <w:rPr>
              <w:rFonts w:asciiTheme="minorHAnsi" w:hAnsiTheme="minorHAnsi"/>
              <w:sz w:val="22"/>
            </w:rPr>
          </w:pPr>
          <w:r>
            <w:fldChar w:fldCharType="begin"/>
          </w:r>
          <w:r>
            <w:instrText xml:space="preserve"> HYPERLINK \l "_Toc256000075" </w:instrText>
          </w:r>
          <w:r>
            <w:fldChar w:fldCharType="separate"/>
          </w:r>
          <w:r>
            <w:rPr>
              <w:rStyle w:val="22"/>
              <w:rFonts w:ascii="仿宋" w:hAnsi="仿宋" w:eastAsia="仿宋" w:cs="仿宋"/>
            </w:rPr>
            <w:t>九、其他重要事项说明</w:t>
          </w:r>
          <w:r>
            <w:tab/>
          </w:r>
          <w:r>
            <w:fldChar w:fldCharType="begin"/>
          </w:r>
          <w:r>
            <w:instrText xml:space="preserve"> PAGEREF _Toc256000075 \h </w:instrText>
          </w:r>
          <w:r>
            <w:fldChar w:fldCharType="separate"/>
          </w:r>
          <w:r>
            <w:t>23</w:t>
          </w:r>
          <w:r>
            <w:fldChar w:fldCharType="end"/>
          </w:r>
          <w:r>
            <w:fldChar w:fldCharType="end"/>
          </w:r>
        </w:p>
        <w:p>
          <w:pPr>
            <w:pStyle w:val="17"/>
            <w:tabs>
              <w:tab w:val="right" w:leader="dot" w:pos="9730"/>
            </w:tabs>
            <w:rPr>
              <w:rFonts w:asciiTheme="minorHAnsi" w:hAnsiTheme="minorHAnsi"/>
              <w:sz w:val="22"/>
            </w:rPr>
          </w:pPr>
          <w:r>
            <w:fldChar w:fldCharType="begin"/>
          </w:r>
          <w:r>
            <w:instrText xml:space="preserve"> HYPERLINK \l "_Toc256000076" </w:instrText>
          </w:r>
          <w:r>
            <w:fldChar w:fldCharType="separate"/>
          </w:r>
          <w:r>
            <w:rPr>
              <w:rStyle w:val="22"/>
              <w:rFonts w:ascii="仿宋" w:hAnsi="仿宋" w:eastAsia="仿宋" w:cs="仿宋"/>
            </w:rPr>
            <w:t>第四部分</w:t>
          </w:r>
          <w:r>
            <w:rPr>
              <w:rStyle w:val="22"/>
              <w:rFonts w:ascii="黑体" w:hAnsi="黑体" w:eastAsia="黑体" w:cs="黑体"/>
            </w:rPr>
            <w:t xml:space="preserve"> </w:t>
          </w:r>
          <w:r>
            <w:rPr>
              <w:rStyle w:val="22"/>
              <w:rFonts w:ascii="仿宋" w:hAnsi="仿宋" w:eastAsia="仿宋" w:cs="仿宋"/>
            </w:rPr>
            <w:t>名词解释</w:t>
          </w:r>
          <w:r>
            <w:tab/>
          </w:r>
          <w:r>
            <w:fldChar w:fldCharType="begin"/>
          </w:r>
          <w:r>
            <w:instrText xml:space="preserve"> PAGEREF _Toc256000076 \h </w:instrText>
          </w:r>
          <w:r>
            <w:fldChar w:fldCharType="separate"/>
          </w:r>
          <w:r>
            <w:t>25</w:t>
          </w:r>
          <w:r>
            <w:fldChar w:fldCharType="end"/>
          </w:r>
          <w:r>
            <w:fldChar w:fldCharType="end"/>
          </w:r>
        </w:p>
        <w:p>
          <w:pPr>
            <w:pStyle w:val="17"/>
            <w:tabs>
              <w:tab w:val="right" w:leader="dot" w:pos="9730"/>
            </w:tabs>
            <w:rPr>
              <w:rFonts w:asciiTheme="minorHAnsi" w:hAnsiTheme="minorHAnsi"/>
              <w:sz w:val="22"/>
            </w:rPr>
          </w:pPr>
          <w:r>
            <w:fldChar w:fldCharType="begin"/>
          </w:r>
          <w:r>
            <w:instrText xml:space="preserve"> HYPERLINK \l "_Toc256000077" </w:instrText>
          </w:r>
          <w:r>
            <w:fldChar w:fldCharType="separate"/>
          </w:r>
          <w:r>
            <w:rPr>
              <w:rStyle w:val="22"/>
              <w:rFonts w:ascii="仿宋" w:hAnsi="仿宋" w:eastAsia="仿宋" w:cs="仿宋"/>
            </w:rPr>
            <w:t>第五部分</w:t>
          </w:r>
          <w:r>
            <w:rPr>
              <w:rStyle w:val="22"/>
              <w:rFonts w:ascii="黑体" w:hAnsi="黑体" w:eastAsia="黑体" w:cs="黑体"/>
            </w:rPr>
            <w:t xml:space="preserve"> </w:t>
          </w:r>
          <w:r>
            <w:rPr>
              <w:rStyle w:val="22"/>
              <w:rFonts w:ascii="仿宋" w:hAnsi="仿宋" w:eastAsia="仿宋" w:cs="仿宋"/>
            </w:rPr>
            <w:t>附件</w:t>
          </w:r>
          <w:r>
            <w:tab/>
          </w:r>
          <w:r>
            <w:fldChar w:fldCharType="begin"/>
          </w:r>
          <w:r>
            <w:instrText xml:space="preserve"> PAGEREF _Toc256000077 \h </w:instrText>
          </w:r>
          <w:r>
            <w:fldChar w:fldCharType="separate"/>
          </w:r>
          <w:r>
            <w:t>28</w:t>
          </w:r>
          <w:r>
            <w:fldChar w:fldCharType="end"/>
          </w:r>
          <w:r>
            <w:fldChar w:fldCharType="end"/>
          </w:r>
        </w:p>
        <w:p>
          <w:pPr>
            <w:adjustRightInd w:val="0"/>
            <w:snapToGrid w:val="0"/>
            <w:rPr>
              <w:rFonts w:ascii="宋体" w:hAnsi="宋体"/>
              <w:b/>
              <w:sz w:val="32"/>
              <w:szCs w:val="32"/>
            </w:rPr>
            <w:sectPr>
              <w:footerReference r:id="rId4" w:type="default"/>
              <w:pgSz w:w="11906" w:h="16838"/>
              <w:pgMar w:top="1440" w:right="1083" w:bottom="1440" w:left="1083" w:header="0" w:footer="720" w:gutter="0"/>
              <w:pgNumType w:start="1"/>
              <w:cols w:space="0" w:num="1"/>
              <w:rtlGutter w:val="0"/>
              <w:docGrid w:type="lines" w:linePitch="317" w:charSpace="0"/>
            </w:sectPr>
          </w:pPr>
          <w:r>
            <w:rPr>
              <w:rFonts w:hint="eastAsia" w:ascii="仿宋" w:hAnsi="仿宋" w:eastAsia="仿宋" w:cs="仿宋"/>
              <w:b w:val="0"/>
              <w:bCs/>
              <w:kern w:val="2"/>
              <w:sz w:val="32"/>
              <w:szCs w:val="32"/>
              <w:lang w:val="en-US" w:eastAsia="zh-CN" w:bidi="ar-SA"/>
            </w:rPr>
            <w:fldChar w:fldCharType="end"/>
          </w:r>
        </w:p>
      </w:sdtContent>
    </w:sdt>
    <w:p>
      <w:pPr>
        <w:pStyle w:val="28"/>
        <w:widowControl/>
        <w:spacing w:before="100" w:after="100"/>
        <w:ind w:left="100" w:right="100" w:firstLine="640"/>
        <w:jc w:val="center"/>
        <w:rPr>
          <w:rFonts w:ascii="Times New Roman" w:hAnsi="Times New Roman" w:eastAsia="Times New Roman" w:cs="Times New Roman"/>
          <w:kern w:val="0"/>
          <w:sz w:val="24"/>
        </w:rPr>
      </w:pPr>
      <w:bookmarkStart w:id="0" w:name="a000"/>
      <w:r>
        <w:rPr>
          <w:rFonts w:ascii="Calibri" w:hAnsi="Calibri" w:eastAsia="Calibri" w:cs="Calibri"/>
          <w:spacing w:val="0"/>
          <w:kern w:val="0"/>
          <w:sz w:val="84"/>
          <w:szCs w:val="84"/>
        </w:rPr>
        <w:t>  </w:t>
      </w: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widowControl/>
        <w:spacing w:before="240" w:after="240"/>
        <w:jc w:val="left"/>
        <w:rPr>
          <w:rFonts w:ascii="Times New Roman" w:hAnsi="Times New Roman" w:eastAsia="Times New Roman" w:cs="Times New Roman"/>
          <w:kern w:val="0"/>
          <w:sz w:val="24"/>
        </w:rPr>
      </w:pP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 w:name="_Toc256000052"/>
      <w:r>
        <w:rPr>
          <w:rFonts w:ascii="黑体" w:hAnsi="黑体" w:eastAsia="黑体" w:cs="黑体"/>
          <w:b w:val="0"/>
          <w:bCs w:val="0"/>
          <w:spacing w:val="0"/>
          <w:sz w:val="56"/>
          <w:szCs w:val="56"/>
        </w:rPr>
        <w:t>第一部分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单位概况</w:t>
      </w:r>
      <w:bookmarkEnd w:id="1"/>
    </w:p>
    <w:p>
      <w:pPr>
        <w:pStyle w:val="29"/>
        <w:widowControl/>
        <w:spacing w:before="100" w:after="100" w:line="560" w:lineRule="atLeast"/>
        <w:ind w:left="100" w:right="100" w:firstLine="640"/>
        <w:jc w:val="center"/>
        <w:rPr>
          <w:rFonts w:ascii="Times New Roman" w:hAnsi="Times New Roman" w:eastAsia="Times New Roman" w:cs="Times New Roman"/>
          <w:kern w:val="0"/>
          <w:sz w:val="24"/>
        </w:rPr>
      </w:pPr>
    </w:p>
    <w:p>
      <w:pPr>
        <w:sectPr>
          <w:footerReference r:id="rId5" w:type="default"/>
          <w:pgSz w:w="11906" w:h="16838"/>
          <w:pgMar w:top="1440" w:right="720" w:bottom="1440" w:left="720" w:header="720" w:footer="720" w:gutter="0"/>
          <w:pgNumType w:start="1"/>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 w:name="_Toc256000053"/>
      <w:r>
        <w:rPr>
          <w:rFonts w:ascii="黑体" w:hAnsi="黑体" w:eastAsia="黑体" w:cs="黑体"/>
          <w:b w:val="0"/>
          <w:bCs w:val="0"/>
          <w:spacing w:val="0"/>
        </w:rPr>
        <w:t>一、单位主要职责</w:t>
      </w:r>
      <w:bookmarkEnd w:id="2"/>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上杭县图书馆单位的主要职责是：（一）制定图书馆建设发展规划，满足教学、研究和管理工作的需要；（二）严格部门预决算制度，编制图书采集计划并组织采购；（三）负责文献资料的采集、分编和管理工作，建立图书、文献档案；（四）做好图书、文献资料的流通、图书辅导和读者服务工作；（五）做好馆际图书信息的交流工作。</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3" w:name="_Toc256000054"/>
      <w:r>
        <w:rPr>
          <w:rFonts w:ascii="黑体" w:hAnsi="黑体" w:eastAsia="黑体" w:cs="黑体"/>
          <w:b w:val="0"/>
          <w:bCs w:val="0"/>
          <w:spacing w:val="0"/>
        </w:rPr>
        <w:t>二、单位基本情况</w:t>
      </w:r>
      <w:bookmarkEnd w:id="3"/>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从决算单位构成看，本单位包括1个内设机构，其中：列入2025年决算编制范围的单位详细情况见下表:</w:t>
      </w:r>
    </w:p>
    <w:tbl>
      <w:tblPr>
        <w:tblStyle w:val="19"/>
        <w:tblW w:w="5000" w:type="pct"/>
        <w:tblInd w:w="1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2823"/>
        <w:gridCol w:w="7687"/>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Header/>
        </w:trPr>
        <w:tc>
          <w:tcPr>
            <w:tcW w:w="2573"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序号</w:t>
            </w:r>
          </w:p>
        </w:tc>
        <w:tc>
          <w:tcPr>
            <w:tcW w:w="7007"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widowControl/>
              <w:ind w:firstLine="0"/>
              <w:jc w:val="center"/>
              <w:rPr>
                <w:rFonts w:ascii="宋体" w:hAnsi="宋体" w:eastAsia="宋体" w:cs="宋体"/>
                <w:b/>
                <w:bCs/>
                <w:i w:val="0"/>
                <w:iCs w:val="0"/>
                <w:smallCaps w:val="0"/>
                <w:color w:val="000000"/>
                <w:spacing w:val="0"/>
                <w:kern w:val="0"/>
                <w:sz w:val="24"/>
              </w:rPr>
            </w:pPr>
            <w:r>
              <w:rPr>
                <w:rFonts w:ascii="宋体" w:hAnsi="宋体" w:eastAsia="宋体" w:cs="宋体"/>
                <w:b/>
                <w:bCs/>
                <w:i w:val="0"/>
                <w:iCs w:val="0"/>
                <w:smallCaps w:val="0"/>
                <w:color w:val="000000"/>
                <w:spacing w:val="0"/>
                <w:kern w:val="0"/>
                <w:sz w:val="21"/>
              </w:rPr>
              <w:t>单位名称</w:t>
            </w:r>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573"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1</w:t>
            </w:r>
          </w:p>
        </w:tc>
        <w:tc>
          <w:tcPr>
            <w:tcW w:w="7007"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pPr>
              <w:widowControl/>
              <w:ind w:firstLine="0"/>
              <w:jc w:val="center"/>
              <w:rPr>
                <w:rFonts w:ascii="宋体" w:hAnsi="宋体" w:eastAsia="宋体" w:cs="宋体"/>
                <w:b w:val="0"/>
                <w:bCs w:val="0"/>
                <w:i w:val="0"/>
                <w:iCs w:val="0"/>
                <w:smallCaps w:val="0"/>
                <w:color w:val="000000"/>
                <w:spacing w:val="0"/>
                <w:kern w:val="0"/>
                <w:sz w:val="24"/>
              </w:rPr>
            </w:pPr>
            <w:r>
              <w:rPr>
                <w:rFonts w:ascii="宋体" w:hAnsi="宋体" w:eastAsia="宋体" w:cs="宋体"/>
                <w:b w:val="0"/>
                <w:bCs w:val="0"/>
                <w:i w:val="0"/>
                <w:iCs w:val="0"/>
                <w:smallCaps w:val="0"/>
                <w:color w:val="000000"/>
                <w:spacing w:val="0"/>
                <w:kern w:val="0"/>
                <w:sz w:val="21"/>
              </w:rPr>
              <w:t>上杭县图书馆</w:t>
            </w:r>
          </w:p>
        </w:tc>
      </w:tr>
    </w:tbl>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4" w:name="_Toc256000055"/>
      <w:r>
        <w:rPr>
          <w:rFonts w:ascii="黑体" w:hAnsi="黑体" w:eastAsia="黑体" w:cs="黑体"/>
          <w:b w:val="0"/>
          <w:bCs w:val="0"/>
          <w:spacing w:val="0"/>
        </w:rPr>
        <w:t>三、单位主要工作总结</w:t>
      </w:r>
      <w:bookmarkEnd w:id="4"/>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上杭县图书馆单位主要任务是：2025年，我馆始终秉持“读者第一、服务至上”的宗旨，在上级党委、政府和主管局的正确领导下，深入贯彻落实全民阅读工作部署，紧密围绕“倡导全民阅读，建设书香上杭”的目标，坚持以读者需求为导向，以创新服务为动力，积极整合线上线下资源，组织开展了一系列主题鲜明、形式多样、参与广泛的阅读推广活动，有效丰富了人民群众的精神文化生活，为推动全县形成“爱读书、读好书、善读书”的浓厚氛围发挥了积极作用。围绕上述任务，重点完成了以下工作：</w:t>
      </w:r>
    </w:p>
    <w:p>
      <w:pPr>
        <w:pStyle w:val="28"/>
        <w:widowControl/>
        <w:spacing w:before="100" w:after="100" w:line="560" w:lineRule="atLeast"/>
        <w:ind w:left="638" w:leftChars="304" w:right="100" w:firstLine="0" w:firstLineChars="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一、图书馆服务工作有序开展</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二、读者活动与资源推广成效显著</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三、开通食堂订餐特色服务 </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四、安全生产工作常抓不懈</w:t>
      </w:r>
      <w:r>
        <w:rPr>
          <w:rFonts w:ascii="FangSong_GB2312" w:hAnsi="FangSong_GB2312" w:eastAsia="FangSong_GB2312" w:cs="FangSong_GB2312"/>
          <w:spacing w:val="0"/>
          <w:kern w:val="0"/>
          <w:sz w:val="32"/>
          <w:szCs w:val="32"/>
        </w:rPr>
        <w:br w:type="textWrapping"/>
      </w:r>
    </w:p>
    <w:p>
      <w:pPr>
        <w:sectPr>
          <w:footerReference r:id="rId6"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29"/>
        <w:widowControl/>
        <w:spacing w:before="100" w:after="100"/>
        <w:ind w:left="100" w:right="100" w:firstLine="640"/>
        <w:jc w:val="left"/>
        <w:rPr>
          <w:rFonts w:ascii="Times New Roman" w:hAnsi="Times New Roman" w:eastAsia="Times New Roman" w:cs="Times New Roman"/>
          <w:kern w:val="0"/>
          <w:sz w:val="24"/>
        </w:rPr>
      </w:pP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5" w:name="_Toc256000056"/>
      <w:r>
        <w:rPr>
          <w:rFonts w:ascii="黑体" w:hAnsi="黑体" w:eastAsia="黑体" w:cs="黑体"/>
          <w:b w:val="0"/>
          <w:bCs w:val="0"/>
          <w:spacing w:val="0"/>
          <w:sz w:val="56"/>
          <w:szCs w:val="56"/>
        </w:rPr>
        <w:t>第二部分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2025年度单位决算表</w:t>
      </w:r>
      <w:bookmarkEnd w:id="5"/>
    </w:p>
    <w:p>
      <w:pPr>
        <w:pStyle w:val="29"/>
        <w:widowControl/>
        <w:spacing w:before="100" w:after="100"/>
        <w:ind w:left="100" w:right="100" w:firstLine="640"/>
        <w:jc w:val="center"/>
        <w:rPr>
          <w:rFonts w:ascii="Times New Roman" w:hAnsi="Times New Roman" w:eastAsia="Times New Roman" w:cs="Times New Roman"/>
          <w:kern w:val="0"/>
          <w:sz w:val="24"/>
        </w:rPr>
      </w:pPr>
    </w:p>
    <w:p>
      <w:pPr>
        <w:sectPr>
          <w:footerReference r:id="rId7"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6" w:name="_Toc256000057"/>
      <w:r>
        <w:rPr>
          <w:rFonts w:ascii="黑体" w:hAnsi="黑体" w:eastAsia="黑体" w:cs="黑体"/>
          <w:b w:val="0"/>
          <w:bCs w:val="0"/>
          <w:spacing w:val="0"/>
        </w:rPr>
        <w:t>一、收入支出决算总表</w:t>
      </w:r>
      <w:bookmarkEnd w:id="6"/>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3789"/>
        <w:gridCol w:w="3790"/>
        <w:gridCol w:w="3790"/>
        <w:gridCol w:w="3790"/>
      </w:tblGrid>
      <w:tr>
        <w:tblPrEx>
          <w:tblCellMar>
            <w:top w:w="0" w:type="dxa"/>
            <w:left w:w="108" w:type="dxa"/>
            <w:bottom w:w="0" w:type="dxa"/>
            <w:right w:w="108" w:type="dxa"/>
          </w:tblCellMar>
        </w:tblPrEx>
        <w:trPr>
          <w:cantSplit/>
          <w:tblHeader/>
        </w:trPr>
        <w:tc>
          <w:tcPr>
            <w:tcW w:w="16380" w:type="dxa"/>
            <w:gridSpan w:val="4"/>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收入支出决算总表</w:t>
            </w:r>
          </w:p>
        </w:tc>
      </w:tr>
      <w:tr>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公开01表</w:t>
            </w:r>
          </w:p>
        </w:tc>
      </w:tr>
      <w:tr>
        <w:tblPrEx>
          <w:tblCellMar>
            <w:top w:w="0" w:type="dxa"/>
            <w:left w:w="108" w:type="dxa"/>
            <w:bottom w:w="0" w:type="dxa"/>
            <w:right w:w="108" w:type="dxa"/>
          </w:tblCellMar>
        </w:tblPrEx>
        <w:trPr>
          <w:cantSplit/>
          <w:tblHeader/>
        </w:trPr>
        <w:tc>
          <w:tcPr>
            <w:tcW w:w="21600" w:type="dxa"/>
            <w:gridSpan w:val="3"/>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编制单位：上杭县图书馆</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项目(按支出功能分类)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二、外交支出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四、上级补助收入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五、事业收入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六、经营收入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七、附属单位上缴收入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285.12</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八、其他收入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18.35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271.44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285.12</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使用非财政拨款结余（含专用结余）</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13.67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结余分配</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285.12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总计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285.12</w:t>
            </w:r>
          </w:p>
        </w:tc>
      </w:tr>
      <w:tr>
        <w:tblPrEx>
          <w:tblCellMar>
            <w:top w:w="0" w:type="dxa"/>
            <w:left w:w="108" w:type="dxa"/>
            <w:bottom w:w="0" w:type="dxa"/>
            <w:right w:w="108" w:type="dxa"/>
          </w:tblCellMar>
        </w:tblPrEx>
        <w:trPr>
          <w:cantSplit/>
        </w:trPr>
        <w:tc>
          <w:tcPr>
            <w:tcW w:w="16380" w:type="dxa"/>
            <w:gridSpan w:val="4"/>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注：1.本表反映单位本年度的总收支和年末结转结余情况。</w:t>
            </w:r>
          </w:p>
        </w:tc>
      </w:tr>
      <w:tr>
        <w:tblPrEx>
          <w:tblCellMar>
            <w:top w:w="0" w:type="dxa"/>
            <w:left w:w="108" w:type="dxa"/>
            <w:bottom w:w="0" w:type="dxa"/>
            <w:right w:w="108" w:type="dxa"/>
          </w:tblCellMar>
        </w:tblPrEx>
        <w:trPr>
          <w:cantSplit/>
        </w:trPr>
        <w:tc>
          <w:tcPr>
            <w:tcW w:w="16380" w:type="dxa"/>
            <w:gridSpan w:val="4"/>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2.本套报表金额单位转换时可能存在尾数误差。</w:t>
            </w:r>
          </w:p>
        </w:tc>
      </w:tr>
    </w:tbl>
    <w:p>
      <w:pPr>
        <w:sectPr>
          <w:footerReference r:id="rId8" w:type="default"/>
          <w:pgSz w:w="16383" w:h="11906" w:orient="landscape"/>
          <w:pgMar w:top="1134" w:right="720" w:bottom="1134" w:left="720" w:header="720" w:footer="720" w:gutter="0"/>
          <w:cols w:space="720" w:num="1"/>
        </w:sectPr>
      </w:pPr>
    </w:p>
    <w:p>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7" w:name="_Toc256000058"/>
      <w:r>
        <w:rPr>
          <w:rFonts w:ascii="黑体" w:hAnsi="黑体" w:eastAsia="黑体" w:cs="黑体"/>
          <w:b w:val="0"/>
          <w:bCs w:val="0"/>
          <w:spacing w:val="0"/>
        </w:rPr>
        <w:t>二、收入决算表</w:t>
      </w:r>
      <w:bookmarkEnd w:id="7"/>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gk02</w:t>
      </w:r>
    </w:p>
    <w:tbl>
      <w:tblPr>
        <w:tblStyle w:val="19"/>
        <w:tblW w:w="5000" w:type="pct"/>
        <w:tblInd w:w="20" w:type="dxa"/>
        <w:tblLayout w:type="fixed"/>
        <w:tblCellMar>
          <w:top w:w="0" w:type="dxa"/>
          <w:left w:w="108" w:type="dxa"/>
          <w:bottom w:w="0" w:type="dxa"/>
          <w:right w:w="108" w:type="dxa"/>
        </w:tblCellMar>
      </w:tblPr>
      <w:tblGrid>
        <w:gridCol w:w="579"/>
        <w:gridCol w:w="578"/>
        <w:gridCol w:w="578"/>
        <w:gridCol w:w="1678"/>
        <w:gridCol w:w="1678"/>
        <w:gridCol w:w="1678"/>
        <w:gridCol w:w="1678"/>
        <w:gridCol w:w="1678"/>
        <w:gridCol w:w="1678"/>
        <w:gridCol w:w="1678"/>
        <w:gridCol w:w="1678"/>
      </w:tblGrid>
      <w:tr>
        <w:tblPrEx>
          <w:tblCellMar>
            <w:top w:w="0" w:type="dxa"/>
            <w:left w:w="108" w:type="dxa"/>
            <w:bottom w:w="0" w:type="dxa"/>
            <w:right w:w="108" w:type="dxa"/>
          </w:tblCellMar>
        </w:tblPrEx>
        <w:trPr>
          <w:cantSplit/>
          <w:tblHeader/>
        </w:trPr>
        <w:tc>
          <w:tcPr>
            <w:tcW w:w="14578" w:type="dxa"/>
            <w:gridSpan w:val="11"/>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收入决算表</w:t>
            </w:r>
          </w:p>
        </w:tc>
      </w:tr>
      <w:tr>
        <w:tblPrEx>
          <w:tblCellMar>
            <w:top w:w="0" w:type="dxa"/>
            <w:left w:w="108" w:type="dxa"/>
            <w:bottom w:w="0" w:type="dxa"/>
            <w:right w:w="108" w:type="dxa"/>
          </w:tblCellMar>
        </w:tblPrEx>
        <w:trPr>
          <w:cantSplit/>
          <w:tblHeader/>
        </w:trPr>
        <w:tc>
          <w:tcPr>
            <w:tcW w:w="5290" w:type="dxa"/>
            <w:gridSpan w:val="2"/>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29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公开02表</w:t>
            </w:r>
          </w:p>
        </w:tc>
      </w:tr>
      <w:tr>
        <w:tblPrEx>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编制单位：上杭县图书馆</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财政拨款收入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上级补助收入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事业收入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附属单位上缴收入</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其他收入</w:t>
            </w:r>
          </w:p>
        </w:tc>
      </w:tr>
      <w:tr>
        <w:tblPrEx>
          <w:tblCellMar>
            <w:top w:w="0" w:type="dxa"/>
            <w:left w:w="108" w:type="dxa"/>
            <w:bottom w:w="0" w:type="dxa"/>
            <w:right w:w="108" w:type="dxa"/>
          </w:tblCellMar>
        </w:tblPrEx>
        <w:trPr>
          <w:cantSplit/>
          <w:tblHeader/>
        </w:trPr>
        <w:tc>
          <w:tcPr>
            <w:tcW w:w="5295" w:type="dxa"/>
            <w:gridSpan w:val="3"/>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46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46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46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164"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164"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77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297"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1560"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21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46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46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46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16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16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77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29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271.44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18.35</w:t>
            </w:r>
          </w:p>
        </w:tc>
      </w:tr>
      <w:tr>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271.44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18.35</w:t>
            </w:r>
          </w:p>
        </w:tc>
      </w:tr>
      <w:tr>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文化和旅游</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254.10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235.75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18.35</w:t>
            </w:r>
          </w:p>
        </w:tc>
      </w:tr>
      <w:tr>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图书馆</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229.10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18.35</w:t>
            </w:r>
          </w:p>
        </w:tc>
      </w:tr>
      <w:tr>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群众文化</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其他文化和旅游支出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17.35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17.35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2079999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17.35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17.35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4578" w:type="dxa"/>
            <w:gridSpan w:val="11"/>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注：本表反映单位本年度取得的各项收入情况。</w:t>
            </w:r>
          </w:p>
        </w:tc>
      </w:tr>
    </w:tbl>
    <w:p>
      <w:pPr>
        <w:sectPr>
          <w:footerReference r:id="rId9" w:type="default"/>
          <w:pgSz w:w="16383" w:h="11906" w:orient="landscape"/>
          <w:pgMar w:top="1134" w:right="720" w:bottom="1134" w:left="720" w:header="720" w:footer="720" w:gutter="0"/>
          <w:cols w:space="720" w:num="1"/>
        </w:sectPr>
      </w:pPr>
    </w:p>
    <w:p>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8" w:name="_Toc256000059"/>
      <w:r>
        <w:rPr>
          <w:rFonts w:ascii="黑体" w:hAnsi="黑体" w:eastAsia="黑体" w:cs="黑体"/>
          <w:b w:val="0"/>
          <w:bCs w:val="0"/>
          <w:spacing w:val="0"/>
        </w:rPr>
        <w:t>三、支出决算表</w:t>
      </w:r>
      <w:bookmarkEnd w:id="8"/>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gk03</w:t>
      </w:r>
    </w:p>
    <w:tbl>
      <w:tblPr>
        <w:tblStyle w:val="19"/>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tblPrEx>
          <w:tblCellMar>
            <w:top w:w="0" w:type="dxa"/>
            <w:left w:w="108" w:type="dxa"/>
            <w:bottom w:w="0" w:type="dxa"/>
            <w:right w:w="108" w:type="dxa"/>
          </w:tblCellMar>
        </w:tblPrEx>
        <w:trPr>
          <w:cantSplit/>
          <w:tblHeader/>
        </w:trPr>
        <w:tc>
          <w:tcPr>
            <w:tcW w:w="14400" w:type="dxa"/>
            <w:gridSpan w:val="10"/>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支出决算表</w:t>
            </w:r>
          </w:p>
        </w:tc>
      </w:tr>
      <w:tr>
        <w:tblPrEx>
          <w:tblCellMar>
            <w:top w:w="0" w:type="dxa"/>
            <w:left w:w="108" w:type="dxa"/>
            <w:bottom w:w="0" w:type="dxa"/>
            <w:right w:w="108" w:type="dxa"/>
          </w:tblCellMar>
        </w:tblPrEx>
        <w:trPr>
          <w:cantSplit/>
          <w:tblHeader/>
        </w:trPr>
        <w:tc>
          <w:tcPr>
            <w:tcW w:w="5290" w:type="dxa"/>
            <w:gridSpan w:val="4"/>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公开03表</w:t>
            </w:r>
          </w:p>
        </w:tc>
      </w:tr>
      <w:tr>
        <w:tblPrEx>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编制单位：上杭县图书馆</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上缴上级支出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经营支出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对附属单位补助支出</w:t>
            </w:r>
          </w:p>
        </w:tc>
      </w:tr>
      <w:tr>
        <w:tblPrEx>
          <w:tblCellMar>
            <w:top w:w="0" w:type="dxa"/>
            <w:left w:w="108" w:type="dxa"/>
            <w:bottom w:w="0" w:type="dxa"/>
            <w:right w:w="108" w:type="dxa"/>
          </w:tblCellMar>
        </w:tblPrEx>
        <w:trPr>
          <w:cantSplit/>
          <w:tblHeader/>
        </w:trPr>
        <w:tc>
          <w:tcPr>
            <w:tcW w:w="5295" w:type="dxa"/>
            <w:gridSpan w:val="3"/>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1605"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269"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269"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05"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269"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108"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1725"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550"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0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26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26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60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26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10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29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285.12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242.77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42.35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285.12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242.77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42.35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文化和旅游</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267.77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242.77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图书馆</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242.77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242.77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群众文化</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其他文化和旅游支出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17.35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17.35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2079999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17.35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17.35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4400" w:type="dxa"/>
            <w:gridSpan w:val="10"/>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注：本表反映单位本年度各项支出情况。</w:t>
            </w:r>
          </w:p>
        </w:tc>
      </w:tr>
    </w:tbl>
    <w:p>
      <w:pPr>
        <w:sectPr>
          <w:footerReference r:id="rId10" w:type="default"/>
          <w:pgSz w:w="16383" w:h="11906" w:orient="landscape"/>
          <w:pgMar w:top="1134" w:right="720" w:bottom="1134" w:left="720" w:header="720" w:footer="720" w:gutter="0"/>
          <w:cols w:space="720" w:num="1"/>
        </w:sectPr>
      </w:pPr>
    </w:p>
    <w:p>
      <w:pPr>
        <w:pStyle w:val="29"/>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9" w:name="_Toc256000060"/>
      <w:r>
        <w:rPr>
          <w:rFonts w:ascii="黑体" w:hAnsi="黑体" w:eastAsia="黑体" w:cs="黑体"/>
          <w:b w:val="0"/>
          <w:bCs w:val="0"/>
          <w:spacing w:val="0"/>
        </w:rPr>
        <w:t>四、财政拨款收入支出决算总表</w:t>
      </w:r>
      <w:bookmarkEnd w:id="9"/>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2165"/>
        <w:gridCol w:w="2165"/>
        <w:gridCol w:w="2165"/>
        <w:gridCol w:w="2166"/>
        <w:gridCol w:w="2166"/>
        <w:gridCol w:w="2166"/>
        <w:gridCol w:w="2166"/>
      </w:tblGrid>
      <w:tr>
        <w:tblPrEx>
          <w:tblCellMar>
            <w:top w:w="0" w:type="dxa"/>
            <w:left w:w="108" w:type="dxa"/>
            <w:bottom w:w="0" w:type="dxa"/>
            <w:right w:w="108" w:type="dxa"/>
          </w:tblCellMar>
        </w:tblPrEx>
        <w:trPr>
          <w:cantSplit/>
          <w:tblHeader/>
        </w:trPr>
        <w:tc>
          <w:tcPr>
            <w:tcW w:w="16381" w:type="dxa"/>
            <w:gridSpan w:val="7"/>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财政拨款收入支出决算总表</w:t>
            </w:r>
          </w:p>
        </w:tc>
      </w:tr>
      <w:tr>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公开04表</w:t>
            </w:r>
          </w:p>
        </w:tc>
      </w:tr>
      <w:tr>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编制单位：上杭县图书馆</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收入</w:t>
            </w:r>
          </w:p>
        </w:tc>
        <w:tc>
          <w:tcPr>
            <w:tcW w:w="21600" w:type="dxa"/>
            <w:gridSpan w:val="5"/>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w:t>
            </w:r>
          </w:p>
        </w:tc>
      </w:tr>
      <w:tr>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项目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项目（按功能分类）</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一般公共预算财政拨款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国有资本经营预算财政拨款</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一、一般公共预算财政拨款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二、外交支出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四、公共安全支出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五、教育支出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六、科学技术支出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七、文化旅游体育与传媒支出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八、社会保障和就业支出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九、卫生健康支出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十、节能环保支出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十一、城乡社区支出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十二、农林水支出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十三、交通运输支出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十四、资源勘探工业信息等支出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十五、商业服务业等支出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十六、金融支出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十七、援助其他地区支出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十八、自然资源海洋气象等支出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十九、住房保障支出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二十、粮油物资储备支出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二十一、国有资本经营预算支出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二十二、灾害防治及应急管理支出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二十三、其他支出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二十四、债务还本支出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二十五、债务付息支出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二十六、抗疫特别国债安排的支出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年初财政拨款结转和结余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年末财政拨款结转和结余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一、一般公共预算财政拨款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二、政府性基金预算财政拨款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三、国有资本经营预算财政拨款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总计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381" w:type="dxa"/>
            <w:gridSpan w:val="7"/>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注：1.本表反映单位本年度一般公共预算财政拨款、政府性基金预算财政拨款和国有资本经营预算财政拨款的总收支和结转结余情况。</w:t>
            </w:r>
          </w:p>
        </w:tc>
      </w:tr>
      <w:tr>
        <w:tblPrEx>
          <w:tblCellMar>
            <w:top w:w="0" w:type="dxa"/>
            <w:left w:w="108" w:type="dxa"/>
            <w:bottom w:w="0" w:type="dxa"/>
            <w:right w:w="108" w:type="dxa"/>
          </w:tblCellMar>
        </w:tblPrEx>
        <w:trPr>
          <w:cantSplit/>
        </w:trPr>
        <w:tc>
          <w:tcPr>
            <w:tcW w:w="16381" w:type="dxa"/>
            <w:gridSpan w:val="7"/>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1" w:type="default"/>
          <w:pgSz w:w="16383" w:h="11906" w:orient="landscape"/>
          <w:pgMar w:top="1134" w:right="720" w:bottom="1134" w:left="720" w:header="720" w:footer="720" w:gutter="0"/>
          <w:cols w:space="720" w:num="1"/>
        </w:sectPr>
      </w:pPr>
    </w:p>
    <w:p>
      <w:pPr>
        <w:pStyle w:val="29"/>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0" w:name="_Toc256000061"/>
      <w:r>
        <w:rPr>
          <w:rFonts w:ascii="黑体" w:hAnsi="黑体" w:eastAsia="黑体" w:cs="黑体"/>
          <w:b w:val="0"/>
          <w:bCs w:val="0"/>
          <w:spacing w:val="0"/>
        </w:rPr>
        <w:t>五、一般公共预算财政拨款支出决算表</w:t>
      </w:r>
      <w:bookmarkEnd w:id="10"/>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gk05</w:t>
      </w:r>
    </w:p>
    <w:tbl>
      <w:tblPr>
        <w:tblStyle w:val="19"/>
        <w:tblW w:w="5000" w:type="pct"/>
        <w:tblInd w:w="20" w:type="dxa"/>
        <w:tblLayout w:type="fixed"/>
        <w:tblCellMar>
          <w:top w:w="0" w:type="dxa"/>
          <w:left w:w="108" w:type="dxa"/>
          <w:bottom w:w="0" w:type="dxa"/>
          <w:right w:w="108" w:type="dxa"/>
        </w:tblCellMar>
      </w:tblPr>
      <w:tblGrid>
        <w:gridCol w:w="1740"/>
        <w:gridCol w:w="3354"/>
        <w:gridCol w:w="3355"/>
        <w:gridCol w:w="3355"/>
        <w:gridCol w:w="3355"/>
      </w:tblGrid>
      <w:tr>
        <w:tblPrEx>
          <w:tblCellMar>
            <w:top w:w="0" w:type="dxa"/>
            <w:left w:w="108" w:type="dxa"/>
            <w:bottom w:w="0" w:type="dxa"/>
            <w:right w:w="108" w:type="dxa"/>
          </w:tblCellMar>
        </w:tblPrEx>
        <w:trPr>
          <w:cantSplit/>
          <w:tblHeader/>
        </w:trPr>
        <w:tc>
          <w:tcPr>
            <w:tcW w:w="16380" w:type="dxa"/>
            <w:gridSpan w:val="5"/>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一般公共预算财政拨款支出决算表</w:t>
            </w:r>
          </w:p>
        </w:tc>
      </w:tr>
      <w:tr>
        <w:tblPrEx>
          <w:tblCellMar>
            <w:top w:w="0" w:type="dxa"/>
            <w:left w:w="108" w:type="dxa"/>
            <w:bottom w:w="0" w:type="dxa"/>
            <w:right w:w="108" w:type="dxa"/>
          </w:tblCellMar>
        </w:tblPrEx>
        <w:trPr>
          <w:cantSplit/>
          <w:tblHeader/>
        </w:trPr>
        <w:tc>
          <w:tcPr>
            <w:tcW w:w="10540" w:type="dxa"/>
            <w:gridSpan w:val="2"/>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公开05表</w:t>
            </w:r>
          </w:p>
        </w:tc>
      </w:tr>
      <w:tr>
        <w:tblPrEx>
          <w:tblCellMar>
            <w:top w:w="0" w:type="dxa"/>
            <w:left w:w="108" w:type="dxa"/>
            <w:bottom w:w="0" w:type="dxa"/>
            <w:right w:w="108" w:type="dxa"/>
          </w:tblCellMar>
        </w:tblPrEx>
        <w:trPr>
          <w:cantSplit/>
          <w:tblHeader/>
        </w:trPr>
        <w:tc>
          <w:tcPr>
            <w:tcW w:w="10540" w:type="dxa"/>
            <w:gridSpan w:val="3"/>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编制单位：上杭县图书馆</w:t>
            </w:r>
          </w:p>
        </w:tc>
        <w:tc>
          <w:tcPr>
            <w:tcW w:w="21600" w:type="dxa"/>
            <w:gridSpan w:val="2"/>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10545"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tblPrEx>
          <w:tblCellMar>
            <w:top w:w="0" w:type="dxa"/>
            <w:left w:w="108" w:type="dxa"/>
            <w:bottom w:w="0" w:type="dxa"/>
            <w:right w:w="108" w:type="dxa"/>
          </w:tblCellMar>
        </w:tblPrEx>
        <w:trPr>
          <w:cantSplit/>
          <w:tblHeader/>
        </w:trPr>
        <w:tc>
          <w:tcPr>
            <w:tcW w:w="1054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tblPrEx>
          <w:tblCellMar>
            <w:top w:w="0" w:type="dxa"/>
            <w:left w:w="108" w:type="dxa"/>
            <w:bottom w:w="0" w:type="dxa"/>
            <w:right w:w="108" w:type="dxa"/>
          </w:tblCellMar>
        </w:tblPrEx>
        <w:trPr>
          <w:cantSplit/>
          <w:tblHeader/>
        </w:trPr>
        <w:tc>
          <w:tcPr>
            <w:tcW w:w="348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5020"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45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710"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710"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10545"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42.35</w:t>
            </w:r>
          </w:p>
        </w:tc>
      </w:tr>
      <w:tr>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42.35</w:t>
            </w:r>
          </w:p>
        </w:tc>
      </w:tr>
      <w:tr>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文化和旅游</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235.75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25.00</w:t>
            </w:r>
          </w:p>
        </w:tc>
      </w:tr>
      <w:tr>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图书馆</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210.75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群众文化</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10.00</w:t>
            </w:r>
          </w:p>
        </w:tc>
      </w:tr>
      <w:tr>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2070199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其他文化和旅游支出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15.00</w:t>
            </w:r>
          </w:p>
        </w:tc>
      </w:tr>
      <w:tr>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17.35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17.35</w:t>
            </w:r>
          </w:p>
        </w:tc>
      </w:tr>
      <w:tr>
        <w:tblPrEx>
          <w:tblCellMar>
            <w:top w:w="0" w:type="dxa"/>
            <w:left w:w="108" w:type="dxa"/>
            <w:bottom w:w="0" w:type="dxa"/>
            <w:right w:w="108" w:type="dxa"/>
          </w:tblCellMar>
        </w:tblPrEx>
        <w:trPr>
          <w:cantSplit/>
        </w:trPr>
        <w:tc>
          <w:tcPr>
            <w:tcW w:w="10545"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2079999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其他文化旅游体育与传媒支出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17.35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17.35</w:t>
            </w:r>
          </w:p>
        </w:tc>
      </w:tr>
      <w:tr>
        <w:tblPrEx>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注：1.本表反映单位本年度一般公共预算财政拨款支出情况。</w:t>
            </w:r>
          </w:p>
        </w:tc>
      </w:tr>
      <w:tr>
        <w:tblPrEx>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2" w:type="default"/>
          <w:pgSz w:w="16383" w:h="11906" w:orient="landscape"/>
          <w:pgMar w:top="1134" w:right="720" w:bottom="1134" w:left="720" w:header="720" w:footer="720" w:gutter="0"/>
          <w:cols w:space="720" w:num="1"/>
        </w:sectPr>
      </w:pPr>
    </w:p>
    <w:p>
      <w:pPr>
        <w:pStyle w:val="29"/>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24"/>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1" w:name="_Toc256000062"/>
      <w:r>
        <w:rPr>
          <w:rFonts w:ascii="黑体" w:hAnsi="黑体" w:eastAsia="黑体" w:cs="黑体"/>
          <w:b w:val="0"/>
          <w:bCs w:val="0"/>
          <w:spacing w:val="0"/>
        </w:rPr>
        <w:t>六、一般公共预算财政拨款基本支出决算表</w:t>
      </w:r>
      <w:bookmarkEnd w:id="11"/>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1685"/>
        <w:gridCol w:w="1685"/>
        <w:gridCol w:w="1685"/>
        <w:gridCol w:w="1684"/>
        <w:gridCol w:w="1684"/>
        <w:gridCol w:w="1684"/>
        <w:gridCol w:w="1684"/>
        <w:gridCol w:w="1684"/>
        <w:gridCol w:w="1684"/>
      </w:tblGrid>
      <w:tr>
        <w:tblPrEx>
          <w:tblCellMar>
            <w:top w:w="0" w:type="dxa"/>
            <w:left w:w="108" w:type="dxa"/>
            <w:bottom w:w="0" w:type="dxa"/>
            <w:right w:w="108" w:type="dxa"/>
          </w:tblCellMar>
        </w:tblPrEx>
        <w:trPr>
          <w:cantSplit/>
          <w:tblHeader/>
        </w:trPr>
        <w:tc>
          <w:tcPr>
            <w:tcW w:w="16377" w:type="dxa"/>
            <w:gridSpan w:val="9"/>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一般公共预算财政拨款基本支出决算表</w:t>
            </w:r>
          </w:p>
        </w:tc>
      </w:tr>
      <w:tr>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公开06表</w:t>
            </w:r>
          </w:p>
        </w:tc>
      </w:tr>
      <w:tr>
        <w:tblPrEx>
          <w:tblCellMar>
            <w:top w:w="0" w:type="dxa"/>
            <w:left w:w="108" w:type="dxa"/>
            <w:bottom w:w="0" w:type="dxa"/>
            <w:right w:w="108" w:type="dxa"/>
          </w:tblCellMar>
        </w:tblPrEx>
        <w:trPr>
          <w:cantSplit/>
          <w:tblHeader/>
        </w:trPr>
        <w:tc>
          <w:tcPr>
            <w:tcW w:w="21600" w:type="dxa"/>
            <w:gridSpan w:val="6"/>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编制单位：上杭县图书馆</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gridSpan w:val="2"/>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经济分类科目编码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金额</w:t>
            </w:r>
          </w:p>
        </w:tc>
      </w:tr>
      <w:tr>
        <w:tblPrEx>
          <w:tblCellMar>
            <w:top w:w="0" w:type="dxa"/>
            <w:left w:w="108" w:type="dxa"/>
            <w:bottom w:w="0" w:type="dxa"/>
            <w:right w:w="108" w:type="dxa"/>
          </w:tblCellMar>
        </w:tblPrEx>
        <w:trPr>
          <w:cantSplit/>
          <w:tblHeader/>
        </w:trPr>
        <w:tc>
          <w:tcPr>
            <w:tcW w:w="180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58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158"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0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93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093"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80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00"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094"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工资福利支出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143.69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商品和服务支出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57.93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基本工资</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49.50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房屋建筑物购建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津贴补贴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24.68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印刷费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办公设备购置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手续费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专用设备购置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伙食补助费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0.22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基础设施建设</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绩效工资</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21.44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电费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3.32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大型修缮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机关事业单位基本养老保险缴费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15.55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邮电费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信息网络及软件购置更新</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职业年金缴费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取暖费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物资储备</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职工基本医疗保险缴费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9.57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物业管理费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土地补偿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公务员医疗补助缴费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差旅费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1.74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安置补助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其他社会保障缴费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因公出国（境）费用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地上附着物和青苗补偿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住房公积金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12.33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维修（护）费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0.93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拆迁补偿</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租赁费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30199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其他工资福利支出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10.51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会议费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31019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其他交通工具购置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对个人和家庭的补助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培训费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文物和陈列品购置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离休费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公务接待费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31022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无形资产购置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退休费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30218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专用材料费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31099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退职（役）费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被装购置费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对企业补助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抚恤金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专用燃料费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资本金注入</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生活补助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劳务费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36.80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政府投资基金股权投资</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救济费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委托业务费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1.94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费用补贴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医疗费补助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工会经费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4.29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利息补贴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助学金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30229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福利费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1.64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31206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其他资本性补助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奖励金</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公务用车运行维护费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31299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其他对企业补助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个人农业生产补贴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30239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其他交通费用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9"/>
                <w:szCs w:val="29"/>
              </w:rPr>
            </w:pPr>
            <w:r>
              <w:rPr>
                <w:rFonts w:ascii="宋体" w:hAnsi="宋体" w:eastAsia="宋体" w:cs="宋体"/>
                <w:b w:val="0"/>
                <w:bCs w:val="0"/>
                <w:i w:val="0"/>
                <w:iCs w:val="0"/>
                <w:smallCaps w:val="0"/>
                <w:color w:val="000000"/>
                <w:kern w:val="0"/>
                <w:sz w:val="21"/>
                <w:szCs w:val="29"/>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30311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代缴社会保险费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30240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税金及附加费用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国家赔偿费用支出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30399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其他对个人和家庭的补助</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9.13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30299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其他商品和服务支出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2.56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39908</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对民间非营利组织和群众性自治组织补贴</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债务利息及费用支出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39909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经常性赠与</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国内债务付息</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39910</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资本性赠与</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国外债务付息</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39999</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其他支出</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国内债务发行费用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30704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国外债务发行费用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人员经费合计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152.82</w:t>
            </w:r>
          </w:p>
        </w:tc>
        <w:tc>
          <w:tcPr>
            <w:tcW w:w="21600" w:type="dxa"/>
            <w:gridSpan w:val="5"/>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公用经费合计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57.93</w:t>
            </w:r>
          </w:p>
        </w:tc>
      </w:tr>
      <w:tr>
        <w:tblPrEx>
          <w:tblCellMar>
            <w:top w:w="0" w:type="dxa"/>
            <w:left w:w="108" w:type="dxa"/>
            <w:bottom w:w="0" w:type="dxa"/>
            <w:right w:w="108" w:type="dxa"/>
          </w:tblCellMar>
        </w:tblPrEx>
        <w:trPr>
          <w:cantSplit/>
        </w:trPr>
        <w:tc>
          <w:tcPr>
            <w:tcW w:w="16377" w:type="dxa"/>
            <w:gridSpan w:val="9"/>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注：1.本表反映单位本年度一般公共预算财政拨款基本支出明细情况。</w:t>
            </w:r>
          </w:p>
        </w:tc>
      </w:tr>
      <w:tr>
        <w:tblPrEx>
          <w:tblCellMar>
            <w:top w:w="0" w:type="dxa"/>
            <w:left w:w="108" w:type="dxa"/>
            <w:bottom w:w="0" w:type="dxa"/>
            <w:right w:w="108" w:type="dxa"/>
          </w:tblCellMar>
        </w:tblPrEx>
        <w:trPr>
          <w:cantSplit/>
        </w:trPr>
        <w:tc>
          <w:tcPr>
            <w:tcW w:w="16377" w:type="dxa"/>
            <w:gridSpan w:val="9"/>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3" w:type="default"/>
          <w:pgSz w:w="16383" w:h="11906" w:orient="landscape"/>
          <w:pgMar w:top="1134" w:right="720" w:bottom="1134" w:left="720" w:header="720" w:footer="720" w:gutter="0"/>
          <w:cols w:space="720" w:num="1"/>
        </w:sectPr>
      </w:pPr>
    </w:p>
    <w:p>
      <w:pPr>
        <w:pStyle w:val="29"/>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2" w:name="_Toc256000063"/>
      <w:r>
        <w:rPr>
          <w:rFonts w:ascii="黑体" w:hAnsi="黑体" w:eastAsia="黑体" w:cs="黑体"/>
          <w:b w:val="0"/>
          <w:bCs w:val="0"/>
          <w:spacing w:val="0"/>
        </w:rPr>
        <w:t>七、一般公共预算财政拨款“三公”经费支出决算表</w:t>
      </w:r>
      <w:bookmarkEnd w:id="12"/>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w:t>
      </w:r>
    </w:p>
    <w:tbl>
      <w:tblPr>
        <w:tblStyle w:val="19"/>
        <w:tblW w:w="5000" w:type="pct"/>
        <w:tblInd w:w="20" w:type="dxa"/>
        <w:tblLayout w:type="fixed"/>
        <w:tblCellMar>
          <w:top w:w="0" w:type="dxa"/>
          <w:left w:w="108" w:type="dxa"/>
          <w:bottom w:w="0" w:type="dxa"/>
          <w:right w:w="108" w:type="dxa"/>
        </w:tblCellMar>
      </w:tblPr>
      <w:tblGrid>
        <w:gridCol w:w="5053"/>
        <w:gridCol w:w="5053"/>
        <w:gridCol w:w="5053"/>
      </w:tblGrid>
      <w:tr>
        <w:tblPrEx>
          <w:tblCellMar>
            <w:top w:w="0" w:type="dxa"/>
            <w:left w:w="108" w:type="dxa"/>
            <w:bottom w:w="0" w:type="dxa"/>
            <w:right w:w="108" w:type="dxa"/>
          </w:tblCellMar>
        </w:tblPrEx>
        <w:trPr>
          <w:cantSplit/>
          <w:tblHeader/>
        </w:trPr>
        <w:tc>
          <w:tcPr>
            <w:tcW w:w="16383" w:type="dxa"/>
            <w:gridSpan w:val="3"/>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一般公共预算财政拨款“三公”经费支出决算表</w:t>
            </w:r>
          </w:p>
        </w:tc>
      </w:tr>
      <w:tr>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公开07表</w:t>
            </w:r>
          </w:p>
        </w:tc>
      </w:tr>
      <w:tr>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编制单位：上杭县图书馆</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行次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决算数</w:t>
            </w:r>
          </w:p>
        </w:tc>
      </w:tr>
      <w:tr>
        <w:tblPrEx>
          <w:tblCellMar>
            <w:top w:w="0" w:type="dxa"/>
            <w:left w:w="108" w:type="dxa"/>
            <w:bottom w:w="0" w:type="dxa"/>
            <w:right w:w="108" w:type="dxa"/>
          </w:tblCellMar>
        </w:tblPrEx>
        <w:trPr>
          <w:cantSplit/>
          <w:tblHeader/>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0.30</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 因公出国（境）费用</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 公务用车购置及运行维护费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其中：（1）公务用车购置费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（2）公务用车运行维护费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0.00</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 公务接待费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0.30</w:t>
            </w:r>
          </w:p>
        </w:tc>
      </w:tr>
      <w:tr>
        <w:tblPrEx>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注：1.本表反映单位本年度“三公”经费支出决算情况，包括当年一般公共预算财政拨款和以前年度结转资金安排的实际支出。</w:t>
            </w:r>
          </w:p>
        </w:tc>
      </w:tr>
      <w:tr>
        <w:tblPrEx>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rPr>
        <w:tc>
          <w:tcPr>
            <w:tcW w:w="16383" w:type="dxa"/>
            <w:gridSpan w:val="3"/>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bl>
    <w:p>
      <w:pPr>
        <w:sectPr>
          <w:footerReference r:id="rId14" w:type="default"/>
          <w:pgSz w:w="16383" w:h="11906" w:orient="landscape"/>
          <w:pgMar w:top="1134" w:right="720" w:bottom="1134" w:left="720" w:header="720" w:footer="720" w:gutter="0"/>
          <w:cols w:space="720" w:num="1"/>
        </w:sectPr>
      </w:pPr>
    </w:p>
    <w:p>
      <w:pPr>
        <w:pStyle w:val="28"/>
        <w:widowControl/>
        <w:spacing w:before="240" w:after="100"/>
        <w:ind w:left="100" w:right="100" w:firstLine="0"/>
        <w:jc w:val="left"/>
        <w:rPr>
          <w:rFonts w:ascii="Times New Roman" w:hAnsi="Times New Roman" w:eastAsia="Times New Roman" w:cs="Times New Roman"/>
          <w:kern w:val="0"/>
          <w:sz w:val="24"/>
        </w:rPr>
      </w:pPr>
      <w:r>
        <w:rPr>
          <w:rFonts w:ascii="宋体" w:hAnsi="宋体" w:eastAsia="宋体" w:cs="宋体"/>
          <w:spacing w:val="0"/>
          <w:kern w:val="0"/>
          <w:sz w:val="32"/>
          <w:szCs w:val="32"/>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3" w:name="_Toc256000064"/>
      <w:r>
        <w:rPr>
          <w:rFonts w:ascii="黑体" w:hAnsi="黑体" w:eastAsia="黑体" w:cs="黑体"/>
          <w:b w:val="0"/>
          <w:bCs w:val="0"/>
          <w:spacing w:val="0"/>
        </w:rPr>
        <w:t>八、政府性基金预算财政拨款收入支出决算表</w:t>
      </w:r>
      <w:bookmarkEnd w:id="13"/>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gk08</w:t>
      </w:r>
    </w:p>
    <w:tbl>
      <w:tblPr>
        <w:tblStyle w:val="19"/>
        <w:tblW w:w="5000" w:type="pct"/>
        <w:tblInd w:w="20" w:type="dxa"/>
        <w:tblLayout w:type="fixed"/>
        <w:tblCellMar>
          <w:top w:w="0" w:type="dxa"/>
          <w:left w:w="108" w:type="dxa"/>
          <w:bottom w:w="0" w:type="dxa"/>
          <w:right w:w="108" w:type="dxa"/>
        </w:tblCellMar>
      </w:tblPr>
      <w:tblGrid>
        <w:gridCol w:w="629"/>
        <w:gridCol w:w="629"/>
        <w:gridCol w:w="629"/>
        <w:gridCol w:w="1896"/>
        <w:gridCol w:w="1896"/>
        <w:gridCol w:w="1896"/>
        <w:gridCol w:w="1896"/>
        <w:gridCol w:w="1896"/>
        <w:gridCol w:w="1896"/>
        <w:gridCol w:w="1896"/>
      </w:tblGrid>
      <w:tr>
        <w:tblPrEx>
          <w:tblCellMar>
            <w:top w:w="0" w:type="dxa"/>
            <w:left w:w="108" w:type="dxa"/>
            <w:bottom w:w="0" w:type="dxa"/>
            <w:right w:w="108" w:type="dxa"/>
          </w:tblCellMar>
        </w:tblPrEx>
        <w:trPr>
          <w:cantSplit/>
          <w:tblHeader/>
        </w:trPr>
        <w:tc>
          <w:tcPr>
            <w:tcW w:w="14400" w:type="dxa"/>
            <w:gridSpan w:val="10"/>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政府性基金预算财政拨款收入支出决算表</w:t>
            </w:r>
          </w:p>
        </w:tc>
      </w:tr>
      <w:tr>
        <w:tblPrEx>
          <w:tblCellMar>
            <w:top w:w="0" w:type="dxa"/>
            <w:left w:w="108" w:type="dxa"/>
            <w:bottom w:w="0" w:type="dxa"/>
            <w:right w:w="108" w:type="dxa"/>
          </w:tblCellMar>
        </w:tblPrEx>
        <w:trPr>
          <w:cantSplit/>
          <w:tblHeader/>
        </w:trPr>
        <w:tc>
          <w:tcPr>
            <w:tcW w:w="5290" w:type="dxa"/>
            <w:gridSpan w:val="2"/>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529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公开08表</w:t>
            </w:r>
          </w:p>
        </w:tc>
      </w:tr>
      <w:tr>
        <w:tblPrEx>
          <w:tblCellMar>
            <w:top w:w="0" w:type="dxa"/>
            <w:left w:w="108" w:type="dxa"/>
            <w:bottom w:w="0" w:type="dxa"/>
            <w:right w:w="108" w:type="dxa"/>
          </w:tblCellMar>
        </w:tblPrEx>
        <w:trPr>
          <w:cantSplit/>
          <w:tblHeader/>
        </w:trPr>
        <w:tc>
          <w:tcPr>
            <w:tcW w:w="5290" w:type="dxa"/>
            <w:gridSpan w:val="7"/>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编制单位：上杭县图书馆</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5295" w:type="dxa"/>
            <w:gridSpan w:val="4"/>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年初结转和结余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本年收入</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年末结转和结余</w:t>
            </w:r>
          </w:p>
        </w:tc>
      </w:tr>
      <w:tr>
        <w:tblPrEx>
          <w:tblCellMar>
            <w:top w:w="0" w:type="dxa"/>
            <w:left w:w="108" w:type="dxa"/>
            <w:bottom w:w="0" w:type="dxa"/>
            <w:right w:w="108" w:type="dxa"/>
          </w:tblCellMar>
        </w:tblPrEx>
        <w:trPr>
          <w:cantSplit/>
          <w:tblHeader/>
        </w:trPr>
        <w:tc>
          <w:tcPr>
            <w:tcW w:w="5295" w:type="dxa"/>
            <w:gridSpan w:val="3"/>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支出功能分类科目编码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59"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小计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xml:space="preserve">基本支出 </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c>
          <w:tcPr>
            <w:tcW w:w="2161"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2271" w:type="dxa"/>
            <w:gridSpan w:val="3"/>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26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159"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055"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1496"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161"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529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类</w:t>
            </w:r>
          </w:p>
        </w:tc>
        <w:tc>
          <w:tcPr>
            <w:tcW w:w="529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款</w:t>
            </w:r>
          </w:p>
        </w:tc>
        <w:tc>
          <w:tcPr>
            <w:tcW w:w="5295"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4</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5</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6</w:t>
            </w:r>
          </w:p>
        </w:tc>
      </w:tr>
      <w:tr>
        <w:tblPrEx>
          <w:tblCellMar>
            <w:top w:w="0" w:type="dxa"/>
            <w:left w:w="108" w:type="dxa"/>
            <w:bottom w:w="0" w:type="dxa"/>
            <w:right w:w="108" w:type="dxa"/>
          </w:tblCellMar>
        </w:tblPrEx>
        <w:trPr>
          <w:cantSplit/>
        </w:trPr>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75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5295"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4400" w:type="dxa"/>
            <w:gridSpan w:val="10"/>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rPr>
        <w:tc>
          <w:tcPr>
            <w:tcW w:w="14400" w:type="dxa"/>
            <w:gridSpan w:val="10"/>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注：本单位2025年度没有使用政府性基金预算财政拨款安排的收支。</w:t>
            </w:r>
          </w:p>
        </w:tc>
      </w:tr>
    </w:tbl>
    <w:p>
      <w:pPr>
        <w:sectPr>
          <w:footerReference r:id="rId15" w:type="default"/>
          <w:pgSz w:w="16383" w:h="11906" w:orient="landscape"/>
          <w:pgMar w:top="1134" w:right="720" w:bottom="1134" w:left="720" w:header="720" w:footer="720" w:gutter="0"/>
          <w:cols w:space="720" w:num="1"/>
        </w:sectPr>
      </w:pPr>
    </w:p>
    <w:p>
      <w:pPr>
        <w:pStyle w:val="28"/>
        <w:widowControl/>
        <w:spacing w:before="240" w:after="100"/>
        <w:ind w:left="100" w:right="100" w:firstLine="0"/>
        <w:jc w:val="left"/>
        <w:rPr>
          <w:rFonts w:ascii="Times New Roman" w:hAnsi="Times New Roman" w:eastAsia="Times New Roman" w:cs="Times New Roman"/>
          <w:kern w:val="0"/>
          <w:sz w:val="24"/>
        </w:rPr>
      </w:pPr>
      <w:r>
        <w:rPr>
          <w:rFonts w:ascii="Times New Roman" w:hAnsi="Times New Roman" w:eastAsia="Times New Roman" w:cs="Times New Roman"/>
          <w:spacing w:val="0"/>
          <w:kern w:val="0"/>
          <w:sz w:val="27"/>
          <w:szCs w:val="27"/>
        </w:rPr>
        <w:t> </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4" w:name="_Toc256000065"/>
      <w:r>
        <w:rPr>
          <w:rFonts w:ascii="黑体" w:hAnsi="黑体" w:eastAsia="黑体" w:cs="黑体"/>
          <w:b w:val="0"/>
          <w:bCs w:val="0"/>
          <w:spacing w:val="0"/>
        </w:rPr>
        <w:t>九、国有资本经营预算财政拨款支出决算表</w:t>
      </w:r>
      <w:bookmarkEnd w:id="14"/>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horizontal layout gk09</w:t>
      </w:r>
    </w:p>
    <w:tbl>
      <w:tblPr>
        <w:tblStyle w:val="19"/>
        <w:tblW w:w="5000" w:type="pct"/>
        <w:tblInd w:w="20" w:type="dxa"/>
        <w:tblLayout w:type="fixed"/>
        <w:tblCellMar>
          <w:top w:w="0" w:type="dxa"/>
          <w:left w:w="108" w:type="dxa"/>
          <w:bottom w:w="0" w:type="dxa"/>
          <w:right w:w="108" w:type="dxa"/>
        </w:tblCellMar>
      </w:tblPr>
      <w:tblGrid>
        <w:gridCol w:w="3031"/>
        <w:gridCol w:w="3032"/>
        <w:gridCol w:w="3032"/>
        <w:gridCol w:w="3032"/>
        <w:gridCol w:w="3032"/>
      </w:tblGrid>
      <w:tr>
        <w:tblPrEx>
          <w:tblCellMar>
            <w:top w:w="0" w:type="dxa"/>
            <w:left w:w="108" w:type="dxa"/>
            <w:bottom w:w="0" w:type="dxa"/>
            <w:right w:w="108" w:type="dxa"/>
          </w:tblCellMar>
        </w:tblPrEx>
        <w:trPr>
          <w:cantSplit/>
          <w:tblHeader/>
        </w:trPr>
        <w:tc>
          <w:tcPr>
            <w:tcW w:w="16380" w:type="dxa"/>
            <w:gridSpan w:val="5"/>
            <w:noWrap w:val="0"/>
            <w:tcMar>
              <w:top w:w="15" w:type="dxa"/>
              <w:left w:w="108" w:type="dxa"/>
              <w:bottom w:w="15" w:type="dxa"/>
              <w:right w:w="108" w:type="dxa"/>
            </w:tcMar>
            <w:vAlign w:val="center"/>
          </w:tcPr>
          <w:p>
            <w:pPr>
              <w:widowControl/>
              <w:jc w:val="center"/>
              <w:rPr>
                <w:rFonts w:ascii="黑体" w:hAnsi="黑体" w:eastAsia="黑体" w:cs="黑体"/>
                <w:b w:val="0"/>
                <w:bCs w:val="0"/>
                <w:i w:val="0"/>
                <w:iCs w:val="0"/>
                <w:smallCaps w:val="0"/>
                <w:color w:val="000000"/>
                <w:kern w:val="0"/>
                <w:sz w:val="36"/>
                <w:szCs w:val="36"/>
              </w:rPr>
            </w:pPr>
            <w:r>
              <w:rPr>
                <w:rFonts w:ascii="黑体" w:hAnsi="黑体" w:eastAsia="黑体" w:cs="黑体"/>
                <w:b w:val="0"/>
                <w:bCs w:val="0"/>
                <w:i w:val="0"/>
                <w:iCs w:val="0"/>
                <w:smallCaps w:val="0"/>
                <w:color w:val="000000"/>
                <w:kern w:val="0"/>
                <w:sz w:val="32"/>
                <w:szCs w:val="36"/>
              </w:rPr>
              <w:t>国有资本经营预算财政拨款支出决算表</w:t>
            </w:r>
          </w:p>
        </w:tc>
      </w:tr>
      <w:tr>
        <w:tblPrEx>
          <w:tblCellMar>
            <w:top w:w="0" w:type="dxa"/>
            <w:left w:w="108" w:type="dxa"/>
            <w:bottom w:w="0" w:type="dxa"/>
            <w:right w:w="108" w:type="dxa"/>
          </w:tblCellMar>
        </w:tblPrEx>
        <w:trPr>
          <w:cantSplit/>
          <w:tblHeader/>
        </w:trPr>
        <w:tc>
          <w:tcPr>
            <w:tcW w:w="21600" w:type="dxa"/>
            <w:gridSpan w:val="2"/>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bottom"/>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Times New Roman" w:hAnsi="Times New Roman" w:eastAsia="Times New Roman" w:cs="Times New Roman"/>
                <w:b w:val="0"/>
                <w:bCs w:val="0"/>
                <w:i w:val="0"/>
                <w:iCs w:val="0"/>
                <w:smallCaps w:val="0"/>
                <w:color w:val="000000"/>
                <w:kern w:val="0"/>
                <w:sz w:val="26"/>
                <w:szCs w:val="26"/>
              </w:rPr>
              <w:t> </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公开09表</w:t>
            </w:r>
          </w:p>
        </w:tc>
      </w:tr>
      <w:tr>
        <w:tblPrEx>
          <w:tblCellMar>
            <w:top w:w="0" w:type="dxa"/>
            <w:left w:w="108" w:type="dxa"/>
            <w:bottom w:w="0" w:type="dxa"/>
            <w:right w:w="108" w:type="dxa"/>
          </w:tblCellMar>
        </w:tblPrEx>
        <w:trPr>
          <w:cantSplit/>
          <w:tblHeader/>
        </w:trPr>
        <w:tc>
          <w:tcPr>
            <w:tcW w:w="21600" w:type="dxa"/>
            <w:gridSpan w:val="4"/>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4"/>
                <w:szCs w:val="26"/>
              </w:rPr>
              <w:t>编制单位：上杭县图书馆</w:t>
            </w:r>
          </w:p>
        </w:tc>
        <w:tc>
          <w:tcPr>
            <w:tcW w:w="21600" w:type="dxa"/>
            <w:noWrap w:val="0"/>
            <w:tcMar>
              <w:top w:w="15" w:type="dxa"/>
              <w:left w:w="108" w:type="dxa"/>
              <w:bottom w:w="15" w:type="dxa"/>
              <w:right w:w="108" w:type="dxa"/>
            </w:tcMar>
            <w:vAlign w:val="center"/>
          </w:tcPr>
          <w:p>
            <w:pPr>
              <w:widowControl/>
              <w:jc w:val="righ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单位：万元</w:t>
            </w:r>
          </w:p>
        </w:tc>
      </w:tr>
      <w:tr>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 目</w:t>
            </w:r>
          </w:p>
        </w:tc>
        <w:tc>
          <w:tcPr>
            <w:tcW w:w="21600" w:type="dxa"/>
            <w:gridSpan w:val="3"/>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本年支出</w:t>
            </w:r>
          </w:p>
        </w:tc>
      </w:tr>
      <w:tr>
        <w:tblPrEx>
          <w:tblCellMar>
            <w:top w:w="0" w:type="dxa"/>
            <w:left w:w="108" w:type="dxa"/>
            <w:bottom w:w="0" w:type="dxa"/>
            <w:right w:w="108" w:type="dxa"/>
          </w:tblCellMar>
        </w:tblPrEx>
        <w:trPr>
          <w:cantSplit/>
          <w:tblHeader/>
        </w:trPr>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功能分类科目编码</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科目名称</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基本支出</w:t>
            </w:r>
          </w:p>
        </w:tc>
        <w:tc>
          <w:tcPr>
            <w:tcW w:w="21600" w:type="dxa"/>
            <w:vMerge w:val="restart"/>
            <w:tcBorders>
              <w:top w:val="single" w:color="000000" w:sz="6" w:space="0"/>
              <w:left w:val="single" w:color="000000" w:sz="6" w:space="0"/>
              <w:bottom w:val="nil"/>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项目支出</w:t>
            </w:r>
          </w:p>
        </w:tc>
      </w:tr>
      <w:tr>
        <w:tblPrEx>
          <w:tblCellMar>
            <w:top w:w="0" w:type="dxa"/>
            <w:left w:w="108" w:type="dxa"/>
            <w:bottom w:w="0" w:type="dxa"/>
            <w:right w:w="108" w:type="dxa"/>
          </w:tblCellMar>
        </w:tblPrEx>
        <w:trPr>
          <w:cantSplit/>
          <w:tblHeader/>
        </w:trPr>
        <w:tc>
          <w:tcPr>
            <w:tcW w:w="3712"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3712"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c>
          <w:tcPr>
            <w:tcW w:w="3167" w:type="dxa"/>
            <w:vMerge w:val="continue"/>
            <w:tcBorders>
              <w:left w:val="single" w:color="000000" w:sz="6" w:space="0"/>
              <w:bottom w:val="single" w:color="000000" w:sz="6" w:space="0"/>
              <w:right w:val="single" w:color="000000" w:sz="6" w:space="0"/>
            </w:tcBorders>
            <w:tcMar>
              <w:left w:w="108" w:type="dxa"/>
              <w:right w:w="108" w:type="dxa"/>
            </w:tcMar>
            <w:vAlign w:val="center"/>
          </w:tcPr>
          <w:p>
            <w:pPr>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栏次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1</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2</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3</w:t>
            </w:r>
          </w:p>
        </w:tc>
      </w:tr>
      <w:tr>
        <w:tblPrEx>
          <w:tblCellMar>
            <w:top w:w="0" w:type="dxa"/>
            <w:left w:w="108" w:type="dxa"/>
            <w:bottom w:w="0" w:type="dxa"/>
            <w:right w:w="108" w:type="dxa"/>
          </w:tblCellMar>
        </w:tblPrEx>
        <w:trPr>
          <w:cantSplit/>
          <w:tblHeader/>
        </w:trPr>
        <w:tc>
          <w:tcPr>
            <w:tcW w:w="21600" w:type="dxa"/>
            <w:gridSpan w:val="2"/>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合计</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c>
          <w:tcPr>
            <w:tcW w:w="21600" w:type="dxa"/>
            <w:tcBorders>
              <w:top w:val="single" w:color="000000" w:sz="6" w:space="0"/>
              <w:left w:val="single" w:color="000000" w:sz="6" w:space="0"/>
              <w:bottom w:val="single" w:color="000000" w:sz="6" w:space="0"/>
              <w:right w:val="single" w:color="000000" w:sz="6" w:space="0"/>
            </w:tcBorders>
            <w:noWrap w:val="0"/>
            <w:tcMar>
              <w:top w:w="15" w:type="dxa"/>
              <w:left w:w="108" w:type="dxa"/>
              <w:bottom w:w="15" w:type="dxa"/>
              <w:right w:w="108" w:type="dxa"/>
            </w:tcMar>
            <w:vAlign w:val="center"/>
          </w:tcPr>
          <w:p>
            <w:pPr>
              <w:widowControl/>
              <w:jc w:val="center"/>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 </w:t>
            </w:r>
          </w:p>
        </w:tc>
      </w:tr>
      <w:tr>
        <w:tblPrEx>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p>
        </w:tc>
      </w:tr>
      <w:tr>
        <w:tblPrEx>
          <w:tblCellMar>
            <w:top w:w="0" w:type="dxa"/>
            <w:left w:w="108" w:type="dxa"/>
            <w:bottom w:w="0" w:type="dxa"/>
            <w:right w:w="108" w:type="dxa"/>
          </w:tblCellMar>
        </w:tblPrEx>
        <w:trPr>
          <w:cantSplit/>
        </w:trPr>
        <w:tc>
          <w:tcPr>
            <w:tcW w:w="16380" w:type="dxa"/>
            <w:gridSpan w:val="5"/>
            <w:noWrap w:val="0"/>
            <w:tcMar>
              <w:top w:w="15" w:type="dxa"/>
              <w:left w:w="108" w:type="dxa"/>
              <w:bottom w:w="15" w:type="dxa"/>
              <w:right w:w="108" w:type="dxa"/>
            </w:tcMar>
            <w:vAlign w:val="center"/>
          </w:tcPr>
          <w:p>
            <w:pPr>
              <w:widowControl/>
              <w:spacing w:line="375" w:lineRule="atLeast"/>
              <w:jc w:val="left"/>
              <w:rPr>
                <w:rFonts w:ascii="Times New Roman" w:hAnsi="Times New Roman" w:eastAsia="Times New Roman" w:cs="Times New Roman"/>
                <w:b w:val="0"/>
                <w:bCs w:val="0"/>
                <w:i w:val="0"/>
                <w:iCs w:val="0"/>
                <w:smallCaps w:val="0"/>
                <w:color w:val="000000"/>
                <w:kern w:val="0"/>
                <w:sz w:val="26"/>
                <w:szCs w:val="26"/>
              </w:rPr>
            </w:pPr>
            <w:r>
              <w:rPr>
                <w:rFonts w:ascii="宋体" w:hAnsi="宋体" w:eastAsia="宋体" w:cs="宋体"/>
                <w:b w:val="0"/>
                <w:bCs w:val="0"/>
                <w:i w:val="0"/>
                <w:iCs w:val="0"/>
                <w:smallCaps w:val="0"/>
                <w:color w:val="000000"/>
                <w:kern w:val="0"/>
                <w:sz w:val="21"/>
                <w:szCs w:val="26"/>
              </w:rPr>
              <w:t>注：本单位2025年度没有使用国有资本经营预算财政拨款安排的支出。</w:t>
            </w:r>
          </w:p>
        </w:tc>
      </w:tr>
    </w:tbl>
    <w:p>
      <w:pPr>
        <w:sectPr>
          <w:footerReference r:id="rId16" w:type="default"/>
          <w:pgSz w:w="16383" w:h="11906" w:orient="landscape"/>
          <w:pgMar w:top="1134" w:right="720" w:bottom="1134" w:left="720" w:header="720" w:footer="720" w:gutter="0"/>
          <w:cols w:space="720" w:num="1"/>
        </w:sectPr>
      </w:pPr>
    </w:p>
    <w:p>
      <w:pPr>
        <w:pStyle w:val="28"/>
        <w:widowControl/>
        <w:spacing w:before="240" w:after="240"/>
        <w:jc w:val="left"/>
        <w:rPr>
          <w:rFonts w:ascii="Times New Roman" w:hAnsi="Times New Roman" w:eastAsia="Times New Roman" w:cs="Times New Roman"/>
          <w:kern w:val="0"/>
          <w:sz w:val="24"/>
        </w:rPr>
      </w:pPr>
      <w:r>
        <w:rPr>
          <w:rFonts w:ascii="黑体" w:hAnsi="黑体" w:eastAsia="黑体" w:cs="黑体"/>
          <w:spacing w:val="0"/>
          <w:kern w:val="0"/>
          <w:sz w:val="56"/>
          <w:szCs w:val="56"/>
        </w:rPr>
        <w:t> </w:t>
      </w: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15" w:name="_Toc256000066"/>
      <w:r>
        <w:rPr>
          <w:rFonts w:ascii="黑体" w:hAnsi="黑体" w:eastAsia="黑体" w:cs="黑体"/>
          <w:b w:val="0"/>
          <w:bCs w:val="0"/>
          <w:spacing w:val="0"/>
          <w:sz w:val="56"/>
          <w:szCs w:val="56"/>
        </w:rPr>
        <w:t>第三部分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2025年度单位决算情况说明</w:t>
      </w:r>
      <w:bookmarkEnd w:id="15"/>
    </w:p>
    <w:p>
      <w:pPr>
        <w:pStyle w:val="28"/>
        <w:widowControl/>
        <w:spacing w:before="100" w:after="100" w:line="560" w:lineRule="atLeast"/>
        <w:ind w:left="100" w:right="100" w:firstLine="0"/>
        <w:jc w:val="center"/>
        <w:rPr>
          <w:rFonts w:ascii="Times New Roman" w:hAnsi="Times New Roman" w:eastAsia="Times New Roman" w:cs="Times New Roman"/>
          <w:kern w:val="0"/>
          <w:sz w:val="24"/>
        </w:rPr>
      </w:pPr>
    </w:p>
    <w:p>
      <w:pPr>
        <w:sectPr>
          <w:footerReference r:id="rId17"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6" w:name="_Toc256000067"/>
      <w:r>
        <w:rPr>
          <w:rFonts w:ascii="黑体" w:hAnsi="黑体" w:eastAsia="黑体" w:cs="黑体"/>
          <w:b w:val="0"/>
          <w:bCs w:val="0"/>
          <w:spacing w:val="0"/>
        </w:rPr>
        <w:t>一、收入支出决算总体情况说明</w:t>
      </w:r>
      <w:bookmarkEnd w:id="16"/>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（一）收入支出决算总体情况说明</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2025年度本单位收入总计285.12万元，支出总计285.12万元，与上年决算数相比，各增加21.02万元，</w:t>
      </w:r>
      <w:r>
        <w:rPr>
          <w:rFonts w:ascii="FangSong_GB2312" w:hAnsi="FangSong_GB2312" w:eastAsia="FangSong_GB2312" w:cs="FangSong_GB2312"/>
          <w:kern w:val="0"/>
          <w:sz w:val="32"/>
          <w:szCs w:val="32"/>
        </w:rPr>
        <w:t>增长</w:t>
      </w:r>
      <w:r>
        <w:rPr>
          <w:rFonts w:ascii="FangSong_GB2312" w:hAnsi="FangSong_GB2312" w:eastAsia="FangSong_GB2312" w:cs="FangSong_GB2312"/>
          <w:spacing w:val="0"/>
          <w:kern w:val="0"/>
          <w:sz w:val="32"/>
          <w:szCs w:val="32"/>
        </w:rPr>
        <w:t>7.96%。主要是项目经费增加。</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（二）收入决算情况说明</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2025年度收入271.44万元，比上年决算数</w:t>
      </w:r>
      <w:r>
        <w:rPr>
          <w:rFonts w:ascii="FangSong_GB2312" w:hAnsi="FangSong_GB2312" w:eastAsia="FangSong_GB2312" w:cs="FangSong_GB2312"/>
          <w:kern w:val="0"/>
          <w:sz w:val="32"/>
          <w:szCs w:val="32"/>
        </w:rPr>
        <w:t>增加</w:t>
      </w:r>
      <w:r>
        <w:rPr>
          <w:rFonts w:ascii="FangSong_GB2312" w:hAnsi="FangSong_GB2312" w:eastAsia="FangSong_GB2312" w:cs="FangSong_GB2312"/>
          <w:spacing w:val="0"/>
          <w:kern w:val="0"/>
          <w:sz w:val="32"/>
          <w:szCs w:val="32"/>
        </w:rPr>
        <w:t>7.35万元</w:t>
      </w:r>
      <w:r>
        <w:rPr>
          <w:rFonts w:ascii="FangSong_GB2312" w:hAnsi="FangSong_GB2312" w:eastAsia="FangSong_GB2312" w:cs="FangSong_GB2312"/>
          <w:kern w:val="0"/>
          <w:sz w:val="32"/>
          <w:szCs w:val="32"/>
        </w:rPr>
        <w:t>，增长</w:t>
      </w:r>
      <w:r>
        <w:rPr>
          <w:rFonts w:ascii="FangSong_GB2312" w:hAnsi="FangSong_GB2312" w:eastAsia="FangSong_GB2312" w:cs="FangSong_GB2312"/>
          <w:spacing w:val="0"/>
          <w:kern w:val="0"/>
          <w:sz w:val="32"/>
          <w:szCs w:val="32"/>
        </w:rPr>
        <w:t>2.78%，具体情况如下：</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1.一般公共预算财政拨款收入253.10万元。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2.政府性基金预算财政拨款收入0万元。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3.国有资本经营预算财政拨款收入0万元。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4.上级补助收入0万元。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5.事业收入0万元。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6.经营收入0万元。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7.附属单位上缴收入0万元。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8.其他收入18.35万元。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楷体_GB2312" w:hAnsi="楷体_GB2312" w:eastAsia="楷体_GB2312" w:cs="楷体_GB2312"/>
          <w:b/>
          <w:bCs/>
          <w:spacing w:val="0"/>
          <w:kern w:val="0"/>
          <w:sz w:val="32"/>
          <w:szCs w:val="32"/>
        </w:rPr>
        <w:t>（三）支出决算情况说明</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2025年度支出285.12万元，比上年决算数增加26.65万元，增长10.31%，具体情况如下：</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1.基本支出242.77万元。其中，人员支出183.96万元，公用支出58.81万元。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2.项目支出42.35万元。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3.上缴上级支出0万元。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4.经营支出0万元。</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5.对附属单位补助支出0万元。</w:t>
      </w:r>
    </w:p>
    <w:p>
      <w:pPr>
        <w:pStyle w:val="5"/>
        <w:keepNext w:val="0"/>
        <w:keepLines w:val="0"/>
        <w:spacing w:before="100" w:after="100" w:line="240" w:lineRule="auto"/>
        <w:ind w:left="100" w:right="100" w:firstLine="640" w:firstLineChars="0"/>
        <w:rPr>
          <w:rFonts w:ascii="Times New Roman" w:hAnsi="Times New Roman" w:eastAsia="Times New Roman" w:cs="Times New Roman"/>
          <w:b/>
          <w:bCs/>
          <w:kern w:val="0"/>
          <w:sz w:val="28"/>
          <w:szCs w:val="28"/>
        </w:rPr>
      </w:pPr>
      <w:bookmarkStart w:id="17" w:name="_Toc256000068"/>
      <w:r>
        <w:rPr>
          <w:rFonts w:ascii="黑体" w:hAnsi="黑体" w:eastAsia="黑体" w:cs="黑体"/>
          <w:b w:val="0"/>
          <w:bCs w:val="0"/>
          <w:spacing w:val="0"/>
        </w:rPr>
        <w:t>二、财政拨款收入支出决算总体情况说明</w:t>
      </w:r>
      <w:bookmarkEnd w:id="17"/>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2025年度财政拨款收入总计253.10万元，支出总计253.10万元，与上年决算数相比，各增加46.98万元，增长22.79%，主要是：项目经费增加。</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8" w:name="_Toc256000069"/>
      <w:r>
        <w:rPr>
          <w:rFonts w:ascii="黑体" w:hAnsi="黑体" w:eastAsia="黑体" w:cs="黑体"/>
          <w:b w:val="0"/>
          <w:bCs w:val="0"/>
          <w:spacing w:val="0"/>
        </w:rPr>
        <w:t>三、一般公共预算财政拨款支出决算情况说明</w:t>
      </w:r>
      <w:bookmarkEnd w:id="18"/>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2025年度一般公共预算财政拨款支出253.10万元，比上年决算数增加47.05万元，增长22.83%，具体情况如下(按</w:t>
      </w:r>
      <w:r>
        <w:rPr>
          <w:rStyle w:val="30"/>
          <w:rFonts w:ascii="FangSong_GB2312" w:hAnsi="FangSong_GB2312" w:eastAsia="FangSong_GB2312" w:cs="FangSong_GB2312"/>
          <w:spacing w:val="0"/>
          <w:kern w:val="0"/>
          <w:sz w:val="32"/>
          <w:szCs w:val="32"/>
        </w:rPr>
        <w:t>项级科目</w:t>
      </w:r>
      <w:r>
        <w:rPr>
          <w:rFonts w:ascii="FangSong_GB2312" w:hAnsi="FangSong_GB2312" w:eastAsia="FangSong_GB2312" w:cs="FangSong_GB2312"/>
          <w:spacing w:val="0"/>
          <w:kern w:val="0"/>
          <w:sz w:val="32"/>
          <w:szCs w:val="32"/>
        </w:rPr>
        <w:t>分类统计)：</w:t>
      </w:r>
    </w:p>
    <w:p>
      <w:pPr>
        <w:pStyle w:val="28"/>
        <w:widowControl/>
        <w:spacing w:before="100" w:after="100" w:line="560" w:lineRule="atLeast"/>
        <w:ind w:left="100" w:right="100" w:firstLine="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  （一）2070104 图书馆 210.75万元，较上年决算数增加15.70万元，增长8.05%。主要原因是人员经费增加。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  （二）2070109 群众文化 10.00万元，与上年决算数持平。</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  （三）2070199 其他文化和旅游支出 15.00万元，较上年决算数增加15.00万元。主要原因是项目资金增加。</w:t>
      </w:r>
      <w:r>
        <w:rPr>
          <w:rFonts w:ascii="FangSong_GB2312" w:hAnsi="FangSong_GB2312" w:eastAsia="FangSong_GB2312" w:cs="FangSong_GB2312"/>
          <w:spacing w:val="0"/>
          <w:kern w:val="0"/>
          <w:sz w:val="32"/>
          <w:szCs w:val="32"/>
        </w:rPr>
        <w:br w:type="textWrapping"/>
      </w:r>
      <w:r>
        <w:rPr>
          <w:rFonts w:ascii="FangSong_GB2312" w:hAnsi="FangSong_GB2312" w:eastAsia="FangSong_GB2312" w:cs="FangSong_GB2312"/>
          <w:spacing w:val="0"/>
          <w:kern w:val="0"/>
          <w:sz w:val="32"/>
          <w:szCs w:val="32"/>
        </w:rPr>
        <w:t>  （四）2079999 其他文化旅游体育与传媒支出 17.35万元，较上年决算数增加17.35万元。主要原因是项目资金增加。</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19" w:name="_Toc256000070"/>
      <w:r>
        <w:rPr>
          <w:rFonts w:ascii="黑体" w:hAnsi="黑体" w:eastAsia="黑体" w:cs="黑体"/>
          <w:b w:val="0"/>
          <w:bCs w:val="0"/>
          <w:spacing w:val="0"/>
        </w:rPr>
        <w:t>四、政府性基金预算财政拨款支出决算情况说明</w:t>
      </w:r>
      <w:bookmarkEnd w:id="19"/>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本单位2025年度没有使用政府性基金预算财政拨款安排的支出。</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0" w:name="_Toc256000071"/>
      <w:r>
        <w:rPr>
          <w:rFonts w:ascii="黑体" w:hAnsi="黑体" w:eastAsia="黑体" w:cs="黑体"/>
          <w:b w:val="0"/>
          <w:bCs w:val="0"/>
          <w:spacing w:val="0"/>
        </w:rPr>
        <w:t>五、国有资本经营预算财政拨款支出决算情况说明</w:t>
      </w:r>
      <w:bookmarkEnd w:id="20"/>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本单位2025年度没有使用国有资本经营预算财政拨款安排的支出。</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1" w:name="_Toc256000072"/>
      <w:r>
        <w:rPr>
          <w:rFonts w:ascii="黑体" w:hAnsi="黑体" w:eastAsia="黑体" w:cs="黑体"/>
          <w:b w:val="0"/>
          <w:bCs w:val="0"/>
          <w:spacing w:val="0"/>
        </w:rPr>
        <w:t>六、一般公共预算财政拨款基本支出决算情况说明</w:t>
      </w:r>
      <w:bookmarkEnd w:id="21"/>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2025年度一般公共预算财政拨款基本支出210.75万元，其中：</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（一）人员经费152.82万元，主要包括：</w:t>
      </w:r>
      <w:r>
        <w:rPr>
          <w:rFonts w:ascii="FangSong_GB2312" w:hAnsi="FangSong_GB2312" w:eastAsia="FangSong_GB2312" w:cs="FangSong_GB2312"/>
          <w:kern w:val="0"/>
          <w:sz w:val="32"/>
          <w:szCs w:val="32"/>
        </w:rPr>
        <w:t>基本工资、津贴补贴、奖金、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（二）公用经费57.93万元，主要包括：</w:t>
      </w:r>
      <w:r>
        <w:rPr>
          <w:rFonts w:ascii="FangSong_GB2312" w:hAnsi="FangSong_GB2312" w:eastAsia="FangSong_GB2312" w:cs="FangSong_GB2312"/>
          <w:kern w:val="0"/>
          <w:sz w:val="32"/>
          <w:szCs w:val="32"/>
        </w:rPr>
        <w:t>办公费、印刷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2" w:name="_Toc256000073"/>
      <w:r>
        <w:rPr>
          <w:rFonts w:ascii="黑体" w:hAnsi="黑体" w:eastAsia="黑体" w:cs="黑体"/>
          <w:b w:val="0"/>
          <w:bCs w:val="0"/>
          <w:spacing w:val="0"/>
        </w:rPr>
        <w:t>七、一般公共预算财政拨款“三公”经费支出决算情况说明</w:t>
      </w:r>
      <w:bookmarkEnd w:id="22"/>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2025年度一般公共预算财政拨款“三公”经费支出0.30万元，完成全年预算的100.00%；较上年增加0.30万元，主要原因是因业务需求公务接待增加</w:t>
      </w:r>
      <w:r>
        <w:rPr>
          <w:rFonts w:ascii="FangSong_GB2312" w:hAnsi="FangSong_GB2312" w:eastAsia="FangSong_GB2312" w:cs="FangSong_GB2312"/>
          <w:kern w:val="0"/>
          <w:sz w:val="32"/>
          <w:szCs w:val="32"/>
        </w:rPr>
        <w:t>。</w:t>
      </w:r>
      <w:r>
        <w:rPr>
          <w:rFonts w:ascii="FangSong_GB2312" w:hAnsi="FangSong_GB2312" w:eastAsia="FangSong_GB2312" w:cs="FangSong_GB2312"/>
          <w:spacing w:val="0"/>
          <w:kern w:val="0"/>
          <w:sz w:val="32"/>
          <w:szCs w:val="32"/>
        </w:rPr>
        <w:t>具体情况如下：</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（一）因公出国（境）费用支出 0万元，与全年预算数持平，与上年决算数持平。全年安排本单位组织的出国团组0个，参加其他单位出国团组0个；全年因公出国（境）累计0 人次。</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（二）公务用车购置及运行费支出0万元，与全年预算数持平，与上年决算数持平。</w:t>
      </w:r>
      <w:r>
        <w:rPr>
          <w:rFonts w:ascii="FangSong_GB2312" w:hAnsi="FangSong_GB2312" w:eastAsia="FangSong_GB2312" w:cs="FangSong_GB2312"/>
          <w:kern w:val="0"/>
          <w:sz w:val="32"/>
          <w:szCs w:val="32"/>
        </w:rPr>
        <w:t>其中：</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公务用车购置费支出0万元，与全年预算数持平，</w:t>
      </w:r>
      <w:r>
        <w:rPr>
          <w:rFonts w:ascii="FangSong_GB2312" w:hAnsi="FangSong_GB2312" w:eastAsia="FangSong_GB2312" w:cs="FangSong_GB2312"/>
          <w:kern w:val="0"/>
          <w:sz w:val="32"/>
          <w:szCs w:val="32"/>
        </w:rPr>
        <w:t>与上年决算数持平。2025年公务用车购置0辆。</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公务用车运行费支出0万元，与全年预算数持平，与上年决算数持平。截至2025年12月31日，本单位公务用车保有量为0辆。</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（三）公务接待费支出0.30万元，完成全年预算的 100.00%；较上年增加0.30万元，主要是因业务需求公务接待增加。累计接待4.00批次、30.00人次。</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3" w:name="_Toc256000074"/>
      <w:r>
        <w:rPr>
          <w:rFonts w:ascii="黑体" w:hAnsi="黑体" w:eastAsia="黑体" w:cs="黑体"/>
          <w:b w:val="0"/>
          <w:bCs w:val="0"/>
          <w:spacing w:val="0"/>
        </w:rPr>
        <w:t>八、预算绩效情况说明</w:t>
      </w:r>
      <w:bookmarkEnd w:id="23"/>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根据全面实施预算绩效管理要求，本单位组织对2025年度5个项目实施单位自评。</w:t>
      </w:r>
    </w:p>
    <w:p>
      <w:pPr>
        <w:pStyle w:val="5"/>
        <w:keepNext w:val="0"/>
        <w:keepLines w:val="0"/>
        <w:spacing w:before="100" w:after="100" w:line="560" w:lineRule="atLeast"/>
        <w:ind w:left="100" w:right="100" w:firstLine="640" w:firstLineChars="0"/>
        <w:rPr>
          <w:rFonts w:ascii="Times New Roman" w:hAnsi="Times New Roman" w:eastAsia="Times New Roman" w:cs="Times New Roman"/>
          <w:b/>
          <w:bCs/>
          <w:kern w:val="0"/>
          <w:sz w:val="28"/>
          <w:szCs w:val="28"/>
        </w:rPr>
      </w:pPr>
      <w:bookmarkStart w:id="24" w:name="_Toc256000075"/>
      <w:r>
        <w:rPr>
          <w:rFonts w:ascii="黑体" w:hAnsi="黑体" w:eastAsia="黑体" w:cs="黑体"/>
          <w:b w:val="0"/>
          <w:bCs w:val="0"/>
          <w:spacing w:val="0"/>
        </w:rPr>
        <w:t>九、其他重要事项说明</w:t>
      </w:r>
      <w:bookmarkEnd w:id="24"/>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（一）机关运行经费</w:t>
      </w:r>
      <w:r>
        <w:rPr>
          <w:rFonts w:ascii="楷体_GB2312" w:hAnsi="楷体_GB2312" w:eastAsia="楷体_GB2312" w:cs="楷体_GB2312"/>
          <w:spacing w:val="0"/>
          <w:kern w:val="0"/>
          <w:sz w:val="32"/>
          <w:szCs w:val="32"/>
        </w:rPr>
        <w:t> </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本单位为事业单位没有机关运行经费。</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（二）政府采购情况</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本单位2025年度没有政府采购支出。</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（三）国有资产占用使用情况</w:t>
      </w:r>
      <w:r>
        <w:rPr>
          <w:rFonts w:ascii="楷体_GB2312" w:hAnsi="楷体_GB2312" w:eastAsia="楷体_GB2312" w:cs="楷体_GB2312"/>
          <w:spacing w:val="0"/>
          <w:kern w:val="0"/>
          <w:sz w:val="32"/>
          <w:szCs w:val="32"/>
        </w:rPr>
        <w:t> </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Fonts w:ascii="FangSong_GB2312" w:hAnsi="FangSong_GB2312" w:eastAsia="FangSong_GB2312" w:cs="FangSong_GB2312"/>
          <w:spacing w:val="0"/>
          <w:kern w:val="0"/>
          <w:sz w:val="32"/>
          <w:szCs w:val="32"/>
        </w:rPr>
        <w:t>截至2025年12月31日，本单位共有车辆0 辆，其中：副部（省）级以上领导用车0 辆、主要负责人用车0 辆、机要通信用车0辆、应急保障用车0辆、执法执勤用车0辆、特种专业技术用车0辆、离退休干部服务用车0辆、其他用车0辆；单价100万元（含）以上设备（不含车辆）0台（套）。  </w:t>
      </w:r>
      <w:r>
        <w:rPr>
          <w:rFonts w:ascii="宋体" w:hAnsi="宋体" w:eastAsia="宋体" w:cs="宋体"/>
          <w:spacing w:val="0"/>
          <w:kern w:val="0"/>
          <w:sz w:val="56"/>
          <w:szCs w:val="56"/>
        </w:rPr>
        <w:t xml:space="preserve"> </w:t>
      </w:r>
    </w:p>
    <w:p>
      <w:pPr>
        <w:sectPr>
          <w:footerReference r:id="rId18"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28"/>
        <w:widowControl/>
        <w:spacing w:before="100" w:after="100"/>
        <w:ind w:left="100" w:right="100" w:firstLine="640"/>
        <w:jc w:val="left"/>
        <w:rPr>
          <w:rFonts w:ascii="Times New Roman" w:hAnsi="Times New Roman" w:eastAsia="Times New Roman" w:cs="Times New Roman"/>
          <w:kern w:val="0"/>
          <w:sz w:val="24"/>
        </w:rPr>
      </w:pPr>
    </w:p>
    <w:p>
      <w:pPr>
        <w:pStyle w:val="3"/>
        <w:keepNext w:val="0"/>
        <w:keepLines w:val="0"/>
        <w:spacing w:before="100" w:after="100" w:line="240" w:lineRule="auto"/>
        <w:ind w:left="100" w:right="100" w:firstLine="0" w:firstLineChars="0"/>
        <w:jc w:val="center"/>
        <w:rPr>
          <w:rFonts w:ascii="Times New Roman" w:hAnsi="Times New Roman" w:eastAsia="Times New Roman" w:cs="Times New Roman"/>
          <w:b/>
          <w:bCs/>
          <w:kern w:val="0"/>
          <w:sz w:val="36"/>
          <w:szCs w:val="36"/>
        </w:rPr>
      </w:pPr>
      <w:bookmarkStart w:id="25" w:name="_Toc256000076"/>
      <w:r>
        <w:rPr>
          <w:rFonts w:ascii="黑体" w:hAnsi="黑体" w:eastAsia="黑体" w:cs="黑体"/>
          <w:b w:val="0"/>
          <w:bCs w:val="0"/>
          <w:spacing w:val="0"/>
          <w:sz w:val="56"/>
          <w:szCs w:val="56"/>
        </w:rPr>
        <w:t>第四部分</w:t>
      </w:r>
      <w:r>
        <w:rPr>
          <w:rFonts w:ascii="黑体" w:hAnsi="黑体" w:eastAsia="黑体" w:cs="黑体"/>
          <w:b w:val="0"/>
          <w:bCs w:val="0"/>
          <w:spacing w:val="0"/>
          <w:sz w:val="56"/>
          <w:szCs w:val="56"/>
        </w:rPr>
        <w:br w:type="textWrapping"/>
      </w:r>
      <w:r>
        <w:rPr>
          <w:rFonts w:ascii="黑体" w:hAnsi="黑体" w:eastAsia="黑体" w:cs="黑体"/>
          <w:b w:val="0"/>
          <w:bCs w:val="0"/>
          <w:spacing w:val="0"/>
          <w:sz w:val="56"/>
          <w:szCs w:val="56"/>
        </w:rPr>
        <w:t>名词解释</w:t>
      </w:r>
      <w:bookmarkEnd w:id="25"/>
    </w:p>
    <w:p>
      <w:pPr>
        <w:pStyle w:val="28"/>
        <w:widowControl/>
        <w:spacing w:before="100" w:after="100"/>
        <w:ind w:left="100" w:right="100" w:firstLine="0"/>
        <w:jc w:val="center"/>
        <w:rPr>
          <w:rFonts w:ascii="Times New Roman" w:hAnsi="Times New Roman" w:eastAsia="Times New Roman" w:cs="Times New Roman"/>
          <w:kern w:val="0"/>
          <w:sz w:val="24"/>
        </w:rPr>
      </w:pPr>
    </w:p>
    <w:p>
      <w:pPr>
        <w:sectPr>
          <w:footerReference r:id="rId19"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一、财政拨款收入：</w:t>
      </w:r>
      <w:r>
        <w:rPr>
          <w:rFonts w:ascii="FangSong_GB2312" w:hAnsi="FangSong_GB2312" w:eastAsia="FangSong_GB2312" w:cs="FangSong_GB2312"/>
          <w:spacing w:val="0"/>
          <w:kern w:val="0"/>
          <w:sz w:val="32"/>
          <w:szCs w:val="32"/>
        </w:rPr>
        <w:t>指单位从本级财政单位取得的财政预算资金，包括一般公共预算财政拨款、政府性基金预算财政拨款和国有资本经营预算财政拨款。</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二、事业收入：</w:t>
      </w:r>
      <w:r>
        <w:rPr>
          <w:rFonts w:ascii="FangSong_GB2312" w:hAnsi="FangSong_GB2312" w:eastAsia="FangSong_GB2312" w:cs="FangSong_GB2312"/>
          <w:spacing w:val="0"/>
          <w:kern w:val="0"/>
          <w:sz w:val="32"/>
          <w:szCs w:val="32"/>
        </w:rPr>
        <w:t>指事业单位开展专业业务活动及辅助活动所取得的收入。</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三、经营收入：</w:t>
      </w:r>
      <w:r>
        <w:rPr>
          <w:rFonts w:ascii="FangSong_GB2312" w:hAnsi="FangSong_GB2312" w:eastAsia="FangSong_GB2312" w:cs="FangSong_GB2312"/>
          <w:spacing w:val="0"/>
          <w:kern w:val="0"/>
          <w:sz w:val="32"/>
          <w:szCs w:val="32"/>
        </w:rPr>
        <w:t>指事业单位在专业业务活动及其辅助活动之外开展非独立核算经营活动取得的收入。</w:t>
      </w:r>
    </w:p>
    <w:p>
      <w:pPr>
        <w:pStyle w:val="28"/>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四、其他收入：</w:t>
      </w:r>
      <w:r>
        <w:rPr>
          <w:rFonts w:ascii="FangSong_GB2312" w:hAnsi="FangSong_GB2312" w:eastAsia="FangSong_GB2312" w:cs="FangSong_GB2312"/>
          <w:kern w:val="0"/>
          <w:sz w:val="32"/>
          <w:szCs w:val="32"/>
        </w:rPr>
        <w:t>指除上述“财政拨款收入”“事业收入”</w:t>
      </w:r>
      <w:r>
        <w:rPr>
          <w:rFonts w:ascii="FangSong_GB2312" w:hAnsi="FangSong_GB2312" w:eastAsia="FangSong_GB2312" w:cs="FangSong_GB2312"/>
          <w:kern w:val="0"/>
          <w:szCs w:val="21"/>
        </w:rPr>
        <w:t> </w:t>
      </w:r>
      <w:r>
        <w:rPr>
          <w:rFonts w:ascii="FangSong_GB2312" w:hAnsi="FangSong_GB2312" w:eastAsia="FangSong_GB2312" w:cs="FangSong_GB2312"/>
          <w:kern w:val="0"/>
          <w:sz w:val="32"/>
          <w:szCs w:val="32"/>
        </w:rPr>
        <w:t>“上级补助收入”“附属单位上缴收入”“经营收入”等以外取得的各项收入。主要是事业单位固定资产出租收入等。</w:t>
      </w:r>
    </w:p>
    <w:p>
      <w:pPr>
        <w:pStyle w:val="28"/>
        <w:widowControl/>
        <w:spacing w:before="24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五、使用非财政拨款结余（含专用结余）：</w:t>
      </w:r>
      <w:r>
        <w:rPr>
          <w:rFonts w:ascii="FangSong_GB2312" w:hAnsi="FangSong_GB2312" w:eastAsia="FangSong_GB2312" w:cs="FangSong_GB2312"/>
          <w:kern w:val="0"/>
          <w:sz w:val="32"/>
          <w:szCs w:val="32"/>
        </w:rPr>
        <w:t>指事业单位按照预算管理要求使用非财政拨款结余弥补当年收支差额的金额，以及使用专用结余安排支出的金额。</w:t>
      </w:r>
    </w:p>
    <w:p>
      <w:pPr>
        <w:pStyle w:val="28"/>
        <w:widowControl/>
        <w:spacing w:before="24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六、年初结转和结余：</w:t>
      </w:r>
      <w:r>
        <w:rPr>
          <w:rFonts w:ascii="FangSong_GB2312" w:hAnsi="FangSong_GB2312" w:eastAsia="FangSong_GB2312" w:cs="FangSong_GB2312"/>
          <w:spacing w:val="0"/>
          <w:kern w:val="0"/>
          <w:sz w:val="32"/>
          <w:szCs w:val="32"/>
        </w:rPr>
        <w:t>指单位以前年度尚未完成、结转到本年仍按原规定用途继续使用的资金，或项目已完成等产生的结余资金。</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七、结余分配：</w:t>
      </w:r>
      <w:r>
        <w:rPr>
          <w:rFonts w:ascii="FangSong_GB2312" w:hAnsi="FangSong_GB2312" w:eastAsia="FangSong_GB2312" w:cs="FangSong_GB2312"/>
          <w:spacing w:val="0"/>
          <w:kern w:val="0"/>
          <w:sz w:val="32"/>
          <w:szCs w:val="32"/>
        </w:rPr>
        <w:t>指事业单位按照会计制度规定缴纳的所得税、提取的专用结余以及转入非财政拨款结余的金额等。</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八、年末结转和结余：</w:t>
      </w:r>
      <w:r>
        <w:rPr>
          <w:rFonts w:ascii="FangSong_GB2312" w:hAnsi="FangSong_GB2312" w:eastAsia="FangSong_GB2312" w:cs="FangSong_GB2312"/>
          <w:spacing w:val="0"/>
          <w:kern w:val="0"/>
          <w:sz w:val="32"/>
          <w:szCs w:val="32"/>
        </w:rPr>
        <w:t>指单位按有关规定结转到下年或以后年度继续使用的资金，或项目已完成等产生的结余资金。</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九、基本支出：</w:t>
      </w:r>
      <w:r>
        <w:rPr>
          <w:rFonts w:ascii="FangSong_GB2312" w:hAnsi="FangSong_GB2312" w:eastAsia="FangSong_GB2312" w:cs="FangSong_GB2312"/>
          <w:spacing w:val="0"/>
          <w:kern w:val="0"/>
          <w:sz w:val="32"/>
          <w:szCs w:val="32"/>
        </w:rPr>
        <w:t>指为保障机构正常运转、完成日常工作任务而发生的人员支出和公用支出。</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十、项目支出：</w:t>
      </w:r>
      <w:r>
        <w:rPr>
          <w:rFonts w:ascii="FangSong_GB2312" w:hAnsi="FangSong_GB2312" w:eastAsia="FangSong_GB2312" w:cs="FangSong_GB2312"/>
          <w:spacing w:val="0"/>
          <w:kern w:val="0"/>
          <w:sz w:val="32"/>
          <w:szCs w:val="32"/>
        </w:rPr>
        <w:t>指在基本支出之外为完成特定行政任务和事业发展目标所发生的支出。</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十一、经营支出：</w:t>
      </w:r>
      <w:r>
        <w:rPr>
          <w:rFonts w:ascii="FangSong_GB2312" w:hAnsi="FangSong_GB2312" w:eastAsia="FangSong_GB2312" w:cs="FangSong_GB2312"/>
          <w:spacing w:val="0"/>
          <w:kern w:val="0"/>
          <w:sz w:val="32"/>
          <w:szCs w:val="32"/>
        </w:rPr>
        <w:t>指事业单位在专业业务活动及其辅助活动之外开展非独立核算经营活动发生的支出。</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十二、“三公”经费：</w:t>
      </w:r>
      <w:r>
        <w:rPr>
          <w:rFonts w:ascii="FangSong_GB2312" w:hAnsi="FangSong_GB2312" w:eastAsia="FangSong_GB2312" w:cs="FangSong_GB2312"/>
          <w:kern w:val="0"/>
          <w:sz w:val="32"/>
          <w:szCs w:val="32"/>
        </w:rPr>
        <w:t>纳入本级财政预决算管理的“三公”经费，是指本级部门用一般公共预算财政拨款安排的因公出国（境）费用、公务用车购置及运行费和公务接待费。其中，因公出国（境）费用反映单位公务出国（境）的国际旅费、国外城市间交通费、住宿费、伙食费、培训费、公杂费等支出；公务用车购置及运行费反映单位公务用车车辆购置支出（含车辆购置税、牌照费）及按规定保留的公务用车燃料费、新能源汽车充电费、维修费、过桥过路费、保险费、安全奖励费用等支出；公务接待费反映单位按规定开支的各类公务接待（含外宾接待）支出。</w:t>
      </w:r>
      <w:r>
        <w:rPr>
          <w:rFonts w:ascii="仿宋" w:hAnsi="仿宋" w:eastAsia="仿宋" w:cs="仿宋"/>
          <w:kern w:val="0"/>
          <w:sz w:val="32"/>
          <w:szCs w:val="32"/>
        </w:rPr>
        <w:t> </w:t>
      </w:r>
    </w:p>
    <w:p>
      <w:pPr>
        <w:pStyle w:val="29"/>
        <w:widowControl/>
        <w:spacing w:before="100" w:after="100" w:line="560" w:lineRule="atLeast"/>
        <w:ind w:left="100" w:right="100" w:firstLine="640"/>
        <w:jc w:val="left"/>
        <w:rPr>
          <w:rFonts w:ascii="Times New Roman" w:hAnsi="Times New Roman" w:eastAsia="Times New Roman" w:cs="Times New Roman"/>
          <w:kern w:val="0"/>
          <w:sz w:val="24"/>
        </w:rPr>
      </w:pPr>
      <w:r>
        <w:rPr>
          <w:rStyle w:val="30"/>
          <w:rFonts w:ascii="楷体_GB2312" w:hAnsi="楷体_GB2312" w:eastAsia="楷体_GB2312" w:cs="楷体_GB2312"/>
          <w:b/>
          <w:bCs/>
          <w:spacing w:val="0"/>
          <w:kern w:val="0"/>
          <w:sz w:val="32"/>
          <w:szCs w:val="32"/>
        </w:rPr>
        <w:t>十三、机关运行经费：</w:t>
      </w:r>
      <w:r>
        <w:rPr>
          <w:rFonts w:ascii="FangSong_GB2312" w:hAnsi="FangSong_GB2312" w:eastAsia="FangSong_GB2312" w:cs="FangSong_GB2312"/>
          <w:kern w:val="0"/>
          <w:sz w:val="32"/>
          <w:szCs w:val="32"/>
        </w:rPr>
        <w:t>反映行政单位（含参照公务员法管理的事业单位）财政拨款基本支出中的公用经费支出，包括办公及印刷费、邮电费、差旅费、会议费、福利费、日常维修费、专用材料及一般设备购置费、办公用房水电费、办公用房取暖费、办公用房物业管理费、公务用车运行维护费以及其他费用。</w:t>
      </w:r>
    </w:p>
    <w:p>
      <w:pPr>
        <w:pStyle w:val="28"/>
        <w:widowControl/>
        <w:spacing w:before="240" w:after="240"/>
        <w:ind w:firstLine="643"/>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sectPr>
          <w:footerReference r:id="rId20"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28"/>
        <w:widowControl/>
        <w:spacing w:before="240" w:after="240"/>
        <w:jc w:val="left"/>
        <w:rPr>
          <w:rFonts w:ascii="Times New Roman" w:hAnsi="Times New Roman" w:eastAsia="Times New Roman" w:cs="Times New Roman"/>
          <w:kern w:val="0"/>
          <w:sz w:val="24"/>
        </w:rPr>
      </w:pPr>
    </w:p>
    <w:p>
      <w:pPr>
        <w:pStyle w:val="3"/>
        <w:keepNext w:val="0"/>
        <w:keepLines w:val="0"/>
        <w:spacing w:before="299" w:after="299" w:line="240" w:lineRule="auto"/>
        <w:ind w:firstLine="0" w:firstLineChars="0"/>
        <w:jc w:val="center"/>
        <w:rPr>
          <w:rFonts w:ascii="Times New Roman" w:hAnsi="Times New Roman" w:eastAsia="Times New Roman" w:cs="Times New Roman"/>
          <w:b/>
          <w:bCs/>
          <w:kern w:val="0"/>
          <w:sz w:val="36"/>
          <w:szCs w:val="36"/>
        </w:rPr>
      </w:pPr>
      <w:bookmarkStart w:id="26" w:name="_Toc256000077"/>
      <w:r>
        <w:rPr>
          <w:rFonts w:ascii="黑体" w:hAnsi="黑体" w:eastAsia="黑体" w:cs="黑体"/>
          <w:b w:val="0"/>
          <w:bCs w:val="0"/>
          <w:sz w:val="56"/>
          <w:szCs w:val="56"/>
        </w:rPr>
        <w:t>第五部分</w:t>
      </w:r>
      <w:r>
        <w:rPr>
          <w:rFonts w:ascii="黑体" w:hAnsi="黑体" w:eastAsia="黑体" w:cs="黑体"/>
          <w:b w:val="0"/>
          <w:bCs w:val="0"/>
          <w:sz w:val="56"/>
          <w:szCs w:val="56"/>
        </w:rPr>
        <w:br w:type="textWrapping"/>
      </w:r>
      <w:r>
        <w:rPr>
          <w:rFonts w:ascii="黑体" w:hAnsi="黑体" w:eastAsia="黑体" w:cs="黑体"/>
          <w:b w:val="0"/>
          <w:bCs w:val="0"/>
          <w:sz w:val="56"/>
          <w:szCs w:val="56"/>
        </w:rPr>
        <w:t>附件</w:t>
      </w:r>
      <w:bookmarkEnd w:id="26"/>
    </w:p>
    <w:p>
      <w:pPr>
        <w:pStyle w:val="28"/>
        <w:widowControl/>
        <w:spacing w:before="240" w:after="240"/>
        <w:jc w:val="center"/>
        <w:rPr>
          <w:rFonts w:ascii="Times New Roman" w:hAnsi="Times New Roman" w:eastAsia="Times New Roman" w:cs="Times New Roman"/>
          <w:kern w:val="0"/>
          <w:sz w:val="24"/>
        </w:rPr>
      </w:pPr>
    </w:p>
    <w:p>
      <w:pPr>
        <w:sectPr>
          <w:footerReference r:id="rId21" w:type="default"/>
          <w:pgSz w:w="11906" w:h="16838"/>
          <w:pgMar w:top="1440" w:right="720" w:bottom="1440" w:left="720" w:header="720" w:footer="720" w:gutter="0"/>
          <w:cols w:space="720" w:num="1"/>
        </w:sectPr>
      </w:pPr>
    </w:p>
    <w:p>
      <w:pPr>
        <w:widowControl/>
        <w:spacing w:before="240" w:after="240"/>
        <w:jc w:val="left"/>
        <w:rPr>
          <w:rFonts w:ascii="Times New Roman" w:hAnsi="Times New Roman" w:eastAsia="Times New Roman" w:cs="Times New Roman"/>
          <w:vanish/>
          <w:kern w:val="0"/>
          <w:sz w:val="24"/>
        </w:rPr>
      </w:pPr>
      <w:r>
        <w:rPr>
          <w:rFonts w:ascii="Times New Roman" w:hAnsi="Times New Roman" w:eastAsia="Times New Roman" w:cs="Times New Roman"/>
          <w:vanish/>
          <w:kern w:val="0"/>
          <w:sz w:val="24"/>
        </w:rPr>
        <w:t>word page break</w:t>
      </w:r>
    </w:p>
    <w:p>
      <w:pPr>
        <w:widowControl/>
        <w:spacing w:before="240" w:after="240"/>
        <w:jc w:val="left"/>
        <w:rPr>
          <w:rFonts w:ascii="Times New Roman" w:hAnsi="Times New Roman" w:eastAsia="Times New Roman" w:cs="Times New Roman"/>
          <w:kern w:val="0"/>
          <w:sz w:val="24"/>
        </w:rPr>
      </w:pPr>
    </w:p>
    <w:p>
      <w:pPr>
        <w:pStyle w:val="28"/>
        <w:widowControl/>
        <w:spacing w:before="240" w:after="240" w:line="560" w:lineRule="atLeast"/>
        <w:ind w:firstLine="640"/>
        <w:jc w:val="left"/>
        <w:rPr>
          <w:rFonts w:ascii="Times New Roman" w:hAnsi="Times New Roman" w:eastAsia="Times New Roman" w:cs="Times New Roman"/>
          <w:kern w:val="0"/>
          <w:sz w:val="24"/>
        </w:rPr>
      </w:pPr>
      <w:r>
        <w:rPr>
          <w:rFonts w:ascii="黑体" w:hAnsi="黑体" w:eastAsia="黑体" w:cs="黑体"/>
          <w:kern w:val="0"/>
          <w:sz w:val="32"/>
          <w:szCs w:val="32"/>
        </w:rPr>
        <w:t>《项目支出绩效自评表》</w:t>
      </w:r>
    </w:p>
    <w:p>
      <w:pPr>
        <w:pStyle w:val="28"/>
        <w:widowControl/>
        <w:spacing w:before="240" w:after="240"/>
        <w:jc w:val="center"/>
        <w:rPr>
          <w:rFonts w:ascii="Times New Roman" w:hAnsi="Times New Roman" w:eastAsia="Times New Roman" w:cs="Times New Roman"/>
          <w:kern w:val="0"/>
          <w:sz w:val="24"/>
        </w:rPr>
      </w:pPr>
      <w:r>
        <w:rPr>
          <w:rFonts w:ascii="宋体" w:hAnsi="宋体" w:eastAsia="宋体" w:cs="宋体"/>
          <w:b/>
          <w:bCs/>
          <w:kern w:val="0"/>
          <w:sz w:val="32"/>
          <w:szCs w:val="32"/>
        </w:rPr>
        <w:t>项目支出绩效自评表</w:t>
      </w:r>
    </w:p>
    <w:p>
      <w:pPr>
        <w:pStyle w:val="28"/>
        <w:widowControl/>
        <w:spacing w:before="240" w:after="240"/>
        <w:jc w:val="center"/>
        <w:rPr>
          <w:rFonts w:ascii="Times New Roman" w:hAnsi="Times New Roman" w:eastAsia="Times New Roman" w:cs="Times New Roman"/>
          <w:kern w:val="0"/>
          <w:sz w:val="24"/>
        </w:rPr>
      </w:pPr>
      <w:r>
        <w:rPr>
          <w:rFonts w:ascii="宋体" w:hAnsi="宋体" w:eastAsia="宋体" w:cs="宋体"/>
          <w:kern w:val="0"/>
          <w:sz w:val="22"/>
          <w:szCs w:val="22"/>
        </w:rPr>
        <w:t>（2025年度）</w:t>
      </w:r>
    </w:p>
    <w:p>
      <w:pPr>
        <w:pageBreakBefore/>
      </w:pPr>
    </w:p>
    <w:tbl>
      <w:tblPr>
        <w:tblStyle w:val="19"/>
        <w:tblW w:w="1000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4"/>
        <w:gridCol w:w="834"/>
        <w:gridCol w:w="834"/>
        <w:gridCol w:w="834"/>
        <w:gridCol w:w="833"/>
        <w:gridCol w:w="833"/>
        <w:gridCol w:w="833"/>
        <w:gridCol w:w="833"/>
        <w:gridCol w:w="833"/>
        <w:gridCol w:w="833"/>
        <w:gridCol w:w="833"/>
        <w:gridCol w:w="833"/>
      </w:tblGrid>
      <w:tr>
        <w:trPr>
          <w:cantSplit/>
          <w:tblHeader/>
        </w:trPr>
        <w:tc>
          <w:tcPr>
            <w:tcW w:w="10000" w:type="dxa"/>
            <w:gridSpan w:val="12"/>
            <w:tcMar>
              <w:left w:w="108" w:type="dxa"/>
              <w:right w:w="108" w:type="dxa"/>
            </w:tcMar>
            <w:vAlign w:val="center"/>
          </w:tcPr>
          <w:p>
            <w:pPr>
              <w:spacing w:before="0" w:after="0" w:line="240" w:lineRule="auto"/>
              <w:jc w:val="center"/>
              <w:textAlignment w:val="center"/>
            </w:pPr>
            <w:r>
              <w:rPr>
                <w:rFonts w:ascii="黑体" w:hAnsi="黑体" w:eastAsia="黑体" w:cs="黑体"/>
                <w:b w:val="0"/>
                <w:sz w:val="32"/>
              </w:rPr>
              <w:t>专项资金绩效自评表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10000" w:type="dxa"/>
            <w:gridSpan w:val="12"/>
            <w:tcMar>
              <w:left w:w="108" w:type="dxa"/>
              <w:right w:w="108" w:type="dxa"/>
            </w:tcMar>
            <w:vAlign w:val="center"/>
          </w:tcPr>
          <w:p>
            <w:pPr>
              <w:spacing w:before="0" w:after="0" w:line="240" w:lineRule="auto"/>
              <w:jc w:val="center"/>
              <w:textAlignment w:val="center"/>
            </w:pPr>
            <w:r>
              <w:rPr>
                <w:rFonts w:ascii="宋体" w:hAnsi="宋体" w:eastAsia="宋体" w:cs="宋体"/>
                <w:sz w:val="24"/>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sz w:val="24"/>
              </w:rPr>
              <w:t>专项名称</w:t>
            </w:r>
          </w:p>
        </w:tc>
        <w:tc>
          <w:tcPr>
            <w:tcW w:w="7498" w:type="dxa"/>
            <w:gridSpan w:val="9"/>
            <w:tcMar>
              <w:left w:w="108" w:type="dxa"/>
              <w:right w:w="108" w:type="dxa"/>
            </w:tcMar>
            <w:vAlign w:val="center"/>
          </w:tcPr>
          <w:p>
            <w:pPr>
              <w:spacing w:before="0" w:after="0" w:line="240" w:lineRule="auto"/>
              <w:jc w:val="center"/>
              <w:textAlignment w:val="center"/>
            </w:pPr>
            <w:r>
              <w:rPr>
                <w:rFonts w:ascii="宋体" w:hAnsi="宋体" w:eastAsia="宋体" w:cs="宋体"/>
                <w:sz w:val="24"/>
              </w:rPr>
              <w:t>2024年福建省文旅融合发展专项资金（补县）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主管部门</w:t>
            </w:r>
          </w:p>
        </w:tc>
        <w:tc>
          <w:tcPr>
            <w:tcW w:w="2500"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上杭县文化体育和旅游局</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实施单位</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上杭县图书馆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项目概况</w:t>
            </w:r>
          </w:p>
        </w:tc>
        <w:tc>
          <w:tcPr>
            <w:tcW w:w="7498" w:type="dxa"/>
            <w:gridSpan w:val="9"/>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2024年福建省文旅融合发展专项资金（补县）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主要成效</w:t>
            </w:r>
          </w:p>
        </w:tc>
        <w:tc>
          <w:tcPr>
            <w:tcW w:w="7498" w:type="dxa"/>
            <w:gridSpan w:val="9"/>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项目资金(万元)</w:t>
            </w:r>
          </w:p>
        </w:tc>
        <w:tc>
          <w:tcPr>
            <w:tcW w:w="1668" w:type="dxa"/>
            <w:gridSpan w:val="2"/>
            <w:tcMar>
              <w:left w:w="108" w:type="dxa"/>
              <w:right w:w="108" w:type="dxa"/>
            </w:tcMar>
            <w:vAlign w:val="center"/>
          </w:tcPr>
          <w:p>
            <w:pPr>
              <w:spacing w:before="0" w:after="0" w:line="240" w:lineRule="auto"/>
              <w:jc w:val="center"/>
              <w:textAlignment w:val="center"/>
            </w:pP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年初预算数</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全年预算数</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全年执行数</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分值</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执行率（%）</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年度资金总额</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15.00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15.00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其中：当年财政拨款</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15.00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15.00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100.00</w:t>
            </w:r>
          </w:p>
        </w:tc>
        <w:tc>
          <w:tcPr>
            <w:tcW w:w="1666" w:type="dxa"/>
            <w:gridSpan w:val="2"/>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其他资金</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上年结转资金</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年度总体目标</w:t>
            </w:r>
          </w:p>
        </w:tc>
        <w:tc>
          <w:tcPr>
            <w:tcW w:w="4168" w:type="dxa"/>
            <w:gridSpan w:val="5"/>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预期目标</w:t>
            </w:r>
          </w:p>
        </w:tc>
        <w:tc>
          <w:tcPr>
            <w:tcW w:w="4998" w:type="dxa"/>
            <w:gridSpan w:val="6"/>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实际完成情况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4168" w:type="dxa"/>
            <w:gridSpan w:val="5"/>
            <w:tcMar>
              <w:left w:w="108" w:type="dxa"/>
              <w:right w:w="108" w:type="dxa"/>
            </w:tcMar>
            <w:vAlign w:val="bottom"/>
          </w:tcPr>
          <w:p>
            <w:pPr>
              <w:spacing w:before="0" w:after="0" w:line="240" w:lineRule="auto"/>
              <w:jc w:val="left"/>
              <w:textAlignment w:val="center"/>
            </w:pPr>
            <w:r>
              <w:rPr>
                <w:rFonts w:ascii="宋体" w:hAnsi="宋体" w:eastAsia="宋体" w:cs="宋体"/>
                <w:b w:val="0"/>
                <w:sz w:val="21"/>
              </w:rPr>
              <w:t>加快建设我市文化优势产业和旅游主导产业，推动我市文化和旅游业高质量跨越发展，</w:t>
            </w:r>
            <w:r>
              <w:rPr>
                <w:rFonts w:hint="eastAsia" w:ascii="宋体" w:hAnsi="宋体" w:cs="宋体"/>
                <w:b w:val="0"/>
                <w:sz w:val="21"/>
                <w:lang w:eastAsia="zh-CN"/>
              </w:rPr>
              <w:t>做强做优</w:t>
            </w:r>
            <w:r>
              <w:rPr>
                <w:rFonts w:ascii="宋体" w:hAnsi="宋体" w:eastAsia="宋体" w:cs="宋体"/>
                <w:b w:val="0"/>
                <w:sz w:val="21"/>
              </w:rPr>
              <w:t>做优文旅经济。</w:t>
            </w:r>
          </w:p>
        </w:tc>
        <w:tc>
          <w:tcPr>
            <w:tcW w:w="4998" w:type="dxa"/>
            <w:gridSpan w:val="6"/>
            <w:tcMar>
              <w:left w:w="108" w:type="dxa"/>
              <w:right w:w="108" w:type="dxa"/>
            </w:tcMar>
            <w:vAlign w:val="bottom"/>
          </w:tcPr>
          <w:p>
            <w:pPr>
              <w:spacing w:before="0" w:after="0" w:line="240" w:lineRule="auto"/>
              <w:jc w:val="left"/>
              <w:textAlignment w:val="center"/>
            </w:pPr>
            <w:r>
              <w:rPr>
                <w:rFonts w:ascii="宋体" w:hAnsi="宋体" w:eastAsia="宋体" w:cs="宋体"/>
                <w:b w:val="0"/>
                <w:sz w:val="21"/>
              </w:rPr>
              <w:t>加快建设我市文化优势产业和旅游主导产业，推动我市文化和旅游业高质量跨越发展，</w:t>
            </w:r>
            <w:r>
              <w:rPr>
                <w:rFonts w:hint="eastAsia" w:ascii="宋体" w:hAnsi="宋体" w:cs="宋体"/>
                <w:b w:val="0"/>
                <w:sz w:val="21"/>
                <w:lang w:eastAsia="zh-CN"/>
              </w:rPr>
              <w:t>做强做优</w:t>
            </w:r>
            <w:r>
              <w:rPr>
                <w:rFonts w:ascii="宋体" w:hAnsi="宋体" w:eastAsia="宋体" w:cs="宋体"/>
                <w:b w:val="0"/>
                <w:sz w:val="21"/>
              </w:rPr>
              <w:t>做优文旅经济。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绩效</w:t>
            </w:r>
            <w:r>
              <w:rPr>
                <w:rFonts w:ascii="宋体" w:hAnsi="宋体" w:eastAsia="宋体" w:cs="宋体"/>
                <w:b w:val="0"/>
                <w:sz w:val="21"/>
              </w:rPr>
              <w:br w:type="textWrapping"/>
            </w:r>
            <w:r>
              <w:rPr>
                <w:rFonts w:ascii="宋体" w:hAnsi="宋体" w:eastAsia="宋体" w:cs="宋体"/>
                <w:b w:val="0"/>
                <w:sz w:val="21"/>
              </w:rPr>
              <w:t>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一级指标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二级指标</w:t>
            </w:r>
          </w:p>
        </w:tc>
        <w:tc>
          <w:tcPr>
            <w:tcW w:w="1667"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三级指标</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年度指标值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实际完成值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指标分值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自评得分</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偏差原因分析及改进措施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restart"/>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产出指标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数量指标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对公共文化图书馆场所补助数量</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=1个</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质量指标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补助政策完成情况</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时效指标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活动举办时限</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=12月</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12</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成本指标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经济成本指标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成本控制数%</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&gt;15万元</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15</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效益指标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社会效益指标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满足读者文化精神</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=96%</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96</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满意度指标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服务对象满意度指标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群众满意度</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&gt;96%</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96</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6668" w:type="dxa"/>
            <w:gridSpan w:val="8"/>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总分值、评价总分 (S)</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1668"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评价等级</w:t>
            </w:r>
          </w:p>
        </w:tc>
        <w:tc>
          <w:tcPr>
            <w:tcW w:w="8332" w:type="dxa"/>
            <w:gridSpan w:val="10"/>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优（S≧90）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color w:val="000000"/>
                <w:sz w:val="21"/>
              </w:rPr>
              <w:t>问题与建议（每条问题和建议不少于30个字）</w:t>
            </w:r>
          </w:p>
        </w:tc>
        <w:tc>
          <w:tcPr>
            <w:tcW w:w="1668"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问题类型</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存在问题</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改进建议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tcMar>
              <w:left w:w="108" w:type="dxa"/>
              <w:right w:w="108" w:type="dxa"/>
            </w:tcMar>
            <w:vAlign w:val="center"/>
          </w:tcPr>
          <w:p>
            <w:pPr>
              <w:spacing w:before="0" w:after="0" w:line="240" w:lineRule="auto"/>
              <w:jc w:val="left"/>
              <w:textAlignment w:val="center"/>
            </w:pPr>
          </w:p>
        </w:tc>
        <w:tc>
          <w:tcPr>
            <w:tcW w:w="834" w:type="dxa"/>
            <w:tcMar>
              <w:left w:w="108" w:type="dxa"/>
              <w:right w:w="108" w:type="dxa"/>
            </w:tcMar>
            <w:vAlign w:val="center"/>
          </w:tcPr>
          <w:p>
            <w:pPr>
              <w:spacing w:before="0" w:after="0" w:line="240" w:lineRule="auto"/>
              <w:jc w:val="left"/>
              <w:textAlignment w:val="center"/>
            </w:pPr>
          </w:p>
        </w:tc>
        <w:tc>
          <w:tcPr>
            <w:tcW w:w="834" w:type="dxa"/>
            <w:tcMar>
              <w:left w:w="108" w:type="dxa"/>
              <w:right w:w="108" w:type="dxa"/>
            </w:tcMar>
            <w:vAlign w:val="center"/>
          </w:tcPr>
          <w:p>
            <w:pPr>
              <w:spacing w:before="0" w:after="0" w:line="240" w:lineRule="auto"/>
              <w:jc w:val="left"/>
              <w:textAlignment w:val="center"/>
            </w:pPr>
          </w:p>
        </w:tc>
        <w:tc>
          <w:tcPr>
            <w:tcW w:w="834"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77" w:hRule="atLeast"/>
        </w:trPr>
        <w:tc>
          <w:tcPr>
            <w:tcW w:w="10000" w:type="dxa"/>
            <w:gridSpan w:val="1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专项资金绩效自评表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0000" w:type="dxa"/>
            <w:gridSpan w:val="1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专项名称</w:t>
            </w:r>
          </w:p>
        </w:tc>
        <w:tc>
          <w:tcPr>
            <w:tcW w:w="7498" w:type="dxa"/>
            <w:gridSpan w:val="9"/>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2024年中央支持地方公共文化服务体系建设补助资金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主管部门</w:t>
            </w:r>
          </w:p>
        </w:tc>
        <w:tc>
          <w:tcPr>
            <w:tcW w:w="2500"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上杭县文化体育和旅游局</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实施单位</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上杭县图书馆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项目概况</w:t>
            </w:r>
          </w:p>
        </w:tc>
        <w:tc>
          <w:tcPr>
            <w:tcW w:w="7498" w:type="dxa"/>
            <w:gridSpan w:val="9"/>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年终结转结余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主要成效</w:t>
            </w:r>
          </w:p>
        </w:tc>
        <w:tc>
          <w:tcPr>
            <w:tcW w:w="7498" w:type="dxa"/>
            <w:gridSpan w:val="9"/>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项目资金(万元)</w:t>
            </w:r>
          </w:p>
        </w:tc>
        <w:tc>
          <w:tcPr>
            <w:tcW w:w="1668" w:type="dxa"/>
            <w:gridSpan w:val="2"/>
            <w:tcMar>
              <w:left w:w="108" w:type="dxa"/>
              <w:right w:w="108" w:type="dxa"/>
            </w:tcMar>
            <w:vAlign w:val="center"/>
          </w:tcPr>
          <w:p>
            <w:pPr>
              <w:spacing w:before="0" w:after="0" w:line="240" w:lineRule="auto"/>
              <w:jc w:val="center"/>
              <w:textAlignment w:val="center"/>
            </w:pP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年初预算数</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全年预算数</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全年执行数</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分值</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执行率（%）</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年度资金总额</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30.00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30.00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17.35</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57.83</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其中：当年财政拨款</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30.00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30.00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17.35</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57.83</w:t>
            </w:r>
          </w:p>
        </w:tc>
        <w:tc>
          <w:tcPr>
            <w:tcW w:w="1666" w:type="dxa"/>
            <w:gridSpan w:val="2"/>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其他资金</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上年结转资金</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年度总体目标</w:t>
            </w:r>
          </w:p>
        </w:tc>
        <w:tc>
          <w:tcPr>
            <w:tcW w:w="4168" w:type="dxa"/>
            <w:gridSpan w:val="5"/>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预期目标</w:t>
            </w:r>
          </w:p>
        </w:tc>
        <w:tc>
          <w:tcPr>
            <w:tcW w:w="4998" w:type="dxa"/>
            <w:gridSpan w:val="6"/>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实际完成情况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4168" w:type="dxa"/>
            <w:gridSpan w:val="5"/>
            <w:tcMar>
              <w:left w:w="108" w:type="dxa"/>
              <w:right w:w="108" w:type="dxa"/>
            </w:tcMar>
            <w:vAlign w:val="bottom"/>
          </w:tcPr>
          <w:p>
            <w:pPr>
              <w:spacing w:before="0" w:after="0" w:line="240" w:lineRule="auto"/>
              <w:jc w:val="left"/>
              <w:textAlignment w:val="center"/>
            </w:pPr>
            <w:r>
              <w:rPr>
                <w:rFonts w:ascii="宋体" w:hAnsi="宋体" w:eastAsia="宋体" w:cs="宋体"/>
                <w:b w:val="0"/>
                <w:sz w:val="21"/>
              </w:rPr>
              <w:t>为提高质量推进基层公共阅读服务推广项目，发挥好补助资金使用效益，支持相关基层公共图书馆开展基层公共阅读服务推广。</w:t>
            </w:r>
          </w:p>
        </w:tc>
        <w:tc>
          <w:tcPr>
            <w:tcW w:w="4998" w:type="dxa"/>
            <w:gridSpan w:val="6"/>
            <w:tcMar>
              <w:left w:w="108" w:type="dxa"/>
              <w:right w:w="108" w:type="dxa"/>
            </w:tcMar>
            <w:vAlign w:val="bottom"/>
          </w:tcPr>
          <w:p>
            <w:pPr>
              <w:spacing w:before="0" w:after="0" w:line="240" w:lineRule="auto"/>
              <w:jc w:val="left"/>
              <w:textAlignment w:val="center"/>
            </w:pPr>
            <w:r>
              <w:rPr>
                <w:rFonts w:ascii="宋体" w:hAnsi="宋体" w:eastAsia="宋体" w:cs="宋体"/>
                <w:b w:val="0"/>
                <w:sz w:val="21"/>
              </w:rPr>
              <w:t>加快建设我市文化优势产业和旅游主导产业，推动我市文化和旅游业高质量跨越发展，</w:t>
            </w:r>
            <w:r>
              <w:rPr>
                <w:rFonts w:hint="eastAsia" w:ascii="宋体" w:hAnsi="宋体" w:cs="宋体"/>
                <w:b w:val="0"/>
                <w:sz w:val="21"/>
                <w:lang w:eastAsia="zh-CN"/>
              </w:rPr>
              <w:t>做强做优</w:t>
            </w:r>
            <w:r>
              <w:rPr>
                <w:rFonts w:ascii="宋体" w:hAnsi="宋体" w:eastAsia="宋体" w:cs="宋体"/>
                <w:b w:val="0"/>
                <w:sz w:val="21"/>
              </w:rPr>
              <w:t>做优文旅经济。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绩效</w:t>
            </w:r>
            <w:r>
              <w:rPr>
                <w:rFonts w:ascii="宋体" w:hAnsi="宋体" w:eastAsia="宋体" w:cs="宋体"/>
                <w:b w:val="0"/>
                <w:sz w:val="21"/>
              </w:rPr>
              <w:br w:type="textWrapping"/>
            </w:r>
            <w:r>
              <w:rPr>
                <w:rFonts w:ascii="宋体" w:hAnsi="宋体" w:eastAsia="宋体" w:cs="宋体"/>
                <w:b w:val="0"/>
                <w:sz w:val="21"/>
              </w:rPr>
              <w:t>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一级指标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二级指标</w:t>
            </w:r>
          </w:p>
        </w:tc>
        <w:tc>
          <w:tcPr>
            <w:tcW w:w="1667"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三级指标</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年度指标值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实际完成值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指标分值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自评得分</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偏差原因分析及改进措施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restart"/>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产出指标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数量指标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支持公益基层阅读服务推广项目数量</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=5个</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5</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质量指标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项目完成率</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时效指标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基层公共阅读服务推广完成时限</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&gt;100%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成本指标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经济成本指标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补助地方开展基层公共阅读服务推广项目资金</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=30万元</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17.35</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5.78</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资金使用较慢，加快使用进度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效益指标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经济效益指标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补助地方开展基层公共阅读服务推广</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&gt;100%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满意度指标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服务对象满意度指标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服务对象满意度指标</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6668" w:type="dxa"/>
            <w:gridSpan w:val="8"/>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总分值、评价总分 (S)</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85.78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668"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评价等级</w:t>
            </w:r>
          </w:p>
        </w:tc>
        <w:tc>
          <w:tcPr>
            <w:tcW w:w="8332" w:type="dxa"/>
            <w:gridSpan w:val="10"/>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良（90&gt;S≧80）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1668" w:type="dxa"/>
            <w:gridSpan w:val="2"/>
            <w:vMerge w:val="restart"/>
            <w:tcMar>
              <w:left w:w="108" w:type="dxa"/>
              <w:right w:w="108" w:type="dxa"/>
            </w:tcMar>
            <w:vAlign w:val="center"/>
          </w:tcPr>
          <w:p>
            <w:pPr>
              <w:spacing w:before="0" w:after="0" w:line="240" w:lineRule="auto"/>
              <w:jc w:val="left"/>
              <w:textAlignment w:val="center"/>
            </w:pPr>
            <w:r>
              <w:rPr>
                <w:rFonts w:ascii="宋体" w:hAnsi="宋体" w:eastAsia="宋体" w:cs="宋体"/>
                <w:b w:val="0"/>
                <w:color w:val="000000"/>
                <w:sz w:val="21"/>
              </w:rPr>
              <w:t>问题与建议（每条问题和建议不少于30个字）</w:t>
            </w:r>
          </w:p>
        </w:tc>
        <w:tc>
          <w:tcPr>
            <w:tcW w:w="1668"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问题类型</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存在问题</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改进建议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1668" w:type="dxa"/>
            <w:gridSpan w:val="2"/>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color w:val="000000"/>
                <w:sz w:val="21"/>
              </w:rPr>
              <w:t>其他问题</w:t>
            </w:r>
          </w:p>
        </w:tc>
        <w:tc>
          <w:tcPr>
            <w:tcW w:w="3332" w:type="dxa"/>
            <w:gridSpan w:val="4"/>
            <w:tcMar>
              <w:left w:w="108" w:type="dxa"/>
              <w:right w:w="108" w:type="dxa"/>
            </w:tcMar>
            <w:vAlign w:val="center"/>
          </w:tcPr>
          <w:p>
            <w:pPr>
              <w:spacing w:before="0" w:after="0" w:line="240" w:lineRule="auto"/>
              <w:jc w:val="left"/>
              <w:textAlignment w:val="center"/>
            </w:pPr>
            <w:r>
              <w:rPr>
                <w:rFonts w:ascii="宋体" w:hAnsi="宋体" w:eastAsia="宋体" w:cs="宋体"/>
                <w:b w:val="0"/>
                <w:color w:val="000000"/>
                <w:sz w:val="21"/>
              </w:rPr>
              <w:t>项目资金拨付与使用节奏偏慢，整体进度未达预期，需加快推进落实</w:t>
            </w:r>
          </w:p>
        </w:tc>
        <w:tc>
          <w:tcPr>
            <w:tcW w:w="3332" w:type="dxa"/>
            <w:gridSpan w:val="4"/>
            <w:tcMar>
              <w:left w:w="108" w:type="dxa"/>
              <w:right w:w="108" w:type="dxa"/>
            </w:tcMar>
            <w:vAlign w:val="center"/>
          </w:tcPr>
          <w:p>
            <w:pPr>
              <w:spacing w:before="0" w:after="0" w:line="240" w:lineRule="auto"/>
              <w:jc w:val="left"/>
              <w:textAlignment w:val="center"/>
            </w:pPr>
            <w:r>
              <w:rPr>
                <w:rFonts w:ascii="宋体" w:hAnsi="宋体" w:eastAsia="宋体" w:cs="宋体"/>
                <w:b w:val="0"/>
                <w:color w:val="000000"/>
                <w:sz w:val="21"/>
              </w:rPr>
              <w:t>强化资金统筹调度，也是支出责任，多措并举加快支出进度，切实提高资金使用效率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834" w:type="dxa"/>
            <w:tcMar>
              <w:left w:w="108" w:type="dxa"/>
              <w:right w:w="108" w:type="dxa"/>
            </w:tcMar>
            <w:vAlign w:val="center"/>
          </w:tcPr>
          <w:p>
            <w:pPr>
              <w:spacing w:before="0" w:after="0" w:line="240" w:lineRule="auto"/>
              <w:jc w:val="left"/>
              <w:textAlignment w:val="center"/>
            </w:pPr>
          </w:p>
        </w:tc>
        <w:tc>
          <w:tcPr>
            <w:tcW w:w="834" w:type="dxa"/>
            <w:tcMar>
              <w:left w:w="108" w:type="dxa"/>
              <w:right w:w="108" w:type="dxa"/>
            </w:tcMar>
            <w:vAlign w:val="center"/>
          </w:tcPr>
          <w:p>
            <w:pPr>
              <w:spacing w:before="0" w:after="0" w:line="240" w:lineRule="auto"/>
              <w:jc w:val="left"/>
              <w:textAlignment w:val="center"/>
            </w:pPr>
          </w:p>
        </w:tc>
        <w:tc>
          <w:tcPr>
            <w:tcW w:w="834" w:type="dxa"/>
            <w:tcMar>
              <w:left w:w="108" w:type="dxa"/>
              <w:right w:w="108" w:type="dxa"/>
            </w:tcMar>
            <w:vAlign w:val="center"/>
          </w:tcPr>
          <w:p>
            <w:pPr>
              <w:spacing w:before="0" w:after="0" w:line="240" w:lineRule="auto"/>
              <w:jc w:val="left"/>
              <w:textAlignment w:val="center"/>
            </w:pPr>
          </w:p>
        </w:tc>
        <w:tc>
          <w:tcPr>
            <w:tcW w:w="834"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12" w:hRule="atLeast"/>
        </w:trPr>
        <w:tc>
          <w:tcPr>
            <w:tcW w:w="10000" w:type="dxa"/>
            <w:gridSpan w:val="1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专项资金绩效自评表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0000" w:type="dxa"/>
            <w:gridSpan w:val="1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专项名称</w:t>
            </w:r>
          </w:p>
        </w:tc>
        <w:tc>
          <w:tcPr>
            <w:tcW w:w="7498" w:type="dxa"/>
            <w:gridSpan w:val="9"/>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公共图书馆、美术馆、文化馆（站）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主管部门</w:t>
            </w:r>
          </w:p>
        </w:tc>
        <w:tc>
          <w:tcPr>
            <w:tcW w:w="2500"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上杭县文化体育和旅游局</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实施单位</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上杭县图书馆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项目概况</w:t>
            </w:r>
          </w:p>
        </w:tc>
        <w:tc>
          <w:tcPr>
            <w:tcW w:w="7498" w:type="dxa"/>
            <w:gridSpan w:val="9"/>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公共图书馆、美术馆、文化馆（站）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主要成效</w:t>
            </w:r>
          </w:p>
        </w:tc>
        <w:tc>
          <w:tcPr>
            <w:tcW w:w="7498" w:type="dxa"/>
            <w:gridSpan w:val="9"/>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项目资金(万元)</w:t>
            </w:r>
          </w:p>
        </w:tc>
        <w:tc>
          <w:tcPr>
            <w:tcW w:w="1668" w:type="dxa"/>
            <w:gridSpan w:val="2"/>
            <w:tcMar>
              <w:left w:w="108" w:type="dxa"/>
              <w:right w:w="108" w:type="dxa"/>
            </w:tcMar>
            <w:vAlign w:val="center"/>
          </w:tcPr>
          <w:p>
            <w:pPr>
              <w:spacing w:before="0" w:after="0" w:line="240" w:lineRule="auto"/>
              <w:jc w:val="center"/>
              <w:textAlignment w:val="center"/>
            </w:pP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年初预算数</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全年预算数</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全年执行数</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分值</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执行率（%）</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年度资金总额</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9.00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9.00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其中：当年财政拨款</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9.00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9.00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100.00</w:t>
            </w:r>
          </w:p>
        </w:tc>
        <w:tc>
          <w:tcPr>
            <w:tcW w:w="1666" w:type="dxa"/>
            <w:gridSpan w:val="2"/>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其他资金</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上年结转资金</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年度总体目标</w:t>
            </w:r>
          </w:p>
        </w:tc>
        <w:tc>
          <w:tcPr>
            <w:tcW w:w="4168" w:type="dxa"/>
            <w:gridSpan w:val="5"/>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预期目标</w:t>
            </w:r>
          </w:p>
        </w:tc>
        <w:tc>
          <w:tcPr>
            <w:tcW w:w="4998" w:type="dxa"/>
            <w:gridSpan w:val="6"/>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实际完成情况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4168" w:type="dxa"/>
            <w:gridSpan w:val="5"/>
            <w:tcMar>
              <w:left w:w="108" w:type="dxa"/>
              <w:right w:w="108" w:type="dxa"/>
            </w:tcMar>
            <w:vAlign w:val="bottom"/>
          </w:tcPr>
          <w:p>
            <w:pPr>
              <w:spacing w:before="0" w:after="0" w:line="240" w:lineRule="auto"/>
              <w:jc w:val="left"/>
              <w:textAlignment w:val="center"/>
            </w:pPr>
            <w:r>
              <w:rPr>
                <w:rFonts w:ascii="宋体" w:hAnsi="宋体" w:eastAsia="宋体" w:cs="宋体"/>
                <w:b w:val="0"/>
                <w:sz w:val="21"/>
              </w:rPr>
              <w:t>通过实施对免费开放项目进行绩效管理；提高了项目资金的利用效率。</w:t>
            </w:r>
          </w:p>
        </w:tc>
        <w:tc>
          <w:tcPr>
            <w:tcW w:w="4998" w:type="dxa"/>
            <w:gridSpan w:val="6"/>
            <w:tcMar>
              <w:left w:w="108" w:type="dxa"/>
              <w:right w:w="108" w:type="dxa"/>
            </w:tcMar>
            <w:vAlign w:val="bottom"/>
          </w:tcPr>
          <w:p>
            <w:pPr>
              <w:spacing w:before="0" w:after="0" w:line="240" w:lineRule="auto"/>
              <w:jc w:val="left"/>
              <w:textAlignment w:val="center"/>
            </w:pPr>
            <w:r>
              <w:rPr>
                <w:rFonts w:ascii="宋体" w:hAnsi="宋体" w:eastAsia="宋体" w:cs="宋体"/>
                <w:b w:val="0"/>
                <w:sz w:val="21"/>
              </w:rPr>
              <w:t>通过实施对免费开放项目进行绩效管理；提高了项目资金的利用效率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绩效</w:t>
            </w:r>
            <w:r>
              <w:rPr>
                <w:rFonts w:ascii="宋体" w:hAnsi="宋体" w:eastAsia="宋体" w:cs="宋体"/>
                <w:b w:val="0"/>
                <w:sz w:val="21"/>
              </w:rPr>
              <w:br w:type="textWrapping"/>
            </w:r>
            <w:r>
              <w:rPr>
                <w:rFonts w:ascii="宋体" w:hAnsi="宋体" w:eastAsia="宋体" w:cs="宋体"/>
                <w:b w:val="0"/>
                <w:sz w:val="21"/>
              </w:rPr>
              <w:t>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一级指标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二级指标</w:t>
            </w:r>
          </w:p>
        </w:tc>
        <w:tc>
          <w:tcPr>
            <w:tcW w:w="1667"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三级指标</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年度指标值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实际完成值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指标分值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自评得分</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偏差原因分析及改进措施</w:t>
            </w:r>
          </w:p>
        </w:tc>
      </w:tr>
      <w:tr>
        <w:tblPrEx>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restart"/>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产出指标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数量指标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对公共文化图书馆场所补助数量</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&gt;1个</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质量指标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对公共文化图书馆场所补助</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&gt;100%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时效指标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资金到位时效</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&gt;9万</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restart"/>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成本指标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经济成本指标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图书馆免费开放补助费用</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&gt;9万</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5</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5</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社会成本指标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图书馆图书、水电、光纤、人员补助费用</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&gt;9万</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生态环境成本指标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给图书馆打造良好的阅读环境</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&gt;100%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restart"/>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效益指标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经济效益指标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阅读增长率</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&gt;100%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社会效益指标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满足读者文化精神</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&gt;100%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生态效益指标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给图书馆打造良好的阅读环境</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&gt;100%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满意度指标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服务对象满意度指标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服务读者满意度</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6668" w:type="dxa"/>
            <w:gridSpan w:val="8"/>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总分值、评价总分 (S)</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668"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评价等级</w:t>
            </w:r>
          </w:p>
        </w:tc>
        <w:tc>
          <w:tcPr>
            <w:tcW w:w="8332" w:type="dxa"/>
            <w:gridSpan w:val="10"/>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优（S≧90）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color w:val="000000"/>
                <w:sz w:val="21"/>
              </w:rPr>
              <w:t>问题与建议（每条问题和建议不少于30个字）</w:t>
            </w:r>
          </w:p>
        </w:tc>
        <w:tc>
          <w:tcPr>
            <w:tcW w:w="1668"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问题类型</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存在问题</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改进建议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834" w:type="dxa"/>
            <w:tcMar>
              <w:left w:w="108" w:type="dxa"/>
              <w:right w:w="108" w:type="dxa"/>
            </w:tcMar>
            <w:vAlign w:val="center"/>
          </w:tcPr>
          <w:p>
            <w:pPr>
              <w:spacing w:before="0" w:after="0" w:line="240" w:lineRule="auto"/>
              <w:jc w:val="left"/>
              <w:textAlignment w:val="center"/>
            </w:pPr>
          </w:p>
        </w:tc>
        <w:tc>
          <w:tcPr>
            <w:tcW w:w="834" w:type="dxa"/>
            <w:tcMar>
              <w:left w:w="108" w:type="dxa"/>
              <w:right w:w="108" w:type="dxa"/>
            </w:tcMar>
            <w:vAlign w:val="center"/>
          </w:tcPr>
          <w:p>
            <w:pPr>
              <w:spacing w:before="0" w:after="0" w:line="240" w:lineRule="auto"/>
              <w:jc w:val="left"/>
              <w:textAlignment w:val="center"/>
            </w:pPr>
          </w:p>
        </w:tc>
        <w:tc>
          <w:tcPr>
            <w:tcW w:w="834" w:type="dxa"/>
            <w:tcMar>
              <w:left w:w="108" w:type="dxa"/>
              <w:right w:w="108" w:type="dxa"/>
            </w:tcMar>
            <w:vAlign w:val="center"/>
          </w:tcPr>
          <w:p>
            <w:pPr>
              <w:spacing w:before="0" w:after="0" w:line="240" w:lineRule="auto"/>
              <w:jc w:val="left"/>
              <w:textAlignment w:val="center"/>
            </w:pPr>
          </w:p>
        </w:tc>
        <w:tc>
          <w:tcPr>
            <w:tcW w:w="834"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50" w:hRule="atLeast"/>
        </w:trPr>
        <w:tc>
          <w:tcPr>
            <w:tcW w:w="10000" w:type="dxa"/>
            <w:gridSpan w:val="1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专项资金绩效自评表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0000" w:type="dxa"/>
            <w:gridSpan w:val="1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专项名称</w:t>
            </w:r>
          </w:p>
        </w:tc>
        <w:tc>
          <w:tcPr>
            <w:tcW w:w="7498" w:type="dxa"/>
            <w:gridSpan w:val="9"/>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杭川文化综合体项目</w:t>
            </w:r>
          </w:p>
        </w:tc>
      </w:tr>
      <w:tr>
        <w:tblPrEx>
          <w:tblCellMar>
            <w:top w:w="0" w:type="dxa"/>
            <w:left w:w="108" w:type="dxa"/>
            <w:bottom w:w="0" w:type="dxa"/>
            <w:right w:w="108" w:type="dxa"/>
          </w:tblCellMar>
        </w:tblPrEx>
        <w:trPr>
          <w:cantSplit/>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主管部门</w:t>
            </w:r>
          </w:p>
        </w:tc>
        <w:tc>
          <w:tcPr>
            <w:tcW w:w="2500"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上杭县文化体育和旅游局</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实施单位</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上杭县图书馆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项目概况</w:t>
            </w:r>
          </w:p>
        </w:tc>
        <w:tc>
          <w:tcPr>
            <w:tcW w:w="7498" w:type="dxa"/>
            <w:gridSpan w:val="9"/>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杭川文化综合体项目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主要成效</w:t>
            </w:r>
          </w:p>
        </w:tc>
        <w:tc>
          <w:tcPr>
            <w:tcW w:w="7498" w:type="dxa"/>
            <w:gridSpan w:val="9"/>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提高质量推进基层公共阅读服务推广项目，发挥好补助资金使用效益，支持相关基层公共图书馆开展基层公共阅读服务推广。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项目资金(万元)</w:t>
            </w:r>
          </w:p>
        </w:tc>
        <w:tc>
          <w:tcPr>
            <w:tcW w:w="1668" w:type="dxa"/>
            <w:gridSpan w:val="2"/>
            <w:tcMar>
              <w:left w:w="108" w:type="dxa"/>
              <w:right w:w="108" w:type="dxa"/>
            </w:tcMar>
            <w:vAlign w:val="center"/>
          </w:tcPr>
          <w:p>
            <w:pPr>
              <w:spacing w:before="0" w:after="0" w:line="240" w:lineRule="auto"/>
              <w:jc w:val="center"/>
              <w:textAlignment w:val="center"/>
            </w:pP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年初预算数</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全年预算数</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全年执行数</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分值</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执行率（%）</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年度资金总额</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95.15</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95.15</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其中：当年财政拨款</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其他资金</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95.15</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95.15</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100.00</w:t>
            </w:r>
          </w:p>
        </w:tc>
        <w:tc>
          <w:tcPr>
            <w:tcW w:w="1666" w:type="dxa"/>
            <w:gridSpan w:val="2"/>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上年结转资金</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年度总体目标</w:t>
            </w:r>
          </w:p>
        </w:tc>
        <w:tc>
          <w:tcPr>
            <w:tcW w:w="4168" w:type="dxa"/>
            <w:gridSpan w:val="5"/>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预期目标</w:t>
            </w:r>
          </w:p>
        </w:tc>
        <w:tc>
          <w:tcPr>
            <w:tcW w:w="4998" w:type="dxa"/>
            <w:gridSpan w:val="6"/>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实际完成情况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4168" w:type="dxa"/>
            <w:gridSpan w:val="5"/>
            <w:tcMar>
              <w:left w:w="108" w:type="dxa"/>
              <w:right w:w="108" w:type="dxa"/>
            </w:tcMar>
            <w:vAlign w:val="bottom"/>
          </w:tcPr>
          <w:p>
            <w:pPr>
              <w:spacing w:before="0" w:after="0" w:line="240" w:lineRule="auto"/>
              <w:jc w:val="left"/>
              <w:textAlignment w:val="center"/>
            </w:pPr>
            <w:r>
              <w:rPr>
                <w:rFonts w:ascii="宋体" w:hAnsi="宋体" w:eastAsia="宋体" w:cs="宋体"/>
                <w:b w:val="0"/>
                <w:sz w:val="21"/>
              </w:rPr>
              <w:t>为提高质量推进基层公共阅读服务推广项目，发挥好补助资金使用效益，支持相关基层公共图书馆开展基层公共阅读服务推广。</w:t>
            </w:r>
          </w:p>
        </w:tc>
        <w:tc>
          <w:tcPr>
            <w:tcW w:w="4998" w:type="dxa"/>
            <w:gridSpan w:val="6"/>
            <w:tcMar>
              <w:left w:w="108" w:type="dxa"/>
              <w:right w:w="108" w:type="dxa"/>
            </w:tcMar>
            <w:vAlign w:val="bottom"/>
          </w:tcPr>
          <w:p>
            <w:pPr>
              <w:spacing w:before="0" w:after="0" w:line="240" w:lineRule="auto"/>
              <w:jc w:val="left"/>
              <w:textAlignment w:val="center"/>
            </w:pPr>
            <w:r>
              <w:rPr>
                <w:rFonts w:ascii="宋体" w:hAnsi="宋体" w:eastAsia="宋体" w:cs="宋体"/>
                <w:b w:val="0"/>
                <w:sz w:val="21"/>
              </w:rPr>
              <w:t>提高质量推进基层公共阅读服务推广项目，发挥好补助资金使用效益，支持相关基层公共图书馆开展基层公共阅读服务推广。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绩效</w:t>
            </w:r>
            <w:r>
              <w:rPr>
                <w:rFonts w:ascii="宋体" w:hAnsi="宋体" w:eastAsia="宋体" w:cs="宋体"/>
                <w:b w:val="0"/>
                <w:sz w:val="21"/>
              </w:rPr>
              <w:br w:type="textWrapping"/>
            </w:r>
            <w:r>
              <w:rPr>
                <w:rFonts w:ascii="宋体" w:hAnsi="宋体" w:eastAsia="宋体" w:cs="宋体"/>
                <w:b w:val="0"/>
                <w:sz w:val="21"/>
              </w:rPr>
              <w:t>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一级指标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二级指标</w:t>
            </w:r>
          </w:p>
        </w:tc>
        <w:tc>
          <w:tcPr>
            <w:tcW w:w="1667"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三级指标</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年度指标值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实际完成值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指标分值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自评得分</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偏差原因分析及改进措施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restart"/>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产出指标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数量指标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对公共文化图书馆场所补助数量</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≥1个</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质量指标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项目完成率</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时效指标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资金到位时效</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≥12月</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12</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成本指标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经济成本指标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对公共文化图书馆场所补助资金</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≥99.8万元</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99.8</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效益指标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社会效益指标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满足读者文化精神</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≥96%</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96</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满意度指标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服务对象满意度指标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服务对象满意度指标</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≥96%</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96</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6668" w:type="dxa"/>
            <w:gridSpan w:val="8"/>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总分值、评价总分 (S)</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668"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评价等级</w:t>
            </w:r>
          </w:p>
        </w:tc>
        <w:tc>
          <w:tcPr>
            <w:tcW w:w="8332" w:type="dxa"/>
            <w:gridSpan w:val="10"/>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优（S≧90）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color w:val="000000"/>
                <w:sz w:val="21"/>
              </w:rPr>
              <w:t>问题与建议（每条问题和建议不少于30个字）</w:t>
            </w:r>
          </w:p>
        </w:tc>
        <w:tc>
          <w:tcPr>
            <w:tcW w:w="1668"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问题类型</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存在问题</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改进建议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834" w:type="dxa"/>
            <w:tcMar>
              <w:left w:w="108" w:type="dxa"/>
              <w:right w:w="108" w:type="dxa"/>
            </w:tcMar>
            <w:vAlign w:val="center"/>
          </w:tcPr>
          <w:p>
            <w:pPr>
              <w:spacing w:before="0" w:after="0" w:line="240" w:lineRule="auto"/>
              <w:jc w:val="left"/>
              <w:textAlignment w:val="center"/>
            </w:pPr>
          </w:p>
        </w:tc>
        <w:tc>
          <w:tcPr>
            <w:tcW w:w="834" w:type="dxa"/>
            <w:tcMar>
              <w:left w:w="108" w:type="dxa"/>
              <w:right w:w="108" w:type="dxa"/>
            </w:tcMar>
            <w:vAlign w:val="center"/>
          </w:tcPr>
          <w:p>
            <w:pPr>
              <w:spacing w:before="0" w:after="0" w:line="240" w:lineRule="auto"/>
              <w:jc w:val="left"/>
              <w:textAlignment w:val="center"/>
            </w:pPr>
          </w:p>
        </w:tc>
        <w:tc>
          <w:tcPr>
            <w:tcW w:w="834" w:type="dxa"/>
            <w:tcMar>
              <w:left w:w="108" w:type="dxa"/>
              <w:right w:w="108" w:type="dxa"/>
            </w:tcMar>
            <w:vAlign w:val="center"/>
          </w:tcPr>
          <w:p>
            <w:pPr>
              <w:spacing w:before="0" w:after="0" w:line="240" w:lineRule="auto"/>
              <w:jc w:val="left"/>
              <w:textAlignment w:val="center"/>
            </w:pPr>
          </w:p>
        </w:tc>
        <w:tc>
          <w:tcPr>
            <w:tcW w:w="834"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c>
          <w:tcPr>
            <w:tcW w:w="833" w:type="dxa"/>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7" w:hRule="atLeast"/>
        </w:trPr>
        <w:tc>
          <w:tcPr>
            <w:tcW w:w="10000" w:type="dxa"/>
            <w:gridSpan w:val="1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专项资金绩效自评表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0000" w:type="dxa"/>
            <w:gridSpan w:val="1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（2025年度）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专项名称</w:t>
            </w:r>
          </w:p>
        </w:tc>
        <w:tc>
          <w:tcPr>
            <w:tcW w:w="7498" w:type="dxa"/>
            <w:gridSpan w:val="9"/>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中央财政支持地方公共文化体系服务建设资金（文化站、图书馆等免费开放补助）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主管部门</w:t>
            </w:r>
          </w:p>
        </w:tc>
        <w:tc>
          <w:tcPr>
            <w:tcW w:w="2500"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上杭县文化体育和旅游局</w:t>
            </w:r>
            <w:bookmarkStart w:id="27" w:name="_GoBack"/>
            <w:bookmarkEnd w:id="27"/>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实施单位</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上杭县图书馆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项目概况</w:t>
            </w:r>
          </w:p>
        </w:tc>
        <w:tc>
          <w:tcPr>
            <w:tcW w:w="7498" w:type="dxa"/>
            <w:gridSpan w:val="9"/>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中央财政支持地方公共文化体系服务建设资金（文化站、图书馆等免费开放补助）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2502" w:type="dxa"/>
            <w:gridSpan w:val="3"/>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主要成效</w:t>
            </w:r>
          </w:p>
        </w:tc>
        <w:tc>
          <w:tcPr>
            <w:tcW w:w="7498" w:type="dxa"/>
            <w:gridSpan w:val="9"/>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项目资金(万元)</w:t>
            </w:r>
          </w:p>
        </w:tc>
        <w:tc>
          <w:tcPr>
            <w:tcW w:w="1668" w:type="dxa"/>
            <w:gridSpan w:val="2"/>
            <w:tcMar>
              <w:left w:w="108" w:type="dxa"/>
              <w:right w:w="108" w:type="dxa"/>
            </w:tcMar>
            <w:vAlign w:val="center"/>
          </w:tcPr>
          <w:p>
            <w:pPr>
              <w:spacing w:before="0" w:after="0" w:line="240" w:lineRule="auto"/>
              <w:jc w:val="center"/>
              <w:textAlignment w:val="center"/>
            </w:pP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年初预算数</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全年预算数</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全年执行数</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分值</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执行率（%）</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年度资金总额</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其中：当年财政拨款</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100.00</w:t>
            </w:r>
          </w:p>
        </w:tc>
        <w:tc>
          <w:tcPr>
            <w:tcW w:w="1666" w:type="dxa"/>
            <w:gridSpan w:val="2"/>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其他资金</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上年结转资金</w:t>
            </w:r>
          </w:p>
        </w:tc>
        <w:tc>
          <w:tcPr>
            <w:tcW w:w="834"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833" w:type="dxa"/>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0.00</w:t>
            </w:r>
          </w:p>
        </w:tc>
        <w:tc>
          <w:tcPr>
            <w:tcW w:w="1666" w:type="dxa"/>
            <w:gridSpan w:val="2"/>
            <w:tcMar>
              <w:left w:w="108" w:type="dxa"/>
              <w:right w:w="108" w:type="dxa"/>
            </w:tcMar>
            <w:vAlign w:val="center"/>
          </w:tcPr>
          <w:p>
            <w:pPr>
              <w:spacing w:before="0" w:after="0" w:line="240" w:lineRule="auto"/>
              <w:jc w:val="center"/>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年度总体目标</w:t>
            </w:r>
          </w:p>
        </w:tc>
        <w:tc>
          <w:tcPr>
            <w:tcW w:w="4168" w:type="dxa"/>
            <w:gridSpan w:val="5"/>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预期目标</w:t>
            </w:r>
          </w:p>
        </w:tc>
        <w:tc>
          <w:tcPr>
            <w:tcW w:w="4998" w:type="dxa"/>
            <w:gridSpan w:val="6"/>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实际完成情况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4168" w:type="dxa"/>
            <w:gridSpan w:val="5"/>
            <w:tcMar>
              <w:left w:w="108" w:type="dxa"/>
              <w:right w:w="108" w:type="dxa"/>
            </w:tcMar>
            <w:vAlign w:val="bottom"/>
          </w:tcPr>
          <w:p>
            <w:pPr>
              <w:spacing w:before="0" w:after="0" w:line="240" w:lineRule="auto"/>
              <w:jc w:val="left"/>
              <w:textAlignment w:val="center"/>
            </w:pPr>
            <w:r>
              <w:rPr>
                <w:rFonts w:ascii="宋体" w:hAnsi="宋体" w:eastAsia="宋体" w:cs="宋体"/>
                <w:b w:val="0"/>
                <w:sz w:val="21"/>
              </w:rPr>
              <w:t>通过实施对免费开放项目进行绩效管理；提高了项目资金的利用效率。</w:t>
            </w:r>
          </w:p>
        </w:tc>
        <w:tc>
          <w:tcPr>
            <w:tcW w:w="4998" w:type="dxa"/>
            <w:gridSpan w:val="6"/>
            <w:tcMar>
              <w:left w:w="108" w:type="dxa"/>
              <w:right w:w="108" w:type="dxa"/>
            </w:tcMar>
            <w:vAlign w:val="bottom"/>
          </w:tcPr>
          <w:p>
            <w:pPr>
              <w:spacing w:before="0" w:after="0" w:line="240" w:lineRule="auto"/>
              <w:jc w:val="left"/>
              <w:textAlignment w:val="center"/>
            </w:pPr>
            <w:r>
              <w:rPr>
                <w:rFonts w:ascii="宋体" w:hAnsi="宋体" w:eastAsia="宋体" w:cs="宋体"/>
                <w:b w:val="0"/>
                <w:sz w:val="21"/>
              </w:rPr>
              <w:t>通过实施对免费开放项目进行绩效管理；提高了项目资金的利用效率。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restart"/>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绩效</w:t>
            </w:r>
            <w:r>
              <w:rPr>
                <w:rFonts w:ascii="宋体" w:hAnsi="宋体" w:eastAsia="宋体" w:cs="宋体"/>
                <w:b w:val="0"/>
                <w:sz w:val="21"/>
              </w:rPr>
              <w:br w:type="textWrapping"/>
            </w:r>
            <w:r>
              <w:rPr>
                <w:rFonts w:ascii="宋体" w:hAnsi="宋体" w:eastAsia="宋体" w:cs="宋体"/>
                <w:b w:val="0"/>
                <w:sz w:val="21"/>
              </w:rPr>
              <w:t>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一级指标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二级指标</w:t>
            </w:r>
          </w:p>
        </w:tc>
        <w:tc>
          <w:tcPr>
            <w:tcW w:w="1667"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三级指标</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年度指标值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实际完成值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指标分值</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自评得分</w:t>
            </w:r>
          </w:p>
        </w:tc>
        <w:tc>
          <w:tcPr>
            <w:tcW w:w="1666"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偏差原因分析及改进措施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restart"/>
            <w:tcMar>
              <w:left w:w="108" w:type="dxa"/>
              <w:right w:w="108" w:type="dxa"/>
            </w:tcMar>
            <w:vAlign w:val="center"/>
          </w:tcPr>
          <w:p>
            <w:pPr>
              <w:spacing w:before="0" w:after="0" w:line="240" w:lineRule="auto"/>
              <w:jc w:val="left"/>
              <w:textAlignment w:val="center"/>
            </w:pPr>
            <w:r>
              <w:rPr>
                <w:rFonts w:ascii="宋体" w:hAnsi="宋体" w:eastAsia="宋体" w:cs="宋体"/>
                <w:b w:val="0"/>
                <w:sz w:val="21"/>
              </w:rPr>
              <w:t>产出指标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数量指标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对公共文化图书馆场所补助数量</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=1个</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质量指标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对公共文化图书馆场所补助</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时效指标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资金到位时效</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&gt;12月</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12</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20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成本指标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生态环境成本指标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给图书馆打造良好的阅读环境</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效益指标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社会效益指标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满足读者文化精神</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≥96%</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96</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30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834" w:type="dxa"/>
            <w:vMerge w:val="continue"/>
            <w:tcMar>
              <w:left w:w="108" w:type="dxa"/>
              <w:right w:w="108" w:type="dxa"/>
            </w:tcMar>
          </w:tcP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满意度指标</w:t>
            </w:r>
          </w:p>
        </w:tc>
        <w:tc>
          <w:tcPr>
            <w:tcW w:w="834"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服务对象满意度指标</w:t>
            </w:r>
          </w:p>
        </w:tc>
        <w:tc>
          <w:tcPr>
            <w:tcW w:w="1667"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服务读者满意度</w:t>
            </w:r>
          </w:p>
        </w:tc>
        <w:tc>
          <w:tcPr>
            <w:tcW w:w="1666"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≥96%</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96</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833" w:type="dxa"/>
            <w:tcMar>
              <w:left w:w="108" w:type="dxa"/>
              <w:right w:w="108" w:type="dxa"/>
            </w:tcMar>
            <w:vAlign w:val="center"/>
          </w:tcPr>
          <w:p>
            <w:pPr>
              <w:spacing w:before="0" w:after="0" w:line="240" w:lineRule="auto"/>
              <w:jc w:val="left"/>
              <w:textAlignment w:val="center"/>
            </w:pPr>
            <w:r>
              <w:rPr>
                <w:rFonts w:ascii="宋体" w:hAnsi="宋体" w:eastAsia="宋体" w:cs="宋体"/>
                <w:b w:val="0"/>
                <w:sz w:val="21"/>
              </w:rPr>
              <w:t>10</w:t>
            </w:r>
          </w:p>
        </w:tc>
        <w:tc>
          <w:tcPr>
            <w:tcW w:w="1666" w:type="dxa"/>
            <w:gridSpan w:val="2"/>
            <w:tcMar>
              <w:left w:w="108" w:type="dxa"/>
              <w:right w:w="108" w:type="dxa"/>
            </w:tcMar>
            <w:vAlign w:val="center"/>
          </w:tcPr>
          <w:p>
            <w:pPr>
              <w:spacing w:before="0" w:after="0" w:line="240" w:lineRule="auto"/>
              <w:jc w:val="left"/>
              <w:textAlignment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6668" w:type="dxa"/>
            <w:gridSpan w:val="8"/>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总分值、评价总分 (S)</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668"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评价等级</w:t>
            </w:r>
          </w:p>
        </w:tc>
        <w:tc>
          <w:tcPr>
            <w:tcW w:w="8332" w:type="dxa"/>
            <w:gridSpan w:val="10"/>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优（S≧90）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668" w:type="dxa"/>
            <w:gridSpan w:val="2"/>
            <w:tcMar>
              <w:left w:w="108" w:type="dxa"/>
              <w:right w:w="108" w:type="dxa"/>
            </w:tcMar>
            <w:vAlign w:val="center"/>
          </w:tcPr>
          <w:p>
            <w:pPr>
              <w:spacing w:before="0" w:after="0" w:line="240" w:lineRule="auto"/>
              <w:jc w:val="left"/>
              <w:textAlignment w:val="center"/>
            </w:pPr>
            <w:r>
              <w:rPr>
                <w:rFonts w:ascii="宋体" w:hAnsi="宋体" w:eastAsia="宋体" w:cs="宋体"/>
                <w:b w:val="0"/>
                <w:color w:val="000000"/>
                <w:sz w:val="21"/>
              </w:rPr>
              <w:t>问题与建议（每条问题和建议不少于30个字）</w:t>
            </w:r>
          </w:p>
        </w:tc>
        <w:tc>
          <w:tcPr>
            <w:tcW w:w="1668" w:type="dxa"/>
            <w:gridSpan w:val="2"/>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问题类型</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存在问题</w:t>
            </w:r>
          </w:p>
        </w:tc>
        <w:tc>
          <w:tcPr>
            <w:tcW w:w="3332" w:type="dxa"/>
            <w:gridSpan w:val="4"/>
            <w:tcMar>
              <w:left w:w="108" w:type="dxa"/>
              <w:right w:w="108" w:type="dxa"/>
            </w:tcMar>
            <w:vAlign w:val="center"/>
          </w:tcPr>
          <w:p>
            <w:pPr>
              <w:spacing w:before="0" w:after="0" w:line="240" w:lineRule="auto"/>
              <w:jc w:val="center"/>
              <w:textAlignment w:val="center"/>
            </w:pPr>
            <w:r>
              <w:rPr>
                <w:rFonts w:ascii="宋体" w:hAnsi="宋体" w:eastAsia="宋体" w:cs="宋体"/>
                <w:b w:val="0"/>
                <w:sz w:val="21"/>
              </w:rPr>
              <w:t>改进建议</w:t>
            </w:r>
          </w:p>
        </w:tc>
      </w:tr>
      <w:bookmarkEnd w:id="0"/>
    </w:tbl>
    <w:p>
      <w:pPr>
        <w:keepNext w:val="0"/>
        <w:keepLines w:val="0"/>
        <w:pageBreakBefore w:val="0"/>
        <w:widowControl w:val="0"/>
        <w:tabs>
          <w:tab w:val="left" w:pos="8415"/>
        </w:tabs>
        <w:kinsoku/>
        <w:wordWrap/>
        <w:overflowPunct/>
        <w:topLinePunct w:val="0"/>
        <w:autoSpaceDE/>
        <w:autoSpaceDN/>
        <w:bidi w:val="0"/>
        <w:adjustRightInd/>
        <w:snapToGrid/>
        <w:textAlignment w:val="auto"/>
      </w:pPr>
    </w:p>
    <w:sectPr>
      <w:footerReference r:id="rId22" w:type="default"/>
      <w:pgSz w:w="11906" w:h="16838"/>
      <w:pgMar w:top="1984" w:right="1083" w:bottom="1984" w:left="1083" w:header="0" w:footer="720" w:gutter="0"/>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黑体"/>
    <w:panose1 w:val="02000000000000000000"/>
    <w:charset w:val="86"/>
    <w:family w:val="auto"/>
    <w:pitch w:val="default"/>
    <w:sig w:usb0="00000000" w:usb1="00000000" w:usb2="00000000" w:usb3="00000000" w:csb0="00040000" w:csb1="00000000"/>
  </w:font>
  <w:font w:name="FangSong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w:t>
    </w:r>
    <w:r>
      <w:rPr>
        <w:rFonts w:ascii="宋体" w:hAnsi="宋体" w:eastAsia="宋体" w:cs="宋体"/>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w:t>
    </w:r>
    <w:r>
      <w:rPr>
        <w:rFonts w:ascii="宋体" w:hAnsi="宋体" w:eastAsia="宋体" w:cs="宋体"/>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4</w:t>
    </w:r>
    <w:r>
      <w:rPr>
        <w:rFonts w:ascii="宋体" w:hAnsi="宋体" w:eastAsia="宋体" w:cs="宋体"/>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6</w:t>
    </w:r>
    <w:r>
      <w:rPr>
        <w:rFonts w:ascii="宋体" w:hAnsi="宋体" w:eastAsia="宋体" w:cs="宋体"/>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7</w:t>
    </w:r>
    <w:r>
      <w:rPr>
        <w:rFonts w:ascii="宋体" w:hAnsi="宋体" w:eastAsia="宋体" w:cs="宋体"/>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8</w:t>
    </w:r>
    <w:r>
      <w:rPr>
        <w:rFonts w:ascii="宋体" w:hAnsi="宋体" w:eastAsia="宋体" w:cs="宋体"/>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11</w:t>
    </w:r>
    <w:r>
      <w:rPr>
        <w:rFonts w:ascii="宋体" w:hAnsi="宋体" w:eastAsia="宋体" w:cs="宋体"/>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12</w:t>
    </w:r>
    <w:r>
      <w:rPr>
        <w:rFonts w:ascii="宋体" w:hAnsi="宋体" w:eastAsia="宋体" w:cs="宋体"/>
        <w:sz w:val="18"/>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15</w:t>
    </w:r>
    <w:r>
      <w:rPr>
        <w:rFonts w:ascii="宋体" w:hAnsi="宋体" w:eastAsia="宋体" w:cs="宋体"/>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16</w:t>
    </w:r>
    <w:r>
      <w:rPr>
        <w:rFonts w:ascii="宋体" w:hAnsi="宋体" w:eastAsia="宋体" w:cs="宋体"/>
        <w:sz w:val="18"/>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17</w:t>
    </w:r>
    <w:r>
      <w:rPr>
        <w:rFonts w:ascii="宋体" w:hAnsi="宋体" w:eastAsia="宋体" w:cs="宋体"/>
        <w:sz w:val="18"/>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18</w:t>
    </w:r>
    <w:r>
      <w:rPr>
        <w:rFonts w:ascii="宋体" w:hAnsi="宋体" w:eastAsia="宋体" w:cs="宋体"/>
        <w:sz w:val="18"/>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19</w:t>
    </w:r>
    <w:r>
      <w:rPr>
        <w:rFonts w:ascii="宋体" w:hAnsi="宋体" w:eastAsia="宋体" w:cs="宋体"/>
        <w:sz w:val="18"/>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23</w:t>
    </w:r>
    <w:r>
      <w:rPr>
        <w:rFonts w:ascii="宋体" w:hAnsi="宋体" w:eastAsia="宋体" w:cs="宋体"/>
        <w:sz w:val="18"/>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24</w:t>
    </w:r>
    <w:r>
      <w:rPr>
        <w:rFonts w:ascii="宋体" w:hAnsi="宋体" w:eastAsia="宋体" w:cs="宋体"/>
        <w:sz w:val="18"/>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26</w:t>
    </w:r>
    <w:r>
      <w:rPr>
        <w:rFonts w:ascii="宋体" w:hAnsi="宋体" w:eastAsia="宋体" w:cs="宋体"/>
        <w:sz w:val="18"/>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27</w:t>
    </w:r>
    <w:r>
      <w:rPr>
        <w:rFonts w:ascii="宋体" w:hAnsi="宋体" w:eastAsia="宋体" w:cs="宋体"/>
        <w:sz w:val="18"/>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37</w:t>
    </w:r>
    <w:r>
      <w:rPr>
        <w:rFonts w:ascii="宋体" w:hAnsi="宋体" w:eastAsia="宋体" w:cs="宋体"/>
        <w:sz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compat>
    <w:useFELayout/>
    <w:splitPgBreakAndParaMark/>
    <w:compatSetting w:name="compatibilityMode" w:uri="http://schemas.microsoft.com/office/word" w:val="12"/>
  </w:compat>
  <w:rsids>
    <w:rsidRoot w:val="00000000"/>
    <w:rsid w:val="11B762C0"/>
    <w:rsid w:val="14552EB3"/>
    <w:rsid w:val="15F85A2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仿宋"/>
      <w:bCs/>
      <w:kern w:val="44"/>
      <w:sz w:val="32"/>
      <w:szCs w:val="44"/>
    </w:rPr>
  </w:style>
  <w:style w:type="paragraph" w:styleId="3">
    <w:name w:val="heading 2"/>
    <w:basedOn w:val="4"/>
    <w:next w:val="4"/>
    <w:qFormat/>
    <w:uiPriority w:val="0"/>
    <w:pPr>
      <w:keepNext/>
      <w:keepLines/>
      <w:spacing w:before="260" w:after="260" w:line="416" w:lineRule="auto"/>
      <w:outlineLvl w:val="1"/>
    </w:pPr>
    <w:rPr>
      <w:rFonts w:ascii="Arial" w:hAnsi="Arial" w:eastAsia="仿宋"/>
      <w:bCs/>
      <w:sz w:val="32"/>
      <w:szCs w:val="32"/>
    </w:rPr>
  </w:style>
  <w:style w:type="paragraph" w:styleId="5">
    <w:name w:val="heading 3"/>
    <w:basedOn w:val="4"/>
    <w:next w:val="4"/>
    <w:link w:val="23"/>
    <w:qFormat/>
    <w:uiPriority w:val="0"/>
    <w:pPr>
      <w:keepNext/>
      <w:keepLines/>
      <w:spacing w:before="260" w:after="260" w:line="416" w:lineRule="auto"/>
      <w:outlineLvl w:val="2"/>
    </w:pPr>
    <w:rPr>
      <w:rFonts w:eastAsia="仿宋"/>
      <w:bCs/>
      <w:sz w:val="32"/>
      <w:szCs w:val="32"/>
    </w:rPr>
  </w:style>
  <w:style w:type="paragraph" w:styleId="6">
    <w:name w:val="heading 4"/>
    <w:basedOn w:val="4"/>
    <w:next w:val="4"/>
    <w:link w:val="24"/>
    <w:qFormat/>
    <w:uiPriority w:val="0"/>
    <w:pPr>
      <w:keepNext/>
      <w:keepLines/>
      <w:spacing w:before="280" w:after="290" w:line="376" w:lineRule="auto"/>
      <w:outlineLvl w:val="3"/>
    </w:pPr>
    <w:rPr>
      <w:rFonts w:ascii="Cambria" w:hAnsi="Cambria" w:eastAsia="仿宋"/>
      <w:bCs/>
      <w:sz w:val="32"/>
      <w:szCs w:val="28"/>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 Spacing"/>
    <w:link w:val="25"/>
    <w:qFormat/>
    <w:uiPriority w:val="0"/>
    <w:pPr>
      <w:ind w:firstLine="200" w:firstLineChars="200"/>
    </w:pPr>
    <w:rPr>
      <w:rFonts w:ascii="Times New Roman" w:hAnsi="Times New Roman" w:eastAsia="仿宋_GB2312" w:cs="Times New Roman"/>
      <w:sz w:val="30"/>
      <w:szCs w:val="22"/>
      <w:lang w:val="en-US" w:eastAsia="zh-CN" w:bidi="ar-SA"/>
    </w:rPr>
  </w:style>
  <w:style w:type="paragraph" w:styleId="7">
    <w:name w:val="toc 7"/>
    <w:basedOn w:val="1"/>
    <w:next w:val="1"/>
    <w:qFormat/>
    <w:uiPriority w:val="0"/>
    <w:pPr>
      <w:ind w:left="1260"/>
      <w:jc w:val="left"/>
    </w:pPr>
    <w:rPr>
      <w:sz w:val="20"/>
      <w:szCs w:val="20"/>
    </w:rPr>
  </w:style>
  <w:style w:type="paragraph" w:styleId="8">
    <w:name w:val="Document Map"/>
    <w:basedOn w:val="1"/>
    <w:qFormat/>
    <w:uiPriority w:val="0"/>
    <w:pPr>
      <w:shd w:val="clear" w:color="auto" w:fill="000080"/>
    </w:pPr>
  </w:style>
  <w:style w:type="paragraph" w:styleId="9">
    <w:name w:val="toc 5"/>
    <w:basedOn w:val="1"/>
    <w:next w:val="1"/>
    <w:qFormat/>
    <w:uiPriority w:val="0"/>
    <w:pPr>
      <w:ind w:left="840"/>
      <w:jc w:val="left"/>
    </w:pPr>
    <w:rPr>
      <w:sz w:val="20"/>
      <w:szCs w:val="20"/>
    </w:rPr>
  </w:style>
  <w:style w:type="paragraph" w:styleId="10">
    <w:name w:val="toc 3"/>
    <w:next w:val="5"/>
    <w:qFormat/>
    <w:uiPriority w:val="0"/>
    <w:pPr>
      <w:adjustRightInd w:val="0"/>
      <w:snapToGrid w:val="0"/>
      <w:spacing w:line="360" w:lineRule="auto"/>
      <w:ind w:firstLine="400" w:firstLineChars="400"/>
      <w:jc w:val="left"/>
    </w:pPr>
    <w:rPr>
      <w:rFonts w:ascii="Times New Roman" w:hAnsi="Times New Roman" w:eastAsia="仿宋" w:cs="Times New Roman"/>
      <w:sz w:val="32"/>
      <w:szCs w:val="20"/>
      <w:lang w:val="en-US" w:eastAsia="en-US" w:bidi="ar-SA"/>
    </w:rPr>
  </w:style>
  <w:style w:type="paragraph" w:styleId="11">
    <w:name w:val="toc 8"/>
    <w:basedOn w:val="1"/>
    <w:next w:val="1"/>
    <w:qFormat/>
    <w:uiPriority w:val="0"/>
    <w:pPr>
      <w:ind w:left="1470"/>
      <w:jc w:val="left"/>
    </w:pPr>
    <w:rPr>
      <w:sz w:val="20"/>
      <w:szCs w:val="20"/>
    </w:rPr>
  </w:style>
  <w:style w:type="paragraph" w:styleId="12">
    <w:name w:val="footer"/>
    <w:basedOn w:val="1"/>
    <w:link w:val="26"/>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next w:val="4"/>
    <w:qFormat/>
    <w:uiPriority w:val="0"/>
    <w:pPr>
      <w:adjustRightInd w:val="0"/>
      <w:snapToGrid w:val="0"/>
      <w:spacing w:line="360" w:lineRule="auto"/>
      <w:jc w:val="left"/>
    </w:pPr>
    <w:rPr>
      <w:rFonts w:ascii="Times New Roman" w:hAnsi="Times New Roman" w:eastAsia="仿宋" w:cs="Times New Roman"/>
      <w:bCs/>
      <w:sz w:val="32"/>
      <w:szCs w:val="20"/>
      <w:lang w:val="en-US" w:eastAsia="en-US" w:bidi="ar-SA"/>
    </w:rPr>
  </w:style>
  <w:style w:type="paragraph" w:styleId="15">
    <w:name w:val="toc 4"/>
    <w:basedOn w:val="1"/>
    <w:next w:val="1"/>
    <w:qFormat/>
    <w:uiPriority w:val="0"/>
    <w:pPr>
      <w:ind w:left="630"/>
      <w:jc w:val="left"/>
    </w:pPr>
    <w:rPr>
      <w:sz w:val="20"/>
      <w:szCs w:val="20"/>
    </w:rPr>
  </w:style>
  <w:style w:type="paragraph" w:styleId="16">
    <w:name w:val="toc 6"/>
    <w:basedOn w:val="1"/>
    <w:next w:val="1"/>
    <w:qFormat/>
    <w:uiPriority w:val="0"/>
    <w:pPr>
      <w:ind w:left="1050"/>
      <w:jc w:val="left"/>
    </w:pPr>
    <w:rPr>
      <w:sz w:val="20"/>
      <w:szCs w:val="20"/>
    </w:rPr>
  </w:style>
  <w:style w:type="paragraph" w:styleId="17">
    <w:name w:val="toc 2"/>
    <w:next w:val="4"/>
    <w:qFormat/>
    <w:uiPriority w:val="0"/>
    <w:pPr>
      <w:adjustRightInd w:val="0"/>
      <w:snapToGrid w:val="0"/>
      <w:spacing w:line="360" w:lineRule="auto"/>
      <w:ind w:firstLine="200" w:firstLineChars="200"/>
      <w:jc w:val="left"/>
    </w:pPr>
    <w:rPr>
      <w:rFonts w:ascii="Times New Roman" w:hAnsi="Times New Roman" w:eastAsia="仿宋" w:cs="Times New Roman"/>
      <w:b/>
      <w:iCs/>
      <w:sz w:val="32"/>
      <w:szCs w:val="20"/>
      <w:lang w:val="en-US" w:eastAsia="en-US" w:bidi="ar-SA"/>
    </w:rPr>
  </w:style>
  <w:style w:type="paragraph" w:styleId="18">
    <w:name w:val="toc 9"/>
    <w:basedOn w:val="1"/>
    <w:next w:val="1"/>
    <w:qFormat/>
    <w:uiPriority w:val="0"/>
    <w:pPr>
      <w:ind w:left="1680"/>
      <w:jc w:val="left"/>
    </w:pPr>
    <w:rPr>
      <w:sz w:val="20"/>
      <w:szCs w:val="20"/>
    </w:rPr>
  </w:style>
  <w:style w:type="character" w:styleId="21">
    <w:name w:val="page number"/>
    <w:basedOn w:val="20"/>
    <w:qFormat/>
    <w:uiPriority w:val="0"/>
  </w:style>
  <w:style w:type="character" w:styleId="22">
    <w:name w:val="Hyperlink"/>
    <w:qFormat/>
    <w:uiPriority w:val="0"/>
    <w:rPr>
      <w:rFonts w:ascii="宋体" w:hAnsi="宋体" w:eastAsia="仿宋" w:cs="Times New Roman"/>
      <w:kern w:val="2"/>
      <w:sz w:val="32"/>
      <w:szCs w:val="32"/>
      <w:lang w:val="en-US" w:eastAsia="zh-CN" w:bidi="ar-SA"/>
    </w:rPr>
  </w:style>
  <w:style w:type="character" w:customStyle="1" w:styleId="23">
    <w:name w:val="标题 3 字符"/>
    <w:basedOn w:val="20"/>
    <w:link w:val="5"/>
    <w:qFormat/>
    <w:uiPriority w:val="0"/>
    <w:rPr>
      <w:rFonts w:eastAsia="仿宋"/>
      <w:bCs/>
      <w:kern w:val="2"/>
      <w:sz w:val="32"/>
      <w:szCs w:val="32"/>
    </w:rPr>
  </w:style>
  <w:style w:type="character" w:customStyle="1" w:styleId="24">
    <w:name w:val="标题 4 字符"/>
    <w:basedOn w:val="20"/>
    <w:link w:val="6"/>
    <w:qFormat/>
    <w:uiPriority w:val="0"/>
    <w:rPr>
      <w:rFonts w:ascii="Cambria" w:hAnsi="Cambria" w:eastAsia="仿宋"/>
      <w:bCs/>
      <w:kern w:val="2"/>
      <w:sz w:val="32"/>
      <w:szCs w:val="28"/>
    </w:rPr>
  </w:style>
  <w:style w:type="character" w:customStyle="1" w:styleId="25">
    <w:name w:val="无间隔 字符"/>
    <w:link w:val="4"/>
    <w:qFormat/>
    <w:locked/>
    <w:uiPriority w:val="0"/>
    <w:rPr>
      <w:rFonts w:eastAsia="仿宋_GB2312"/>
      <w:sz w:val="30"/>
      <w:szCs w:val="22"/>
      <w:lang w:bidi="ar-SA"/>
    </w:rPr>
  </w:style>
  <w:style w:type="character" w:customStyle="1" w:styleId="26">
    <w:name w:val="页脚 字符"/>
    <w:basedOn w:val="20"/>
    <w:link w:val="12"/>
    <w:qFormat/>
    <w:uiPriority w:val="0"/>
    <w:rPr>
      <w:kern w:val="2"/>
      <w:sz w:val="18"/>
      <w:szCs w:val="18"/>
    </w:rPr>
  </w:style>
  <w:style w:type="paragraph" w:styleId="27">
    <w:name w:val="List Paragraph"/>
    <w:basedOn w:val="1"/>
    <w:qFormat/>
    <w:uiPriority w:val="0"/>
    <w:pPr>
      <w:ind w:firstLine="420" w:firstLineChars="200"/>
    </w:pPr>
  </w:style>
  <w:style w:type="paragraph" w:customStyle="1" w:styleId="28">
    <w:name w:val="MsoNormal"/>
    <w:basedOn w:val="1"/>
    <w:qFormat/>
    <w:uiPriority w:val="0"/>
  </w:style>
  <w:style w:type="paragraph" w:customStyle="1" w:styleId="29">
    <w:name w:val="p"/>
    <w:basedOn w:val="1"/>
    <w:qFormat/>
    <w:uiPriority w:val="0"/>
  </w:style>
  <w:style w:type="character" w:customStyle="1" w:styleId="30">
    <w:name w:val="15"/>
    <w:basedOn w:val="20"/>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7559B6-2DC7-41B5-818F-6E7F243775C0}">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38</Pages>
  <Words>9384</Words>
  <Characters>11402</Characters>
  <Lines>1</Lines>
  <Paragraphs>1</Paragraphs>
  <TotalTime>51</TotalTime>
  <ScaleCrop>false</ScaleCrop>
  <LinksUpToDate>false</LinksUpToDate>
  <CharactersWithSpaces>12155</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Administrator</cp:lastModifiedBy>
  <cp:lastPrinted>2021-04-16T00:45:00Z</cp:lastPrinted>
  <dcterms:modified xsi:type="dcterms:W3CDTF">2026-09-14T08:06:26Z</dcterms:modified>
  <dc:title>××年度××部门/单位</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66C67484C41D4C05B3487E28FB439B3F_13</vt:lpwstr>
  </property>
  <property fmtid="{D5CDD505-2E9C-101B-9397-08002B2CF9AE}" pid="3" name="KSOProductBuildVer">
    <vt:lpwstr>2052-11.8.2.8875</vt:lpwstr>
  </property>
  <property fmtid="{D5CDD505-2E9C-101B-9397-08002B2CF9AE}" pid="4" name="KSOTemplateDocerSaveRecord">
    <vt:lpwstr>eyJoZGlkIjoiMjBmNzFhNTE2ODA4NWNjMzY3MDUyM2Q1MGJjODVmODYiLCJ1c2VySWQiOiIzNzI5MDg1NDQifQ==</vt:lpwstr>
  </property>
</Properties>
</file>