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上杭县博物馆</w:t>
      </w:r>
    </w:p>
    <w:p>
      <w:pPr>
        <w:widowControl/>
        <w:jc w:val="center"/>
        <w:rPr>
          <w:rFonts w:hint="eastAsia" w:ascii="方正小标宋简体" w:eastAsia="方正小标宋简体"/>
          <w:b/>
          <w:bCs/>
          <w:sz w:val="84"/>
          <w:szCs w:val="84"/>
          <w:highlight w:val="none"/>
          <w:lang w:val="en-US" w:eastAsia="zh-CN"/>
        </w:rPr>
        <w:sectPr>
          <w:footerReference r:id="rId3"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szCs w:val="84"/>
          <w:highlight w:val="none"/>
          <w:lang w:val="en-US" w:eastAsia="zh-CN"/>
        </w:rPr>
        <w:t>单位</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docPartObj>
          <w:docPartGallery w:val="Table of Contents"/>
          <w:docPartUnique/>
        </w:docPartObj>
      </w:sdtPr>
      <w:sdtEndPr>
        <w:rPr>
          <w:rFonts w:hint="eastAsia" w:ascii="宋体" w:hAnsi="宋体" w:eastAsia="宋体" w:cs="Times New Roman"/>
          <w:b/>
          <w:bCs/>
          <w:kern w:val="2"/>
          <w:sz w:val="32"/>
          <w:szCs w:val="32"/>
          <w:lang w:val="en-US" w:eastAsia="zh-CN" w:bidi="ar-SA"/>
        </w:rPr>
      </w:sdtEndPr>
      <w:sdtContent>
        <w:p>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"_Toc256000052" </w:instrText>
          </w:r>
          <w:r>
            <w:fldChar w:fldCharType="separate"/>
          </w:r>
          <w:r>
            <w:rPr>
              <w:rStyle w:val="22"/>
              <w:rFonts w:ascii="仿宋" w:hAnsi="仿宋" w:eastAsia="仿宋" w:cs="仿宋"/>
            </w:rPr>
            <w:t>第一部分</w:t>
          </w:r>
          <w:r>
            <w:rPr>
              <w:rStyle w:val="22"/>
              <w:rFonts w:ascii="黑体" w:hAnsi="黑体" w:eastAsia="黑体" w:cs="黑体"/>
            </w:rPr>
            <w:t xml:space="preserve"> </w:t>
          </w:r>
          <w:r>
            <w:rPr>
              <w:rStyle w:val="22"/>
              <w:rFonts w:ascii="仿宋" w:hAnsi="仿宋" w:eastAsia="仿宋" w:cs="仿宋"/>
            </w:rPr>
            <w:t>单位概况</w:t>
          </w:r>
          <w:r>
            <w:tab/>
          </w:r>
          <w:r>
            <w:fldChar w:fldCharType="begin"/>
          </w:r>
          <w:r>
            <w:instrText xml:space="preserve"> PAGEREF _Toc256000052 \h </w:instrText>
          </w:r>
          <w:r>
            <w:fldChar w:fldCharType="separate"/>
          </w:r>
          <w:r>
            <w:t>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"_Toc256000053" </w:instrText>
          </w:r>
          <w:r>
            <w:fldChar w:fldCharType="separate"/>
          </w:r>
          <w:r>
            <w:rPr>
              <w:rStyle w:val="22"/>
              <w:rFonts w:ascii="仿宋" w:hAnsi="仿宋" w:eastAsia="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"_Toc256000054" </w:instrText>
          </w:r>
          <w:r>
            <w:fldChar w:fldCharType="separate"/>
          </w:r>
          <w:r>
            <w:rPr>
              <w:rStyle w:val="22"/>
              <w:rFonts w:ascii="仿宋" w:hAnsi="仿宋" w:eastAsia="仿宋" w:cs="仿宋"/>
            </w:rPr>
            <w:t>二、单位基本情况</w:t>
          </w:r>
          <w:r>
            <w:tab/>
          </w:r>
          <w:r>
            <w:fldChar w:fldCharType="begin"/>
          </w:r>
          <w:r>
            <w:instrText xml:space="preserve"> PAGEREF _Toc256000054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2"/>
              <w:rFonts w:ascii="仿宋" w:hAnsi="仿宋" w:eastAsia="仿宋" w:cs="仿宋"/>
            </w:rPr>
            <w:t>三、单位主要工作总结</w:t>
          </w:r>
          <w:r>
            <w:tab/>
          </w:r>
          <w:r>
            <w:fldChar w:fldCharType="begin"/>
          </w:r>
          <w:r>
            <w:instrText xml:space="preserve"> PAGEREF _Toc256000055 \h </w:instrText>
          </w:r>
          <w:r>
            <w:fldChar w:fldCharType="separate"/>
          </w:r>
          <w:r>
            <w:t>2</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2"/>
              <w:rFonts w:ascii="仿宋" w:hAnsi="仿宋" w:eastAsia="仿宋" w:cs="仿宋"/>
            </w:rPr>
            <w:t>第二部分</w:t>
          </w:r>
          <w:r>
            <w:rPr>
              <w:rStyle w:val="22"/>
              <w:rFonts w:ascii="黑体" w:hAnsi="黑体" w:eastAsia="黑体" w:cs="黑体"/>
            </w:rPr>
            <w:t xml:space="preserve"> </w:t>
          </w:r>
          <w:r>
            <w:rPr>
              <w:rStyle w:val="22"/>
              <w:rFonts w:ascii="仿宋" w:hAnsi="仿宋" w:eastAsia="仿宋" w:cs="仿宋"/>
            </w:rPr>
            <w:t>2025年度单位决算表</w:t>
          </w:r>
          <w:r>
            <w:tab/>
          </w:r>
          <w:r>
            <w:fldChar w:fldCharType="begin"/>
          </w:r>
          <w:r>
            <w:instrText xml:space="preserve"> PAGEREF _Toc256000056 \h </w:instrText>
          </w:r>
          <w:r>
            <w:fldChar w:fldCharType="separate"/>
          </w:r>
          <w:r>
            <w:t>3</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2"/>
              <w:rFonts w:ascii="仿宋" w:hAnsi="仿宋" w:eastAsia="仿宋" w:cs="仿宋"/>
            </w:rPr>
            <w:t>一、收入支出决算总表</w:t>
          </w:r>
          <w:r>
            <w:tab/>
          </w:r>
          <w:r>
            <w:fldChar w:fldCharType="begin"/>
          </w:r>
          <w:r>
            <w:instrText xml:space="preserve"> PAGEREF _Toc256000057 \h </w:instrText>
          </w:r>
          <w:r>
            <w:fldChar w:fldCharType="separate"/>
          </w:r>
          <w:r>
            <w:t>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"_Toc256000058" </w:instrText>
          </w:r>
          <w:r>
            <w:fldChar w:fldCharType="separate"/>
          </w:r>
          <w:r>
            <w:rPr>
              <w:rStyle w:val="22"/>
              <w:rFonts w:ascii="仿宋" w:hAnsi="仿宋" w:eastAsia="仿宋" w:cs="仿宋"/>
            </w:rPr>
            <w:t>二、收入决算表</w:t>
          </w:r>
          <w:r>
            <w:tab/>
          </w:r>
          <w:r>
            <w:fldChar w:fldCharType="begin"/>
          </w:r>
          <w:r>
            <w:instrText xml:space="preserve"> PAGEREF _Toc256000058 \h </w:instrText>
          </w:r>
          <w:r>
            <w:fldChar w:fldCharType="separate"/>
          </w:r>
          <w:r>
            <w:t>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"_Toc256000059" </w:instrText>
          </w:r>
          <w:r>
            <w:fldChar w:fldCharType="separate"/>
          </w:r>
          <w:r>
            <w:rPr>
              <w:rStyle w:val="22"/>
              <w:rFonts w:ascii="仿宋" w:hAnsi="仿宋" w:eastAsia="仿宋" w:cs="仿宋"/>
            </w:rPr>
            <w:t>三、支出决算表</w:t>
          </w:r>
          <w:r>
            <w:tab/>
          </w:r>
          <w:r>
            <w:fldChar w:fldCharType="begin"/>
          </w:r>
          <w:r>
            <w:instrText xml:space="preserve"> PAGEREF _Toc256000059 \h </w:instrText>
          </w:r>
          <w:r>
            <w:fldChar w:fldCharType="separate"/>
          </w:r>
          <w:r>
            <w:t>7</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"_Toc256000060" </w:instrText>
          </w:r>
          <w:r>
            <w:fldChar w:fldCharType="separate"/>
          </w:r>
          <w:r>
            <w:rPr>
              <w:rStyle w:val="22"/>
              <w:rFonts w:ascii="仿宋" w:hAnsi="仿宋" w:eastAsia="仿宋" w:cs="仿宋"/>
            </w:rPr>
            <w:t>四、财政拨款收入支出决算总表</w:t>
          </w:r>
          <w:r>
            <w:tab/>
          </w:r>
          <w:r>
            <w:fldChar w:fldCharType="begin"/>
          </w:r>
          <w:r>
            <w:instrText xml:space="preserve"> PAGEREF _Toc256000060 \h </w:instrText>
          </w:r>
          <w:r>
            <w:fldChar w:fldCharType="separate"/>
          </w:r>
          <w:r>
            <w:t>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"_Toc256000061" </w:instrText>
          </w:r>
          <w:r>
            <w:fldChar w:fldCharType="separate"/>
          </w:r>
          <w:r>
            <w:rPr>
              <w:rStyle w:val="22"/>
              <w:rFonts w:ascii="仿宋" w:hAnsi="仿宋" w:eastAsia="仿宋" w:cs="仿宋"/>
            </w:rPr>
            <w:t>五、一般公共预算财政拨款支出决算表</w:t>
          </w:r>
          <w:r>
            <w:tab/>
          </w:r>
          <w:r>
            <w:fldChar w:fldCharType="begin"/>
          </w:r>
          <w:r>
            <w:instrText xml:space="preserve"> PAGEREF _Toc256000061 \h </w:instrText>
          </w:r>
          <w:r>
            <w:fldChar w:fldCharType="separate"/>
          </w:r>
          <w:r>
            <w:t>11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"_Toc256000062" </w:instrText>
          </w:r>
          <w:r>
            <w:fldChar w:fldCharType="separate"/>
          </w:r>
          <w:r>
            <w:rPr>
              <w:rStyle w:val="22"/>
              <w:rFonts w:ascii="仿宋" w:hAnsi="仿宋" w:eastAsia="仿宋" w:cs="仿宋"/>
            </w:rPr>
            <w:t>六、一般公共预算财政拨款基本支出决算表</w:t>
          </w:r>
          <w:r>
            <w:tab/>
          </w:r>
          <w:r>
            <w:fldChar w:fldCharType="begin"/>
          </w:r>
          <w:r>
            <w:instrText xml:space="preserve"> PAGEREF _Toc256000062 \h </w:instrText>
          </w:r>
          <w:r>
            <w:fldChar w:fldCharType="separate"/>
          </w:r>
          <w:r>
            <w:t>12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"_Toc256000063" </w:instrText>
          </w:r>
          <w:r>
            <w:fldChar w:fldCharType="separate"/>
          </w:r>
          <w:r>
            <w:rPr>
              <w:rStyle w:val="22"/>
              <w:rFonts w:ascii="仿宋" w:hAnsi="仿宋" w:eastAsia="仿宋" w:cs="仿宋"/>
            </w:rPr>
            <w:t>七、一般公共预算财政拨款“三公”经费支出决算表</w:t>
          </w:r>
          <w:r>
            <w:tab/>
          </w:r>
          <w:r>
            <w:fldChar w:fldCharType="begin"/>
          </w:r>
          <w:r>
            <w:instrText xml:space="preserve"> PAGEREF _Toc256000063 \h </w:instrText>
          </w:r>
          <w:r>
            <w:fldChar w:fldCharType="separate"/>
          </w:r>
          <w:r>
            <w:t>15</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"_Toc256000064" </w:instrText>
          </w:r>
          <w:r>
            <w:fldChar w:fldCharType="separate"/>
          </w:r>
          <w:r>
            <w:rPr>
              <w:rStyle w:val="22"/>
              <w:rFonts w:ascii="仿宋" w:hAnsi="仿宋" w:eastAsia="仿宋" w:cs="仿宋"/>
            </w:rPr>
            <w:t>八、政府性基金预算财政拨款收入支出决算表</w:t>
          </w:r>
          <w:r>
            <w:tab/>
          </w:r>
          <w:r>
            <w:fldChar w:fldCharType="begin"/>
          </w:r>
          <w:r>
            <w:instrText xml:space="preserve"> PAGEREF _Toc256000064 \h </w:instrText>
          </w:r>
          <w:r>
            <w:fldChar w:fldCharType="separate"/>
          </w:r>
          <w:r>
            <w:t>16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"_Toc256000065" </w:instrText>
          </w:r>
          <w:r>
            <w:fldChar w:fldCharType="separate"/>
          </w:r>
          <w:r>
            <w:rPr>
              <w:rStyle w:val="22"/>
              <w:rFonts w:ascii="仿宋" w:hAnsi="仿宋" w:eastAsia="仿宋" w:cs="仿宋"/>
            </w:rPr>
            <w:t>九、国有资本经营预算财政拨款支出决算表</w:t>
          </w:r>
          <w:r>
            <w:tab/>
          </w:r>
          <w:r>
            <w:fldChar w:fldCharType="begin"/>
          </w:r>
          <w:r>
            <w:instrText xml:space="preserve"> PAGEREF _Toc256000065 \h </w:instrText>
          </w:r>
          <w:r>
            <w:fldChar w:fldCharType="separate"/>
          </w:r>
          <w:r>
            <w:t>17</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"_Toc256000066" </w:instrText>
          </w:r>
          <w:r>
            <w:fldChar w:fldCharType="separate"/>
          </w:r>
          <w:r>
            <w:rPr>
              <w:rStyle w:val="22"/>
              <w:rFonts w:ascii="仿宋" w:hAnsi="仿宋" w:eastAsia="仿宋" w:cs="仿宋"/>
            </w:rPr>
            <w:t>第三部分</w:t>
          </w:r>
          <w:r>
            <w:rPr>
              <w:rStyle w:val="22"/>
              <w:rFonts w:ascii="黑体" w:hAnsi="黑体" w:eastAsia="黑体" w:cs="黑体"/>
            </w:rPr>
            <w:t xml:space="preserve"> </w:t>
          </w:r>
          <w:r>
            <w:rPr>
              <w:rStyle w:val="22"/>
              <w:rFonts w:ascii="仿宋" w:hAnsi="仿宋" w:eastAsia="仿宋" w:cs="仿宋"/>
            </w:rPr>
            <w:t>2025年度单位决算情况说明</w:t>
          </w:r>
          <w:r>
            <w:tab/>
          </w:r>
          <w:r>
            <w:fldChar w:fldCharType="begin"/>
          </w:r>
          <w:r>
            <w:instrText xml:space="preserve"> PAGEREF _Toc256000066 \h </w:instrText>
          </w:r>
          <w:r>
            <w:fldChar w:fldCharType="separate"/>
          </w:r>
          <w:r>
            <w:t>18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"_Toc256000067" </w:instrText>
          </w:r>
          <w:r>
            <w:fldChar w:fldCharType="separate"/>
          </w:r>
          <w:r>
            <w:rPr>
              <w:rStyle w:val="22"/>
              <w:rFonts w:ascii="仿宋" w:hAnsi="仿宋" w:eastAsia="仿宋" w:cs="仿宋"/>
            </w:rPr>
            <w:t>一、收入支出决算总体情况说明</w:t>
          </w:r>
          <w:r>
            <w:tab/>
          </w:r>
          <w:r>
            <w:fldChar w:fldCharType="begin"/>
          </w:r>
          <w:r>
            <w:instrText xml:space="preserve"> PAGEREF _Toc256000067 \h </w:instrText>
          </w:r>
          <w:r>
            <w:fldChar w:fldCharType="separate"/>
          </w:r>
          <w:r>
            <w:t>19</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"_Toc256000068" </w:instrText>
          </w:r>
          <w:r>
            <w:fldChar w:fldCharType="separate"/>
          </w:r>
          <w:r>
            <w:rPr>
              <w:rStyle w:val="22"/>
              <w:rFonts w:ascii="仿宋" w:hAnsi="仿宋" w:eastAsia="仿宋" w:cs="仿宋"/>
            </w:rPr>
            <w:t>二、财政拨款收入支出决算总体情况说明</w:t>
          </w:r>
          <w:r>
            <w:tab/>
          </w:r>
          <w:r>
            <w:fldChar w:fldCharType="begin"/>
          </w:r>
          <w:r>
            <w:instrText xml:space="preserve"> PAGEREF _Toc256000068 \h </w:instrText>
          </w:r>
          <w:r>
            <w:fldChar w:fldCharType="separate"/>
          </w:r>
          <w:r>
            <w:t>20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"_Toc256000069" </w:instrText>
          </w:r>
          <w:r>
            <w:fldChar w:fldCharType="separate"/>
          </w:r>
          <w:r>
            <w:rPr>
              <w:rStyle w:val="22"/>
              <w:rFonts w:ascii="仿宋" w:hAnsi="仿宋" w:eastAsia="仿宋" w:cs="仿宋"/>
            </w:rPr>
            <w:t>三、一般公共预算财政拨款支出决算情况说明</w:t>
          </w:r>
          <w:r>
            <w:tab/>
          </w:r>
          <w:r>
            <w:fldChar w:fldCharType="begin"/>
          </w:r>
          <w:r>
            <w:instrText xml:space="preserve"> PAGEREF _Toc256000069 \h </w:instrText>
          </w:r>
          <w:r>
            <w:fldChar w:fldCharType="separate"/>
          </w:r>
          <w:r>
            <w:t>20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"_Toc256000070" </w:instrText>
          </w:r>
          <w:r>
            <w:fldChar w:fldCharType="separate"/>
          </w:r>
          <w:r>
            <w:rPr>
              <w:rStyle w:val="22"/>
              <w:rFonts w:ascii="仿宋" w:hAnsi="仿宋" w:eastAsia="仿宋" w:cs="仿宋"/>
            </w:rPr>
            <w:t>四、政府性基金预算财政拨款支出决算情况说明</w:t>
          </w:r>
          <w:r>
            <w:tab/>
          </w:r>
          <w:r>
            <w:fldChar w:fldCharType="begin"/>
          </w:r>
          <w:r>
            <w:instrText xml:space="preserve"> PAGEREF _Toc256000070 \h </w:instrText>
          </w:r>
          <w:r>
            <w:fldChar w:fldCharType="separate"/>
          </w:r>
          <w:r>
            <w:t>20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"_Toc256000071" </w:instrText>
          </w:r>
          <w:r>
            <w:fldChar w:fldCharType="separate"/>
          </w:r>
          <w:r>
            <w:rPr>
              <w:rStyle w:val="22"/>
              <w:rFonts w:ascii="仿宋" w:hAnsi="仿宋" w:eastAsia="仿宋" w:cs="仿宋"/>
            </w:rPr>
            <w:t>五、国有资本经营预算财政拨款支出决算情况说明</w:t>
          </w:r>
          <w:r>
            <w:tab/>
          </w:r>
          <w:r>
            <w:fldChar w:fldCharType="begin"/>
          </w:r>
          <w:r>
            <w:instrText xml:space="preserve"> PAGEREF _Toc256000071 \h </w:instrText>
          </w:r>
          <w:r>
            <w:fldChar w:fldCharType="separate"/>
          </w:r>
          <w:r>
            <w:t>20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"_Toc256000072" </w:instrText>
          </w:r>
          <w:r>
            <w:fldChar w:fldCharType="separate"/>
          </w:r>
          <w:r>
            <w:rPr>
              <w:rStyle w:val="22"/>
              <w:rFonts w:ascii="仿宋" w:hAnsi="仿宋" w:eastAsia="仿宋" w:cs="仿宋"/>
            </w:rPr>
            <w:t>六、一般公共预算财政拨款基本支出决算情况说明</w:t>
          </w:r>
          <w:r>
            <w:tab/>
          </w:r>
          <w:r>
            <w:fldChar w:fldCharType="begin"/>
          </w:r>
          <w:r>
            <w:instrText xml:space="preserve"> PAGEREF _Toc256000072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"_Toc256000073" </w:instrText>
          </w:r>
          <w:r>
            <w:fldChar w:fldCharType="separate"/>
          </w:r>
          <w:r>
            <w:rPr>
              <w:rStyle w:val="22"/>
              <w:rFonts w:ascii="仿宋" w:hAnsi="仿宋" w:eastAsia="仿宋" w:cs="仿宋"/>
            </w:rPr>
            <w:t>七、一般公共预算财政拨款“三公”经费支出决算情况说明</w:t>
          </w:r>
          <w:r>
            <w:tab/>
          </w:r>
          <w:r>
            <w:fldChar w:fldCharType="begin"/>
          </w:r>
          <w:r>
            <w:instrText xml:space="preserve"> PAGEREF _Toc256000073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"_Toc256000074" </w:instrText>
          </w:r>
          <w:r>
            <w:fldChar w:fldCharType="separate"/>
          </w:r>
          <w:r>
            <w:rPr>
              <w:rStyle w:val="22"/>
              <w:rFonts w:ascii="仿宋" w:hAnsi="仿宋" w:eastAsia="仿宋" w:cs="仿宋"/>
            </w:rPr>
            <w:t>八、预算绩效情况说明</w:t>
          </w:r>
          <w:r>
            <w:tab/>
          </w:r>
          <w:r>
            <w:fldChar w:fldCharType="begin"/>
          </w:r>
          <w:r>
            <w:instrText xml:space="preserve"> PAGEREF _Toc256000074 \h </w:instrText>
          </w:r>
          <w:r>
            <w:fldChar w:fldCharType="separate"/>
          </w:r>
          <w:r>
            <w:t>22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"_Toc256000075" </w:instrText>
          </w:r>
          <w:r>
            <w:fldChar w:fldCharType="separate"/>
          </w:r>
          <w:r>
            <w:rPr>
              <w:rStyle w:val="22"/>
              <w:rFonts w:ascii="仿宋" w:hAnsi="仿宋" w:eastAsia="仿宋" w:cs="仿宋"/>
            </w:rPr>
            <w:t>九、其他重要事项说明</w:t>
          </w:r>
          <w:r>
            <w:tab/>
          </w:r>
          <w:r>
            <w:fldChar w:fldCharType="begin"/>
          </w:r>
          <w:r>
            <w:instrText xml:space="preserve"> PAGEREF _Toc256000075 \h </w:instrText>
          </w:r>
          <w:r>
            <w:fldChar w:fldCharType="separate"/>
          </w:r>
          <w:r>
            <w:t>22</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"_Toc256000076" </w:instrText>
          </w:r>
          <w:r>
            <w:fldChar w:fldCharType="separate"/>
          </w:r>
          <w:r>
            <w:rPr>
              <w:rStyle w:val="22"/>
              <w:rFonts w:ascii="仿宋" w:hAnsi="仿宋" w:eastAsia="仿宋" w:cs="仿宋"/>
            </w:rPr>
            <w:t>第四部分</w:t>
          </w:r>
          <w:r>
            <w:rPr>
              <w:rStyle w:val="22"/>
              <w:rFonts w:ascii="黑体" w:hAnsi="黑体" w:eastAsia="黑体" w:cs="黑体"/>
            </w:rPr>
            <w:t xml:space="preserve"> </w:t>
          </w:r>
          <w:r>
            <w:rPr>
              <w:rStyle w:val="22"/>
              <w:rFonts w:ascii="仿宋" w:hAnsi="仿宋" w:eastAsia="仿宋" w:cs="仿宋"/>
            </w:rPr>
            <w:t>名词解释</w:t>
          </w:r>
          <w:r>
            <w:tab/>
          </w:r>
          <w:r>
            <w:fldChar w:fldCharType="begin"/>
          </w:r>
          <w:r>
            <w:instrText xml:space="preserve"> PAGEREF _Toc256000076 \h </w:instrText>
          </w:r>
          <w:r>
            <w:fldChar w:fldCharType="separate"/>
          </w:r>
          <w:r>
            <w:t>23</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"_Toc256000077" </w:instrText>
          </w:r>
          <w:r>
            <w:fldChar w:fldCharType="separate"/>
          </w:r>
          <w:r>
            <w:rPr>
              <w:rStyle w:val="22"/>
              <w:rFonts w:ascii="仿宋" w:hAnsi="仿宋" w:eastAsia="仿宋" w:cs="仿宋"/>
            </w:rPr>
            <w:t>第五部分</w:t>
          </w:r>
          <w:r>
            <w:rPr>
              <w:rStyle w:val="22"/>
              <w:rFonts w:ascii="黑体" w:hAnsi="黑体" w:eastAsia="黑体" w:cs="黑体"/>
            </w:rPr>
            <w:t xml:space="preserve"> </w:t>
          </w:r>
          <w:r>
            <w:rPr>
              <w:rStyle w:val="22"/>
              <w:rFonts w:ascii="仿宋" w:hAnsi="仿宋" w:eastAsia="仿宋" w:cs="仿宋"/>
            </w:rPr>
            <w:t>附件</w:t>
          </w:r>
          <w:r>
            <w:tab/>
          </w:r>
          <w:r>
            <w:fldChar w:fldCharType="begin"/>
          </w:r>
          <w:r>
            <w:instrText xml:space="preserve"> PAGEREF _Toc256000077 \h </w:instrText>
          </w:r>
          <w:r>
            <w:fldChar w:fldCharType="separate"/>
          </w:r>
          <w:r>
            <w:t>26</w:t>
          </w:r>
          <w:r>
            <w:fldChar w:fldCharType="end"/>
          </w:r>
          <w:r>
            <w:fldChar w:fldCharType="end"/>
          </w:r>
        </w:p>
        <w:p>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sdtContent>
    </w:sdt>
    <w:p>
      <w:pPr>
        <w:pStyle w:val="28"/>
        <w:widowControl/>
        <w:spacing w:before="100" w:after="100"/>
        <w:ind w:left="100" w:right="100" w:firstLine="640"/>
        <w:jc w:val="center"/>
        <w:rPr>
          <w:rFonts w:ascii="Times New Roman" w:hAnsi="Times New Roman" w:eastAsia="Times New Roman" w:cs="Times New Roman"/>
          <w:kern w:val="0"/>
          <w:sz w:val="24"/>
        </w:rPr>
      </w:pPr>
      <w:bookmarkStart w:id="0" w:name="a000"/>
      <w:r>
        <w:rPr>
          <w:rFonts w:ascii="Calibri" w:hAnsi="Calibri" w:eastAsia="Calibri" w:cs="Calibri"/>
          <w:spacing w:val="0"/>
          <w:kern w:val="0"/>
          <w:sz w:val="84"/>
          <w:szCs w:val="84"/>
        </w:rPr>
        <w:t>  </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2"/>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单位概况</w:t>
      </w:r>
      <w:bookmarkEnd w:id="1"/>
    </w:p>
    <w:p>
      <w:pPr>
        <w:pStyle w:val="29"/>
        <w:widowControl/>
        <w:spacing w:before="100" w:after="100" w:line="560" w:lineRule="atLeast"/>
        <w:ind w:left="100" w:right="100" w:firstLine="640"/>
        <w:jc w:val="center"/>
        <w:rPr>
          <w:rFonts w:ascii="Times New Roman" w:hAnsi="Times New Roman" w:eastAsia="Times New Roman" w:cs="Times New Roman"/>
          <w:kern w:val="0"/>
          <w:sz w:val="24"/>
        </w:rPr>
      </w:pPr>
    </w:p>
    <w:p>
      <w:pPr>
        <w:sectPr>
          <w:footerReference r:id="rId5"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3"/>
      <w:r>
        <w:rPr>
          <w:rFonts w:ascii="黑体" w:hAnsi="黑体" w:eastAsia="黑体" w:cs="黑体"/>
          <w:b w:val="0"/>
          <w:bCs w:val="0"/>
          <w:spacing w:val="0"/>
        </w:rPr>
        <w:t>一、单位主要职责</w:t>
      </w:r>
      <w:bookmarkEnd w:id="2"/>
    </w:p>
    <w:p>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上杭县博物馆单位的主要职责是：</w:t>
      </w:r>
    </w:p>
    <w:p>
      <w:pPr>
        <w:pStyle w:val="28"/>
        <w:widowControl/>
        <w:spacing w:before="100" w:after="100" w:line="560" w:lineRule="atLeast"/>
        <w:ind w:left="1058" w:leftChars="504" w:right="100" w:firstLine="6" w:firstLineChars="2"/>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（一）认真贯彻落实党的路线、方针、政策；</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（二）做好文物的收集与维护；</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（三）做好日常接待，认真对待各个单位的来访</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4"/>
      <w:r>
        <w:rPr>
          <w:rFonts w:ascii="黑体" w:hAnsi="黑体" w:eastAsia="黑体" w:cs="黑体"/>
          <w:b w:val="0"/>
          <w:bCs w:val="0"/>
          <w:spacing w:val="0"/>
        </w:rPr>
        <w:t>二、单位基本情况</w:t>
      </w:r>
      <w:bookmarkEnd w:id="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从决算单位构成看，本单位包括1个内设机构，其中：列入2025年决算编制范围的单位详细情况见下表:</w:t>
      </w:r>
    </w:p>
    <w:tbl>
      <w:tblPr>
        <w:tblStyle w:val="19"/>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2823"/>
        <w:gridCol w:w="7687"/>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2823"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7687"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23"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7687"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上杭县博物馆</w:t>
            </w:r>
          </w:p>
        </w:tc>
      </w:tr>
    </w:tbl>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5"/>
      <w:r>
        <w:rPr>
          <w:rFonts w:ascii="黑体" w:hAnsi="黑体" w:eastAsia="黑体" w:cs="黑体"/>
          <w:b w:val="0"/>
          <w:bCs w:val="0"/>
          <w:spacing w:val="0"/>
        </w:rPr>
        <w:t>三、单位主要工作总结</w:t>
      </w:r>
      <w:bookmarkEnd w:id="4"/>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2025年，上杭县博物馆单位主要任务是：坚持以习近平新时代中国特色社会主义思想为指引，全面贯彻落实党的二十大</w:t>
      </w:r>
      <w:r>
        <w:rPr>
          <w:rFonts w:hint="eastAsia" w:ascii="FangSong_GB2312" w:hAnsi="FangSong_GB2312" w:eastAsia="FangSong_GB2312" w:cs="FangSong_GB2312"/>
          <w:spacing w:val="0"/>
          <w:kern w:val="0"/>
          <w:sz w:val="32"/>
          <w:szCs w:val="32"/>
          <w:lang w:val="en-US" w:eastAsia="zh-CN"/>
        </w:rPr>
        <w:t>和</w:t>
      </w:r>
      <w:r>
        <w:rPr>
          <w:rFonts w:ascii="FangSong_GB2312" w:hAnsi="FangSong_GB2312" w:eastAsia="FangSong_GB2312" w:cs="FangSong_GB2312"/>
          <w:spacing w:val="0"/>
          <w:kern w:val="0"/>
          <w:sz w:val="32"/>
          <w:szCs w:val="32"/>
        </w:rPr>
        <w:t>二十届历次全会精神和习近平文化思想、习近平总书记关于文物保护利用的重要论述和重要指示批示精神围绕上述任务，重点完成了以下工作：</w:t>
      </w:r>
    </w:p>
    <w:p>
      <w:pPr>
        <w:pStyle w:val="28"/>
        <w:widowControl/>
        <w:numPr>
          <w:ilvl w:val="0"/>
          <w:numId w:val="1"/>
        </w:numPr>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坚持党建引领，筑牢思想根基</w:t>
      </w:r>
    </w:p>
    <w:p>
      <w:pPr>
        <w:pStyle w:val="28"/>
        <w:widowControl/>
        <w:numPr>
          <w:ilvl w:val="0"/>
          <w:numId w:val="1"/>
        </w:numPr>
        <w:spacing w:before="100" w:after="100" w:line="560" w:lineRule="atLeast"/>
        <w:ind w:left="100" w:leftChars="0" w:right="100" w:rightChars="0" w:firstLine="640" w:firstLineChars="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坚持守正创新，提升运营水平</w:t>
      </w:r>
    </w:p>
    <w:p>
      <w:pPr>
        <w:pStyle w:val="28"/>
        <w:widowControl/>
        <w:numPr>
          <w:ilvl w:val="0"/>
          <w:numId w:val="0"/>
        </w:numPr>
        <w:spacing w:before="100" w:after="100" w:line="560" w:lineRule="atLeast"/>
        <w:ind w:left="740" w:leftChars="0" w:right="100" w:rightChars="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（三）坚守安全底线，确保安定稳定</w:t>
      </w:r>
    </w:p>
    <w:p>
      <w:pPr>
        <w:sectPr>
          <w:footerReference r:id="rId6"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6"/>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2025年度单位决算表</w:t>
      </w:r>
      <w:bookmarkEnd w:id="5"/>
    </w:p>
    <w:p>
      <w:pPr>
        <w:pStyle w:val="29"/>
        <w:widowControl/>
        <w:spacing w:before="100" w:after="100"/>
        <w:ind w:left="100" w:right="100" w:firstLine="640"/>
        <w:jc w:val="center"/>
        <w:rPr>
          <w:rFonts w:ascii="Times New Roman" w:hAnsi="Times New Roman" w:eastAsia="Times New Roman" w:cs="Times New Roman"/>
          <w:kern w:val="0"/>
          <w:sz w:val="24"/>
        </w:rPr>
      </w:pPr>
    </w:p>
    <w:p>
      <w:pPr>
        <w:sectPr>
          <w:footerReference r:id="rId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7"/>
      <w:r>
        <w:rPr>
          <w:rFonts w:ascii="黑体" w:hAnsi="黑体" w:eastAsia="黑体" w:cs="黑体"/>
          <w:b w:val="0"/>
          <w:bCs w:val="0"/>
          <w:spacing w:val="0"/>
        </w:rPr>
        <w:t>一、收入支出决算总表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15159" w:type="dxa"/>
        <w:tblInd w:w="20" w:type="dxa"/>
        <w:tblLayout w:type="fixed"/>
        <w:tblCellMar>
          <w:top w:w="0" w:type="dxa"/>
          <w:left w:w="108" w:type="dxa"/>
          <w:bottom w:w="0" w:type="dxa"/>
          <w:right w:w="108" w:type="dxa"/>
        </w:tblCellMar>
      </w:tblPr>
      <w:tblGrid>
        <w:gridCol w:w="3789"/>
        <w:gridCol w:w="3790"/>
        <w:gridCol w:w="3790"/>
        <w:gridCol w:w="3790"/>
      </w:tblGrid>
      <w:tr>
        <w:tblPrEx>
          <w:tblCellMar>
            <w:top w:w="0" w:type="dxa"/>
            <w:left w:w="108" w:type="dxa"/>
            <w:bottom w:w="0" w:type="dxa"/>
            <w:right w:w="108" w:type="dxa"/>
          </w:tblCellMar>
        </w:tblPrEx>
        <w:trPr>
          <w:cantSplit/>
          <w:tblHeader/>
        </w:trPr>
        <w:tc>
          <w:tcPr>
            <w:tcW w:w="15159" w:type="dxa"/>
            <w:gridSpan w:val="4"/>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CellMar>
            <w:top w:w="0" w:type="dxa"/>
            <w:left w:w="108" w:type="dxa"/>
            <w:bottom w:w="0" w:type="dxa"/>
            <w:right w:w="108" w:type="dxa"/>
          </w:tblCellMar>
        </w:tblPrEx>
        <w:trPr>
          <w:cantSplit/>
          <w:tblHeader/>
        </w:trPr>
        <w:tc>
          <w:tcPr>
            <w:tcW w:w="7579"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CellMar>
            <w:top w:w="0" w:type="dxa"/>
            <w:left w:w="108" w:type="dxa"/>
            <w:bottom w:w="0" w:type="dxa"/>
            <w:right w:w="108" w:type="dxa"/>
          </w:tblCellMar>
        </w:tblPrEx>
        <w:trPr>
          <w:cantSplit/>
          <w:tblHeader/>
        </w:trPr>
        <w:tc>
          <w:tcPr>
            <w:tcW w:w="1136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7579"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758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CellMar>
            <w:top w:w="0" w:type="dxa"/>
            <w:left w:w="108" w:type="dxa"/>
            <w:bottom w:w="0" w:type="dxa"/>
            <w:right w:w="108" w:type="dxa"/>
          </w:tblCellMar>
        </w:tblPrEx>
        <w:trPr>
          <w:cantSplit/>
          <w:tblHeader/>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272.03</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68.89</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314.86</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278.03</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36.83</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314.86</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314.86</w:t>
            </w:r>
          </w:p>
        </w:tc>
      </w:tr>
      <w:tr>
        <w:tblPrEx>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注：1.本表反映单位本年度的总收支和年末结转结余情况。</w:t>
            </w:r>
          </w:p>
        </w:tc>
      </w:tr>
      <w:tr>
        <w:tblPrEx>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8"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58"/>
      <w:r>
        <w:rPr>
          <w:rFonts w:ascii="黑体" w:hAnsi="黑体" w:eastAsia="黑体" w:cs="黑体"/>
          <w:b w:val="0"/>
          <w:bCs w:val="0"/>
          <w:spacing w:val="0"/>
        </w:rPr>
        <w:t>二、收入决算表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19"/>
        <w:tblW w:w="15159" w:type="dxa"/>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CellMar>
            <w:top w:w="0" w:type="dxa"/>
            <w:left w:w="108" w:type="dxa"/>
            <w:bottom w:w="0" w:type="dxa"/>
            <w:right w:w="108" w:type="dxa"/>
          </w:tblCellMar>
        </w:tblPrEx>
        <w:trPr>
          <w:cantSplit/>
          <w:tblHeader/>
        </w:trPr>
        <w:tc>
          <w:tcPr>
            <w:tcW w:w="15159" w:type="dxa"/>
            <w:gridSpan w:val="11"/>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CellMar>
            <w:top w:w="0" w:type="dxa"/>
            <w:left w:w="108" w:type="dxa"/>
            <w:bottom w:w="0" w:type="dxa"/>
            <w:right w:w="108" w:type="dxa"/>
          </w:tblCellMar>
        </w:tblPrEx>
        <w:trPr>
          <w:cantSplit/>
          <w:tblHeader/>
        </w:trPr>
        <w:tc>
          <w:tcPr>
            <w:tcW w:w="1157"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CellMar>
            <w:top w:w="0" w:type="dxa"/>
            <w:left w:w="108" w:type="dxa"/>
            <w:bottom w:w="0" w:type="dxa"/>
            <w:right w:w="108" w:type="dxa"/>
          </w:tblCellMar>
        </w:tblPrEx>
        <w:trPr>
          <w:cantSplit/>
          <w:tblHeader/>
        </w:trPr>
        <w:tc>
          <w:tcPr>
            <w:tcW w:w="8447"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341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CellMar>
            <w:top w:w="0" w:type="dxa"/>
            <w:left w:w="108" w:type="dxa"/>
            <w:bottom w:w="0" w:type="dxa"/>
            <w:right w:w="108" w:type="dxa"/>
          </w:tblCellMar>
        </w:tblPrEx>
        <w:trPr>
          <w:cantSplit/>
          <w:tblHeader/>
        </w:trPr>
        <w:tc>
          <w:tcPr>
            <w:tcW w:w="173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73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7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314.86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68.89</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308.86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239.97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68.89</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308.86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239.97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68.89</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博物馆</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288.86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219.97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68.89</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5159" w:type="dxa"/>
            <w:gridSpan w:val="11"/>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注：本表反映单位本年度取得的各项收入情况。</w:t>
            </w:r>
          </w:p>
        </w:tc>
      </w:tr>
    </w:tbl>
    <w:p>
      <w:pPr>
        <w:sectPr>
          <w:footerReference r:id="rId9"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59"/>
      <w:r>
        <w:rPr>
          <w:rFonts w:ascii="黑体" w:hAnsi="黑体" w:eastAsia="黑体" w:cs="黑体"/>
          <w:b w:val="0"/>
          <w:bCs w:val="0"/>
          <w:spacing w:val="0"/>
        </w:rPr>
        <w:t>三、支出决算表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19"/>
        <w:tblW w:w="15159" w:type="dxa"/>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CellMar>
            <w:top w:w="0" w:type="dxa"/>
            <w:left w:w="108" w:type="dxa"/>
            <w:bottom w:w="0" w:type="dxa"/>
            <w:right w:w="108" w:type="dxa"/>
          </w:tblCellMar>
        </w:tblPrEx>
        <w:trPr>
          <w:cantSplit/>
          <w:tblHeader/>
        </w:trPr>
        <w:tc>
          <w:tcPr>
            <w:tcW w:w="3783"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278.03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177.03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101.00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272.03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177.03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272.03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177.03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博物馆</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252.03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177.03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注：本表反映单位本年度各项支出情况。</w:t>
            </w:r>
          </w:p>
        </w:tc>
      </w:tr>
    </w:tbl>
    <w:p>
      <w:pPr>
        <w:sectPr>
          <w:footerReference r:id="rId10"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0"/>
      <w:r>
        <w:rPr>
          <w:rFonts w:ascii="黑体" w:hAnsi="黑体" w:eastAsia="黑体" w:cs="黑体"/>
          <w:b w:val="0"/>
          <w:bCs w:val="0"/>
          <w:spacing w:val="0"/>
        </w:rPr>
        <w:t>四、财政拨款收入支出决算总表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15159" w:type="dxa"/>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CellMar>
            <w:top w:w="0" w:type="dxa"/>
            <w:left w:w="108" w:type="dxa"/>
            <w:bottom w:w="0" w:type="dxa"/>
            <w:right w:w="108" w:type="dxa"/>
          </w:tblCellMar>
        </w:tblPrEx>
        <w:trPr>
          <w:cantSplit/>
          <w:tblHeader/>
        </w:trPr>
        <w:tc>
          <w:tcPr>
            <w:tcW w:w="15159" w:type="dxa"/>
            <w:gridSpan w:val="7"/>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433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1082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CellMar>
            <w:top w:w="0" w:type="dxa"/>
            <w:left w:w="108" w:type="dxa"/>
            <w:bottom w:w="0" w:type="dxa"/>
            <w:right w:w="108" w:type="dxa"/>
          </w:tblCellMar>
        </w:tblPrEx>
        <w:trPr>
          <w:cantSplit/>
          <w:tblHeader/>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239.97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239.97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注：1.本表反映单位本年度一般公共预算财政拨款、政府性基金预算财政拨款和国有资本经营预算财政拨款的总收支和结转结余情况。</w:t>
            </w:r>
          </w:p>
        </w:tc>
      </w:tr>
      <w:tr>
        <w:tblPrEx>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1"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1"/>
      <w:r>
        <w:rPr>
          <w:rFonts w:ascii="黑体" w:hAnsi="黑体" w:eastAsia="黑体" w:cs="黑体"/>
          <w:b w:val="0"/>
          <w:bCs w:val="0"/>
          <w:spacing w:val="0"/>
        </w:rPr>
        <w:t>五、一般公共预算财政拨款支出决算表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19"/>
        <w:tblW w:w="15159" w:type="dxa"/>
        <w:tblInd w:w="20" w:type="dxa"/>
        <w:tblLayout w:type="fixed"/>
        <w:tblCellMar>
          <w:top w:w="0" w:type="dxa"/>
          <w:left w:w="108" w:type="dxa"/>
          <w:bottom w:w="0" w:type="dxa"/>
          <w:right w:w="108" w:type="dxa"/>
        </w:tblCellMar>
      </w:tblPr>
      <w:tblGrid>
        <w:gridCol w:w="1740"/>
        <w:gridCol w:w="3354"/>
        <w:gridCol w:w="3355"/>
        <w:gridCol w:w="3355"/>
        <w:gridCol w:w="3355"/>
      </w:tblGrid>
      <w:tr>
        <w:tblPrEx>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CellMar>
            <w:top w:w="0" w:type="dxa"/>
            <w:left w:w="108" w:type="dxa"/>
            <w:bottom w:w="0" w:type="dxa"/>
            <w:right w:w="108" w:type="dxa"/>
          </w:tblCellMar>
        </w:tblPrEx>
        <w:trPr>
          <w:cantSplit/>
          <w:tblHeader/>
        </w:trPr>
        <w:tc>
          <w:tcPr>
            <w:tcW w:w="5094"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55"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CellMar>
            <w:top w:w="0" w:type="dxa"/>
            <w:left w:w="108" w:type="dxa"/>
            <w:bottom w:w="0" w:type="dxa"/>
            <w:right w:w="108" w:type="dxa"/>
          </w:tblCellMar>
        </w:tblPrEx>
        <w:trPr>
          <w:cantSplit/>
          <w:tblHeader/>
        </w:trPr>
        <w:tc>
          <w:tcPr>
            <w:tcW w:w="844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006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CellMar>
            <w:top w:w="0" w:type="dxa"/>
            <w:left w:w="108" w:type="dxa"/>
            <w:bottom w:w="0" w:type="dxa"/>
            <w:right w:w="108" w:type="dxa"/>
          </w:tblCellMar>
        </w:tblPrEx>
        <w:trPr>
          <w:cantSplit/>
          <w:tblHeader/>
        </w:trPr>
        <w:tc>
          <w:tcPr>
            <w:tcW w:w="174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35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35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335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35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CellMar>
            <w:top w:w="0" w:type="dxa"/>
            <w:left w:w="108" w:type="dxa"/>
            <w:bottom w:w="0" w:type="dxa"/>
            <w:right w:w="108" w:type="dxa"/>
          </w:tblCellMar>
        </w:tblPrEx>
        <w:trPr>
          <w:cantSplit/>
          <w:tblHeader/>
        </w:trPr>
        <w:tc>
          <w:tcPr>
            <w:tcW w:w="174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245.97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144.97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101.00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239.97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144.97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95.00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239.97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144.97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95.00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博物馆</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219.97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144.97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75.00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r>
      <w:tr>
        <w:tblPrEx>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注：1.本表反映单位本年度一般公共预算财政拨款支出情况。</w:t>
            </w:r>
          </w:p>
        </w:tc>
      </w:tr>
      <w:tr>
        <w:tblPrEx>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2"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2"/>
      <w:r>
        <w:rPr>
          <w:rFonts w:ascii="黑体" w:hAnsi="黑体" w:eastAsia="黑体" w:cs="黑体"/>
          <w:b w:val="0"/>
          <w:bCs w:val="0"/>
          <w:spacing w:val="0"/>
        </w:rPr>
        <w:t>六、一般公共预算财政拨款基本支出决算表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15159" w:type="dxa"/>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CellMar>
            <w:top w:w="0" w:type="dxa"/>
            <w:left w:w="108" w:type="dxa"/>
            <w:bottom w:w="0" w:type="dxa"/>
            <w:right w:w="108" w:type="dxa"/>
          </w:tblCellMar>
        </w:tblPrEx>
        <w:trPr>
          <w:cantSplit/>
          <w:tblHeader/>
        </w:trPr>
        <w:tc>
          <w:tcPr>
            <w:tcW w:w="15159" w:type="dxa"/>
            <w:gridSpan w:val="9"/>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CellMar>
            <w:top w:w="0" w:type="dxa"/>
            <w:left w:w="108" w:type="dxa"/>
            <w:bottom w:w="0" w:type="dxa"/>
            <w:right w:w="108" w:type="dxa"/>
          </w:tblCellMar>
        </w:tblPrEx>
        <w:trPr>
          <w:cantSplit/>
          <w:tblHeader/>
        </w:trPr>
        <w:tc>
          <w:tcPr>
            <w:tcW w:w="6739"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CellMar>
            <w:top w:w="0" w:type="dxa"/>
            <w:left w:w="108" w:type="dxa"/>
            <w:bottom w:w="0" w:type="dxa"/>
            <w:right w:w="108" w:type="dxa"/>
          </w:tblCellMar>
        </w:tblPrEx>
        <w:trPr>
          <w:cantSplit/>
          <w:tblHeader/>
        </w:trPr>
        <w:tc>
          <w:tcPr>
            <w:tcW w:w="10107" w:type="dxa"/>
            <w:gridSpan w:val="6"/>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168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CellMar>
            <w:top w:w="0" w:type="dxa"/>
            <w:left w:w="108" w:type="dxa"/>
            <w:bottom w:w="0" w:type="dxa"/>
            <w:right w:w="108" w:type="dxa"/>
          </w:tblCellMar>
        </w:tblPrEx>
        <w:trPr>
          <w:cantSplit/>
          <w:tblHeader/>
        </w:trPr>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108.34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23.40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34.20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0.70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18.52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10.73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6.83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13.23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3.58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20.48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0.93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37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121.57</w:t>
            </w:r>
          </w:p>
        </w:tc>
        <w:tc>
          <w:tcPr>
            <w:tcW w:w="842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23.40</w:t>
            </w:r>
          </w:p>
        </w:tc>
      </w:tr>
      <w:tr>
        <w:tblPrEx>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注：1.本表反映单位本年度一般公共预算财政拨款基本支出明细情况。</w:t>
            </w:r>
          </w:p>
        </w:tc>
      </w:tr>
      <w:tr>
        <w:tblPrEx>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3"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3"/>
      <w:r>
        <w:rPr>
          <w:rFonts w:ascii="黑体" w:hAnsi="黑体" w:eastAsia="黑体" w:cs="黑体"/>
          <w:b w:val="0"/>
          <w:bCs w:val="0"/>
          <w:spacing w:val="0"/>
        </w:rPr>
        <w:t>七、一般公共预算财政拨款“三公”经费支出决算表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15159" w:type="dxa"/>
        <w:tblInd w:w="20" w:type="dxa"/>
        <w:tblLayout w:type="fixed"/>
        <w:tblCellMar>
          <w:top w:w="0" w:type="dxa"/>
          <w:left w:w="108" w:type="dxa"/>
          <w:bottom w:w="0" w:type="dxa"/>
          <w:right w:w="108" w:type="dxa"/>
        </w:tblCellMar>
      </w:tblPr>
      <w:tblGrid>
        <w:gridCol w:w="5053"/>
        <w:gridCol w:w="5053"/>
        <w:gridCol w:w="5053"/>
      </w:tblGrid>
      <w:tr>
        <w:tblPrEx>
          <w:tblCellMar>
            <w:top w:w="0" w:type="dxa"/>
            <w:left w:w="108" w:type="dxa"/>
            <w:bottom w:w="0" w:type="dxa"/>
            <w:right w:w="108" w:type="dxa"/>
          </w:tblCellMar>
        </w:tblPrEx>
        <w:trPr>
          <w:cantSplit/>
          <w:tblHeader/>
        </w:trPr>
        <w:tc>
          <w:tcPr>
            <w:tcW w:w="15159" w:type="dxa"/>
            <w:gridSpan w:val="3"/>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注：本单位2025年度没有使用一般公共预算财政拨款安排的“三公”经费支出。</w:t>
            </w:r>
          </w:p>
        </w:tc>
      </w:tr>
    </w:tbl>
    <w:p>
      <w:pPr>
        <w:sectPr>
          <w:footerReference r:id="rId14" w:type="default"/>
          <w:pgSz w:w="16383" w:h="11906" w:orient="landscape"/>
          <w:pgMar w:top="1134" w:right="720" w:bottom="1134" w:left="720" w:header="720" w:footer="720" w:gutter="0"/>
          <w:cols w:space="720" w:num="1"/>
        </w:sectPr>
      </w:pPr>
    </w:p>
    <w:p>
      <w:pPr>
        <w:pStyle w:val="28"/>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4"/>
      <w:r>
        <w:rPr>
          <w:rFonts w:ascii="黑体" w:hAnsi="黑体" w:eastAsia="黑体" w:cs="黑体"/>
          <w:b w:val="0"/>
          <w:bCs w:val="0"/>
          <w:spacing w:val="0"/>
        </w:rPr>
        <w:t>八、政府性基金预算财政拨款收入支出决算表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19"/>
        <w:tblW w:w="15159" w:type="dxa"/>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CellMar>
            <w:top w:w="0" w:type="dxa"/>
            <w:left w:w="108" w:type="dxa"/>
            <w:bottom w:w="0" w:type="dxa"/>
            <w:right w:w="108" w:type="dxa"/>
          </w:tblCellMar>
        </w:tblPrEx>
        <w:trPr>
          <w:cantSplit/>
          <w:tblHeader/>
        </w:trPr>
        <w:tc>
          <w:tcPr>
            <w:tcW w:w="1258"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29"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5688"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629"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CellMar>
            <w:top w:w="0" w:type="dxa"/>
            <w:left w:w="108" w:type="dxa"/>
            <w:bottom w:w="0" w:type="dxa"/>
            <w:right w:w="108" w:type="dxa"/>
          </w:tblCellMar>
        </w:tblPrEx>
        <w:trPr>
          <w:cantSplit/>
        </w:trPr>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注：本单位2025年度没有使用政府性基金预算财政拨款安排的收支。</w:t>
            </w:r>
          </w:p>
        </w:tc>
      </w:tr>
    </w:tbl>
    <w:p>
      <w:pPr>
        <w:sectPr>
          <w:footerReference r:id="rId15" w:type="default"/>
          <w:pgSz w:w="16383" w:h="11906" w:orient="landscape"/>
          <w:pgMar w:top="1134" w:right="720" w:bottom="1134" w:left="720" w:header="720" w:footer="720" w:gutter="0"/>
          <w:cols w:space="720" w:num="1"/>
        </w:sectPr>
      </w:pPr>
    </w:p>
    <w:p>
      <w:pPr>
        <w:pStyle w:val="28"/>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5"/>
      <w:r>
        <w:rPr>
          <w:rFonts w:ascii="黑体" w:hAnsi="黑体" w:eastAsia="黑体" w:cs="黑体"/>
          <w:b w:val="0"/>
          <w:bCs w:val="0"/>
          <w:spacing w:val="0"/>
        </w:rPr>
        <w:t>九、国有资本经营预算财政拨款支出决算表</w:t>
      </w:r>
      <w:bookmarkEnd w:id="14"/>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19"/>
        <w:tblW w:w="15159" w:type="dxa"/>
        <w:tblInd w:w="20" w:type="dxa"/>
        <w:tblLayout w:type="fixed"/>
        <w:tblCellMar>
          <w:top w:w="0" w:type="dxa"/>
          <w:left w:w="108" w:type="dxa"/>
          <w:bottom w:w="0" w:type="dxa"/>
          <w:right w:w="108" w:type="dxa"/>
        </w:tblCellMar>
      </w:tblPr>
      <w:tblGrid>
        <w:gridCol w:w="3031"/>
        <w:gridCol w:w="3032"/>
        <w:gridCol w:w="3032"/>
        <w:gridCol w:w="3032"/>
        <w:gridCol w:w="3032"/>
      </w:tblGrid>
      <w:tr>
        <w:tblPrEx>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CellMar>
            <w:top w:w="0" w:type="dxa"/>
            <w:left w:w="108" w:type="dxa"/>
            <w:bottom w:w="0" w:type="dxa"/>
            <w:right w:w="108" w:type="dxa"/>
          </w:tblCellMar>
        </w:tblPrEx>
        <w:trPr>
          <w:cantSplit/>
          <w:tblHeader/>
        </w:trPr>
        <w:tc>
          <w:tcPr>
            <w:tcW w:w="6063"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CellMar>
            <w:top w:w="0" w:type="dxa"/>
            <w:left w:w="108" w:type="dxa"/>
            <w:bottom w:w="0" w:type="dxa"/>
            <w:right w:w="108" w:type="dxa"/>
          </w:tblCellMar>
        </w:tblPrEx>
        <w:trPr>
          <w:cantSplit/>
          <w:tblHeader/>
        </w:trPr>
        <w:tc>
          <w:tcPr>
            <w:tcW w:w="12127"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编制单位：上杭县博物馆</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9096"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CellMar>
            <w:top w:w="0" w:type="dxa"/>
            <w:left w:w="108" w:type="dxa"/>
            <w:bottom w:w="0" w:type="dxa"/>
            <w:right w:w="108" w:type="dxa"/>
          </w:tblCellMar>
        </w:tblPrEx>
        <w:trPr>
          <w:cantSplit/>
          <w:tblHeader/>
        </w:trPr>
        <w:tc>
          <w:tcPr>
            <w:tcW w:w="3031"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CellMar>
            <w:top w:w="0" w:type="dxa"/>
            <w:left w:w="108" w:type="dxa"/>
            <w:bottom w:w="0" w:type="dxa"/>
            <w:right w:w="108" w:type="dxa"/>
          </w:tblCellMar>
        </w:tblPrEx>
        <w:trPr>
          <w:cantSplit/>
          <w:tblHeader/>
        </w:trPr>
        <w:tc>
          <w:tcPr>
            <w:tcW w:w="303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303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3031"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注：本单位2025年度没有使用国有资本经营预算财政拨款安排的支出。</w:t>
            </w:r>
          </w:p>
        </w:tc>
      </w:tr>
    </w:tbl>
    <w:p>
      <w:pPr>
        <w:sectPr>
          <w:footerReference r:id="rId16" w:type="default"/>
          <w:pgSz w:w="16383" w:h="11906" w:orient="landscape"/>
          <w:pgMar w:top="1134" w:right="720" w:bottom="1134" w:left="720" w:header="720" w:footer="720" w:gutter="0"/>
          <w:cols w:space="720" w:num="1"/>
        </w:sectPr>
      </w:pPr>
    </w:p>
    <w:p>
      <w:pPr>
        <w:pStyle w:val="28"/>
        <w:widowControl/>
        <w:spacing w:before="240" w:after="240"/>
        <w:jc w:val="left"/>
        <w:rPr>
          <w:rFonts w:ascii="Times New Roman" w:hAnsi="Times New Roman" w:eastAsia="Times New Roman" w:cs="Times New Roman"/>
          <w:kern w:val="0"/>
          <w:sz w:val="24"/>
        </w:rPr>
      </w:pPr>
      <w:r>
        <w:rPr>
          <w:rFonts w:ascii="黑体" w:hAnsi="黑体" w:eastAsia="黑体" w:cs="黑体"/>
          <w:spacing w:val="0"/>
          <w:kern w:val="0"/>
          <w:sz w:val="56"/>
          <w:szCs w:val="56"/>
        </w:rPr>
        <w:t> </w:t>
      </w: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6"/>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2025年度单位决算情况说明</w:t>
      </w:r>
      <w:bookmarkEnd w:id="15"/>
    </w:p>
    <w:p>
      <w:pPr>
        <w:pStyle w:val="28"/>
        <w:widowControl/>
        <w:spacing w:before="100" w:after="100" w:line="560" w:lineRule="atLeast"/>
        <w:ind w:left="100" w:right="100" w:firstLine="0"/>
        <w:jc w:val="center"/>
        <w:rPr>
          <w:rFonts w:ascii="Times New Roman" w:hAnsi="Times New Roman" w:eastAsia="Times New Roman" w:cs="Times New Roman"/>
          <w:kern w:val="0"/>
          <w:sz w:val="24"/>
        </w:rPr>
      </w:pPr>
    </w:p>
    <w:p>
      <w:pPr>
        <w:sectPr>
          <w:footerReference r:id="rId1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6" w:name="_Toc256000067"/>
      <w:r>
        <w:rPr>
          <w:rFonts w:ascii="黑体" w:hAnsi="黑体" w:eastAsia="黑体" w:cs="黑体"/>
          <w:b w:val="0"/>
          <w:bCs w:val="0"/>
          <w:spacing w:val="0"/>
        </w:rPr>
        <w:t>一、收入支出决算总体情况说明</w:t>
      </w:r>
      <w:bookmarkEnd w:id="16"/>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8"/>
        <w:widowControl/>
        <w:spacing w:before="100" w:after="100" w:line="560" w:lineRule="atLeast"/>
        <w:ind w:left="100" w:right="100"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spacing w:val="0"/>
          <w:kern w:val="0"/>
          <w:sz w:val="32"/>
          <w:szCs w:val="32"/>
        </w:rPr>
        <w:t>2025年度本单位收入总计314.86万元，支出总计314.86万元，与上年决算数相比，各减少158.73万元，</w:t>
      </w:r>
      <w:r>
        <w:rPr>
          <w:rFonts w:ascii="FangSong_GB2312" w:hAnsi="FangSong_GB2312" w:eastAsia="FangSong_GB2312" w:cs="FangSong_GB2312"/>
          <w:kern w:val="0"/>
          <w:sz w:val="32"/>
          <w:szCs w:val="32"/>
        </w:rPr>
        <w:t>下降</w:t>
      </w:r>
      <w:r>
        <w:rPr>
          <w:rFonts w:ascii="FangSong_GB2312" w:hAnsi="FangSong_GB2312" w:eastAsia="FangSong_GB2312" w:cs="FangSong_GB2312"/>
          <w:spacing w:val="0"/>
          <w:kern w:val="0"/>
          <w:sz w:val="32"/>
          <w:szCs w:val="32"/>
        </w:rPr>
        <w:t>33.52%。主要是项目资金减少</w:t>
      </w:r>
      <w:r>
        <w:rPr>
          <w:rFonts w:hint="eastAsia" w:ascii="FangSong_GB2312" w:hAnsi="FangSong_GB2312" w:eastAsia="FangSong_GB2312" w:cs="FangSong_GB2312"/>
          <w:spacing w:val="0"/>
          <w:kern w:val="0"/>
          <w:sz w:val="32"/>
          <w:szCs w:val="32"/>
          <w:lang w:eastAsia="zh-CN"/>
        </w:rPr>
        <w:t>。</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2025年度收入314.86万元，比上年决算数</w:t>
      </w:r>
      <w:r>
        <w:rPr>
          <w:rFonts w:ascii="FangSong_GB2312" w:hAnsi="FangSong_GB2312" w:eastAsia="FangSong_GB2312" w:cs="FangSong_GB2312"/>
          <w:kern w:val="0"/>
          <w:sz w:val="32"/>
          <w:szCs w:val="32"/>
        </w:rPr>
        <w:t>增加</w:t>
      </w:r>
      <w:r>
        <w:rPr>
          <w:rFonts w:ascii="FangSong_GB2312" w:hAnsi="FangSong_GB2312" w:eastAsia="FangSong_GB2312" w:cs="FangSong_GB2312"/>
          <w:spacing w:val="0"/>
          <w:kern w:val="0"/>
          <w:sz w:val="32"/>
          <w:szCs w:val="32"/>
        </w:rPr>
        <w:t>69.83万元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28.50%，具体情况如下：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1.一般公共预算财政拨款收入245.97万元。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8.其他收入68.89万元。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2025年度支出278.03万元，比上年决算数减少167.26万元，下降37.56%，具体情况如下：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1.基本支出177.03万元。其中，人员支出149.20万元，公用支出27.83万元。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2.项目支出101.00万元。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68"/>
      <w:r>
        <w:rPr>
          <w:rFonts w:ascii="黑体" w:hAnsi="黑体" w:eastAsia="黑体" w:cs="黑体"/>
          <w:b w:val="0"/>
          <w:bCs w:val="0"/>
          <w:spacing w:val="0"/>
        </w:rPr>
        <w:t>二、财政拨款收入支出决算总体情况说明</w:t>
      </w:r>
      <w:bookmarkEnd w:id="17"/>
    </w:p>
    <w:p>
      <w:pPr>
        <w:pStyle w:val="28"/>
        <w:widowControl/>
        <w:spacing w:before="100" w:after="100" w:line="560" w:lineRule="atLeast"/>
        <w:ind w:left="100" w:right="100"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spacing w:val="0"/>
          <w:kern w:val="0"/>
          <w:sz w:val="32"/>
          <w:szCs w:val="32"/>
        </w:rPr>
        <w:t>2025年度财政拨款收入总计245.97万元，支出总计245.97万元，与上年决算数相比，各减少156.03万元，下降38.81%，主要是：项目资金减少</w:t>
      </w:r>
      <w:r>
        <w:rPr>
          <w:rFonts w:hint="eastAsia" w:ascii="FangSong_GB2312" w:hAnsi="FangSong_GB2312" w:eastAsia="FangSong_GB2312" w:cs="FangSong_GB2312"/>
          <w:spacing w:val="0"/>
          <w:kern w:val="0"/>
          <w:sz w:val="32"/>
          <w:szCs w:val="32"/>
          <w:lang w:eastAsia="zh-CN"/>
        </w:rPr>
        <w:t>。</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69"/>
      <w:r>
        <w:rPr>
          <w:rFonts w:ascii="黑体" w:hAnsi="黑体" w:eastAsia="黑体" w:cs="黑体"/>
          <w:b w:val="0"/>
          <w:bCs w:val="0"/>
          <w:spacing w:val="0"/>
        </w:rPr>
        <w:t>三、一般公共预算财政拨款支出决算情况说明</w:t>
      </w:r>
      <w:bookmarkEnd w:id="18"/>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2025年度一般公共预算财政拨款支出245.97万元，比上年决算数减少156.03万元，下降38.81%，具体情况如下(按</w:t>
      </w:r>
      <w:r>
        <w:rPr>
          <w:rStyle w:val="30"/>
          <w:rFonts w:ascii="FangSong_GB2312" w:hAnsi="FangSong_GB2312" w:eastAsia="FangSong_GB2312" w:cs="FangSong_GB2312"/>
          <w:spacing w:val="0"/>
          <w:kern w:val="0"/>
          <w:sz w:val="32"/>
          <w:szCs w:val="32"/>
        </w:rPr>
        <w:t>项级科目</w:t>
      </w:r>
      <w:r>
        <w:rPr>
          <w:rFonts w:ascii="FangSong_GB2312" w:hAnsi="FangSong_GB2312" w:eastAsia="FangSong_GB2312" w:cs="FangSong_GB2312"/>
          <w:spacing w:val="0"/>
          <w:kern w:val="0"/>
          <w:sz w:val="32"/>
          <w:szCs w:val="32"/>
        </w:rPr>
        <w:t>分类统计)：</w:t>
      </w:r>
    </w:p>
    <w:p>
      <w:pPr>
        <w:pStyle w:val="28"/>
        <w:widowControl/>
        <w:spacing w:before="100" w:after="100" w:line="560" w:lineRule="atLeast"/>
        <w:ind w:left="100" w:right="100" w:firstLine="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spacing w:val="0"/>
          <w:kern w:val="0"/>
          <w:sz w:val="32"/>
          <w:szCs w:val="32"/>
        </w:rPr>
        <w:t>  （一）2070204 文物保护 20.00万元，较上年决算数增加20.00万元。主要原因是支出往年度临江楼保护规划合同款</w:t>
      </w:r>
      <w:r>
        <w:rPr>
          <w:rFonts w:hint="eastAsia" w:ascii="FangSong_GB2312" w:hAnsi="FangSong_GB2312" w:eastAsia="FangSong_GB2312" w:cs="FangSong_GB2312"/>
          <w:spacing w:val="0"/>
          <w:kern w:val="0"/>
          <w:sz w:val="32"/>
          <w:szCs w:val="32"/>
          <w:lang w:eastAsia="zh-CN"/>
        </w:rPr>
        <w:t>。</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  （二）2070205 博物馆 219.97万元，较上年决算数减少182.03万元，下降45.28%。主要原因是项目资金减少</w:t>
      </w:r>
      <w:r>
        <w:rPr>
          <w:rFonts w:hint="eastAsia" w:ascii="FangSong_GB2312" w:hAnsi="FangSong_GB2312" w:eastAsia="FangSong_GB2312" w:cs="FangSong_GB2312"/>
          <w:spacing w:val="0"/>
          <w:kern w:val="0"/>
          <w:sz w:val="32"/>
          <w:szCs w:val="32"/>
          <w:lang w:eastAsia="zh-CN"/>
        </w:rPr>
        <w:t>。</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  （三）2130599 其他巩固脱贫攻坚成果衔接乡村振兴支出 6.00万元，较上年决算数增加6.00万元。主要原因是</w:t>
      </w:r>
      <w:r>
        <w:rPr>
          <w:rFonts w:hint="eastAsia" w:ascii="FangSong_GB2312" w:hAnsi="FangSong_GB2312" w:eastAsia="FangSong_GB2312" w:cs="FangSong_GB2312"/>
          <w:spacing w:val="0"/>
          <w:kern w:val="0"/>
          <w:sz w:val="32"/>
          <w:szCs w:val="32"/>
          <w:lang w:val="en-US" w:eastAsia="zh-CN"/>
        </w:rPr>
        <w:t>增</w:t>
      </w:r>
      <w:bookmarkStart w:id="27" w:name="_GoBack"/>
      <w:bookmarkEnd w:id="27"/>
      <w:r>
        <w:rPr>
          <w:rFonts w:hint="eastAsia" w:ascii="FangSong_GB2312" w:hAnsi="FangSong_GB2312" w:eastAsia="FangSong_GB2312" w:cs="FangSong_GB2312"/>
          <w:spacing w:val="0"/>
          <w:kern w:val="0"/>
          <w:sz w:val="32"/>
          <w:szCs w:val="32"/>
          <w:lang w:val="en-US" w:eastAsia="zh-CN"/>
        </w:rPr>
        <w:t>加</w:t>
      </w:r>
      <w:r>
        <w:rPr>
          <w:rFonts w:ascii="FangSong_GB2312" w:hAnsi="FangSong_GB2312" w:eastAsia="FangSong_GB2312" w:cs="FangSong_GB2312"/>
          <w:spacing w:val="0"/>
          <w:kern w:val="0"/>
          <w:sz w:val="32"/>
          <w:szCs w:val="32"/>
        </w:rPr>
        <w:t>2025年省级少数民族补助资金</w:t>
      </w:r>
      <w:r>
        <w:rPr>
          <w:rFonts w:hint="eastAsia" w:ascii="FangSong_GB2312" w:hAnsi="FangSong_GB2312" w:eastAsia="FangSong_GB2312" w:cs="FangSong_GB2312"/>
          <w:spacing w:val="0"/>
          <w:kern w:val="0"/>
          <w:sz w:val="32"/>
          <w:szCs w:val="32"/>
          <w:lang w:eastAsia="zh-CN"/>
        </w:rPr>
        <w:t>。</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0"/>
      <w:r>
        <w:rPr>
          <w:rFonts w:ascii="黑体" w:hAnsi="黑体" w:eastAsia="黑体" w:cs="黑体"/>
          <w:b w:val="0"/>
          <w:bCs w:val="0"/>
          <w:spacing w:val="0"/>
        </w:rPr>
        <w:t>四、政府性基金预算财政拨款支出决算情况说明</w:t>
      </w:r>
      <w:bookmarkEnd w:id="19"/>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本单位2025年度没有使用政府性基金预算财政拨款安排的支出。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1"/>
      <w:r>
        <w:rPr>
          <w:rFonts w:ascii="黑体" w:hAnsi="黑体" w:eastAsia="黑体" w:cs="黑体"/>
          <w:b w:val="0"/>
          <w:bCs w:val="0"/>
          <w:spacing w:val="0"/>
        </w:rPr>
        <w:t>五、国有资本经营预算财政拨款支出决算情况说明</w:t>
      </w:r>
      <w:bookmarkEnd w:id="20"/>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本单位2025年度没有使用国有资本经营预算财政拨款安排的支出。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2"/>
      <w:r>
        <w:rPr>
          <w:rFonts w:ascii="黑体" w:hAnsi="黑体" w:eastAsia="黑体" w:cs="黑体"/>
          <w:b w:val="0"/>
          <w:bCs w:val="0"/>
          <w:spacing w:val="0"/>
        </w:rPr>
        <w:t>六、一般公共预算财政拨款基本支出决算情况说明</w:t>
      </w:r>
      <w:bookmarkEnd w:id="21"/>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2025年度一般公共预算财政拨款基本支出144.97万元，其中：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（一）人员经费121.57万元，主要包括：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（二）公用经费23.40万元，主要包括：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3"/>
      <w:r>
        <w:rPr>
          <w:rFonts w:ascii="黑体" w:hAnsi="黑体" w:eastAsia="黑体" w:cs="黑体"/>
          <w:b w:val="0"/>
          <w:bCs w:val="0"/>
          <w:spacing w:val="0"/>
        </w:rPr>
        <w:t>七、一般公共预算财政拨款“三公”经费支出决算情况说明</w:t>
      </w:r>
      <w:bookmarkEnd w:id="22"/>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2025年度一般公共预算财政拨款“三公”经费支出0万元，完成全年预算的0%；较上年减少0.47万元，下降100.00%。主要原因是</w:t>
      </w:r>
      <w:r>
        <w:rPr>
          <w:rFonts w:hint="eastAsia" w:ascii="FangSong_GB2312" w:hAnsi="FangSong_GB2312" w:eastAsia="FangSong_GB2312" w:cs="FangSong_GB2312"/>
          <w:spacing w:val="0"/>
          <w:kern w:val="0"/>
          <w:sz w:val="32"/>
          <w:szCs w:val="32"/>
          <w:lang w:val="en-US" w:eastAsia="zh-CN"/>
        </w:rPr>
        <w:t>严格遵守中央八项规定</w:t>
      </w:r>
      <w:r>
        <w:rPr>
          <w:rFonts w:ascii="FangSong_GB2312" w:hAnsi="FangSong_GB2312" w:eastAsia="FangSong_GB2312" w:cs="FangSong_GB2312"/>
          <w:kern w:val="0"/>
          <w:sz w:val="32"/>
          <w:szCs w:val="32"/>
        </w:rPr>
        <w:t>。</w:t>
      </w:r>
      <w:r>
        <w:rPr>
          <w:rFonts w:ascii="FangSong_GB2312" w:hAnsi="FangSong_GB2312" w:eastAsia="FangSong_GB2312" w:cs="FangSong_GB2312"/>
          <w:spacing w:val="0"/>
          <w:kern w:val="0"/>
          <w:sz w:val="32"/>
          <w:szCs w:val="32"/>
        </w:rPr>
        <w:t>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0万元，与全年预算数持平，与上年决算数持平。全年安排本单位组织的出国团组0个，参加其他单位出国团组0个；全年因公出国（境）累计0 人次。</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（二）公务用车购置及运行费支出0万元，与全年预算数持平，与上年决算数持平。</w:t>
      </w:r>
      <w:r>
        <w:rPr>
          <w:rFonts w:ascii="FangSong_GB2312" w:hAnsi="FangSong_GB2312" w:eastAsia="FangSong_GB2312" w:cs="FangSong_GB2312"/>
          <w:kern w:val="0"/>
          <w:sz w:val="32"/>
          <w:szCs w:val="32"/>
        </w:rPr>
        <w:t>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公务用车运行费支出0万元，与全年预算数持平，与上年决算数持平。截至2025年12月31日，本单位公务用车保有量为0辆。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（三）公务接待费支出0万元，完成全年预算的 0%；较上年减少0.47万元，下降100.00%。主要是严格控制公务接待。累计接待0批次、0人次。</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4"/>
      <w:r>
        <w:rPr>
          <w:rFonts w:ascii="黑体" w:hAnsi="黑体" w:eastAsia="黑体" w:cs="黑体"/>
          <w:b w:val="0"/>
          <w:bCs w:val="0"/>
          <w:spacing w:val="0"/>
        </w:rPr>
        <w:t>八、预算绩效情况说明</w:t>
      </w:r>
      <w:bookmarkEnd w:id="2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根据全面实施预算绩效管理要求，本单位组织对2025年度3个项目实施单位自评。</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4" w:name="_Toc256000075"/>
      <w:r>
        <w:rPr>
          <w:rFonts w:ascii="黑体" w:hAnsi="黑体" w:eastAsia="黑体" w:cs="黑体"/>
          <w:b w:val="0"/>
          <w:bCs w:val="0"/>
          <w:spacing w:val="0"/>
        </w:rPr>
        <w:t>九、其他重要事项说明</w:t>
      </w:r>
      <w:bookmarkEnd w:id="24"/>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（一）机关运行经费</w:t>
      </w:r>
      <w:r>
        <w:rPr>
          <w:rFonts w:ascii="楷体_GB2312" w:hAnsi="楷体_GB2312" w:eastAsia="楷体_GB2312" w:cs="楷体_GB2312"/>
          <w:spacing w:val="0"/>
          <w:kern w:val="0"/>
          <w:sz w:val="32"/>
          <w:szCs w:val="32"/>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本单位为事业单位没有机关运行经费。</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（二）政府采购情况</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本单位2025年度没有政府采购支出。</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（三）国有资产占用使用情况</w:t>
      </w:r>
      <w:r>
        <w:rPr>
          <w:rFonts w:ascii="楷体_GB2312" w:hAnsi="楷体_GB2312" w:eastAsia="楷体_GB2312" w:cs="楷体_GB2312"/>
          <w:spacing w:val="0"/>
          <w:kern w:val="0"/>
          <w:sz w:val="32"/>
          <w:szCs w:val="32"/>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截至2025年12月31日，本单位共有车辆0 辆，其中：副部（省）级以上领导用车0 辆、主要负责人用车0 辆、机要通信用车0辆、应急保障用车0辆、执法执勤用车0辆、特种专业技术用车0辆、离退休干部服务用车0辆、其他用车0辆；单价100万元（含）以上设备（不含车辆）0台（套）。  </w:t>
      </w:r>
      <w:r>
        <w:rPr>
          <w:rFonts w:ascii="宋体" w:hAnsi="宋体" w:eastAsia="宋体" w:cs="宋体"/>
          <w:spacing w:val="0"/>
          <w:kern w:val="0"/>
          <w:sz w:val="56"/>
          <w:szCs w:val="56"/>
        </w:rPr>
        <w:t xml:space="preserve"> </w:t>
      </w: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6"/>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5"/>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指单位从本级财政单位取得的财政预算资金，包括一般公共预算财政拨款、政府性基金预算财政拨款和国有资本经营预算财政拨款。</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8"/>
        <w:widowControl/>
        <w:spacing w:before="240" w:after="240"/>
        <w:ind w:firstLine="643"/>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3"/>
        <w:keepNext w:val="0"/>
        <w:keepLines w:val="0"/>
        <w:spacing w:before="299" w:after="299" w:line="240" w:lineRule="auto"/>
        <w:ind w:firstLine="0" w:firstLineChars="0"/>
        <w:jc w:val="center"/>
        <w:rPr>
          <w:rFonts w:ascii="Times New Roman" w:hAnsi="Times New Roman" w:eastAsia="Times New Roman" w:cs="Times New Roman"/>
          <w:b/>
          <w:bCs/>
          <w:kern w:val="0"/>
          <w:sz w:val="36"/>
          <w:szCs w:val="36"/>
        </w:rPr>
      </w:pPr>
      <w:bookmarkStart w:id="26" w:name="_Toc256000077"/>
      <w:r>
        <w:rPr>
          <w:rFonts w:ascii="黑体" w:hAnsi="黑体" w:eastAsia="黑体" w:cs="黑体"/>
          <w:b w:val="0"/>
          <w:bCs w:val="0"/>
          <w:sz w:val="56"/>
          <w:szCs w:val="56"/>
        </w:rPr>
        <w:t>第五部分</w:t>
      </w:r>
      <w:r>
        <w:rPr>
          <w:rFonts w:ascii="黑体" w:hAnsi="黑体" w:eastAsia="黑体" w:cs="黑体"/>
          <w:b w:val="0"/>
          <w:bCs w:val="0"/>
          <w:sz w:val="56"/>
          <w:szCs w:val="56"/>
        </w:rPr>
        <w:br w:type="textWrapping"/>
      </w:r>
      <w:r>
        <w:rPr>
          <w:rFonts w:ascii="黑体" w:hAnsi="黑体" w:eastAsia="黑体" w:cs="黑体"/>
          <w:b w:val="0"/>
          <w:bCs w:val="0"/>
          <w:sz w:val="56"/>
          <w:szCs w:val="56"/>
        </w:rPr>
        <w:t>附件</w:t>
      </w:r>
      <w:bookmarkEnd w:id="26"/>
    </w:p>
    <w:p>
      <w:pPr>
        <w:pStyle w:val="28"/>
        <w:widowControl/>
        <w:spacing w:before="240" w:after="240"/>
        <w:jc w:val="center"/>
        <w:rPr>
          <w:rFonts w:ascii="Times New Roman" w:hAnsi="Times New Roman" w:eastAsia="Times New Roman" w:cs="Times New Roman"/>
          <w:kern w:val="0"/>
          <w:sz w:val="24"/>
        </w:rPr>
      </w:pP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《项目支出绩效自评表》</w:t>
      </w:r>
    </w:p>
    <w:p>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b/>
          <w:bCs/>
          <w:kern w:val="0"/>
          <w:sz w:val="32"/>
          <w:szCs w:val="32"/>
        </w:rPr>
        <w:t>项目支出绩效自评表</w:t>
      </w:r>
    </w:p>
    <w:p>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kern w:val="0"/>
          <w:sz w:val="22"/>
          <w:szCs w:val="22"/>
        </w:rPr>
        <w:t>（2025年度）</w:t>
      </w:r>
    </w:p>
    <w:p>
      <w:pPr>
        <w:pageBreakBefore/>
      </w:pPr>
    </w:p>
    <w:tbl>
      <w:tblPr>
        <w:tblStyle w:val="19"/>
        <w:tblW w:w="100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4"/>
        <w:gridCol w:w="834"/>
        <w:gridCol w:w="834"/>
        <w:gridCol w:w="834"/>
        <w:gridCol w:w="833"/>
        <w:gridCol w:w="833"/>
        <w:gridCol w:w="833"/>
        <w:gridCol w:w="833"/>
        <w:gridCol w:w="833"/>
        <w:gridCol w:w="833"/>
        <w:gridCol w:w="16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0000" w:type="dxa"/>
            <w:gridSpan w:val="11"/>
            <w:tcMar>
              <w:left w:w="108" w:type="dxa"/>
              <w:right w:w="108" w:type="dxa"/>
            </w:tcMar>
            <w:vAlign w:val="center"/>
          </w:tcPr>
          <w:p>
            <w:pPr>
              <w:spacing w:before="0" w:after="0" w:line="240" w:lineRule="auto"/>
              <w:jc w:val="center"/>
              <w:textAlignment w:val="center"/>
            </w:pPr>
            <w:r>
              <w:rPr>
                <w:rFonts w:ascii="黑体" w:hAnsi="黑体" w:eastAsia="黑体" w:cs="黑体"/>
                <w:b w:val="0"/>
                <w:sz w:val="32"/>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0000" w:type="dxa"/>
            <w:gridSpan w:val="11"/>
            <w:tcMar>
              <w:left w:w="108" w:type="dxa"/>
              <w:right w:w="108" w:type="dxa"/>
            </w:tcMar>
            <w:vAlign w:val="center"/>
          </w:tcPr>
          <w:p>
            <w:pPr>
              <w:spacing w:before="0" w:after="0" w:line="240" w:lineRule="auto"/>
              <w:jc w:val="center"/>
              <w:textAlignment w:val="center"/>
            </w:pPr>
            <w:r>
              <w:rPr>
                <w:rFonts w:ascii="宋体" w:hAnsi="宋体" w:eastAsia="宋体" w:cs="宋体"/>
                <w:sz w:val="24"/>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sz w:val="24"/>
              </w:rPr>
              <w:t>专项名称</w:t>
            </w:r>
          </w:p>
        </w:tc>
        <w:tc>
          <w:tcPr>
            <w:tcW w:w="749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sz w:val="24"/>
              </w:rPr>
              <w:t>博物馆纪念馆免费开放补助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上杭县博物馆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8"/>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博物馆纪念馆免费开放补助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8"/>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75.00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75.00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75.00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75.00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确保博物馆正常运行，加强文物宣传工作，促进提高群众对文物保护意识；大力推进管理创新和制度创新，</w:t>
            </w:r>
            <w:r>
              <w:rPr>
                <w:rFonts w:hint="eastAsia" w:ascii="宋体" w:hAnsi="宋体" w:cs="宋体"/>
                <w:b w:val="0"/>
                <w:sz w:val="21"/>
                <w:lang w:eastAsia="zh-CN"/>
              </w:rPr>
              <w:t>积极稳妥推进政治体制改革</w:t>
            </w:r>
            <w:r>
              <w:rPr>
                <w:rFonts w:ascii="宋体" w:hAnsi="宋体" w:eastAsia="宋体" w:cs="宋体"/>
                <w:b w:val="0"/>
                <w:sz w:val="21"/>
              </w:rPr>
              <w:t>，培养综合素质高、创新能力强的人才。</w:t>
            </w:r>
          </w:p>
        </w:tc>
        <w:tc>
          <w:tcPr>
            <w:tcW w:w="499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确保博物馆正常运行，加强文物宣传工作，促进提高群众对文物保护意识；大力推进管理创新和制度创新，</w:t>
            </w:r>
            <w:r>
              <w:rPr>
                <w:rFonts w:hint="eastAsia" w:ascii="宋体" w:hAnsi="宋体" w:cs="宋体"/>
                <w:b w:val="0"/>
                <w:sz w:val="21"/>
                <w:lang w:eastAsia="zh-CN"/>
              </w:rPr>
              <w:t>积极稳妥推进政治体制改革</w:t>
            </w:r>
            <w:r>
              <w:rPr>
                <w:rFonts w:ascii="宋体" w:hAnsi="宋体" w:eastAsia="宋体" w:cs="宋体"/>
                <w:b w:val="0"/>
                <w:sz w:val="21"/>
              </w:rPr>
              <w:t>，培养综合素质高、创新能力强的人才。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博物馆参观人次</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≥20万人</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38</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无偏差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讲解人员业务水平情况</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无偏差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资金到位及时率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≥75万元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75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无偏差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资金预算完成率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≥75万元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75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无偏差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年度免费开放时间完成率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≥300天</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无偏差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≥85%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无偏差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7" w:hRule="atLeast"/>
          <w:tblHeader/>
        </w:trPr>
        <w:tc>
          <w:tcPr>
            <w:tcW w:w="10000" w:type="dxa"/>
            <w:gridSpan w:val="11"/>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0000" w:type="dxa"/>
            <w:gridSpan w:val="11"/>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专项名称</w:t>
            </w:r>
          </w:p>
        </w:tc>
        <w:tc>
          <w:tcPr>
            <w:tcW w:w="749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临江楼保护规划剩余合同款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上杭县博物馆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8"/>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临江楼保护规划剩余合同款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8"/>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形成保护规划方案</w:t>
            </w:r>
          </w:p>
        </w:tc>
        <w:tc>
          <w:tcPr>
            <w:tcW w:w="499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形成保护规划方案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形成保护规划方案</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=1项</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符合标准</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资金到位及时率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资金总投入</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资金预算完成率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≥85%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85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2" w:hRule="atLeast"/>
          <w:tblHeader/>
        </w:trPr>
        <w:tc>
          <w:tcPr>
            <w:tcW w:w="10000" w:type="dxa"/>
            <w:gridSpan w:val="11"/>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0000" w:type="dxa"/>
            <w:gridSpan w:val="11"/>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专项名称</w:t>
            </w:r>
          </w:p>
        </w:tc>
        <w:tc>
          <w:tcPr>
            <w:tcW w:w="749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2025年省级少数民族补助资金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上杭县博物馆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8"/>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2025年省级少数民族补助资金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8"/>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6.00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6.00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6.00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6.00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1.完善铸牢中华民族共同体意识教育基地的内涵。</w:t>
            </w:r>
            <w:r>
              <w:rPr>
                <w:rFonts w:ascii="宋体" w:hAnsi="宋体" w:eastAsia="宋体" w:cs="宋体"/>
                <w:b w:val="0"/>
                <w:sz w:val="21"/>
              </w:rPr>
              <w:br w:type="textWrapping"/>
            </w:r>
            <w:r>
              <w:rPr>
                <w:rFonts w:ascii="宋体" w:hAnsi="宋体" w:eastAsia="宋体" w:cs="宋体"/>
                <w:b w:val="0"/>
                <w:sz w:val="21"/>
              </w:rPr>
              <w:t>2.进一步宣传党和国家的民族政策，促进各民族交往交流交融，促进铸牢中华民族共同体意识深入人心。</w:t>
            </w:r>
            <w:r>
              <w:rPr>
                <w:rFonts w:ascii="宋体" w:hAnsi="宋体" w:eastAsia="宋体" w:cs="宋体"/>
                <w:b w:val="0"/>
                <w:sz w:val="21"/>
              </w:rPr>
              <w:br w:type="textWrapping"/>
            </w:r>
            <w:r>
              <w:rPr>
                <w:rFonts w:ascii="宋体" w:hAnsi="宋体" w:eastAsia="宋体" w:cs="宋体"/>
                <w:b w:val="0"/>
                <w:sz w:val="21"/>
              </w:rPr>
              <w:t>3.提升各族群众对“四个与共”、“五个认同”的认同度，构建各民族共有精神家园。</w:t>
            </w:r>
          </w:p>
        </w:tc>
        <w:tc>
          <w:tcPr>
            <w:tcW w:w="499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1.完善铸牢中华民族共同体意识教育基地的内涵。</w:t>
            </w:r>
            <w:r>
              <w:rPr>
                <w:rFonts w:ascii="宋体" w:hAnsi="宋体" w:eastAsia="宋体" w:cs="宋体"/>
                <w:b w:val="0"/>
                <w:sz w:val="21"/>
              </w:rPr>
              <w:br w:type="textWrapping"/>
            </w:r>
            <w:r>
              <w:rPr>
                <w:rFonts w:ascii="宋体" w:hAnsi="宋体" w:eastAsia="宋体" w:cs="宋体"/>
                <w:b w:val="0"/>
                <w:sz w:val="21"/>
              </w:rPr>
              <w:t>2.进一步宣传党和国家的民族政策，促进各民族交往交流交融，促进铸牢中华民族共同体意识深入人心。</w:t>
            </w:r>
            <w:r>
              <w:rPr>
                <w:rFonts w:ascii="宋体" w:hAnsi="宋体" w:eastAsia="宋体" w:cs="宋体"/>
                <w:b w:val="0"/>
                <w:sz w:val="21"/>
              </w:rPr>
              <w:br w:type="textWrapping"/>
            </w:r>
            <w:r>
              <w:rPr>
                <w:rFonts w:ascii="宋体" w:hAnsi="宋体" w:eastAsia="宋体" w:cs="宋体"/>
                <w:b w:val="0"/>
                <w:sz w:val="21"/>
              </w:rPr>
              <w:t>3.提升各族群众对“四个与共”、“五个认同”的认同度，构建各民族共有精神家园。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展厅参观人次</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≥10万人</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38</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符合标准</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资金到位及时率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=6万元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资金预算完成率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≥6万元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年度免费开放时间完成率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≥300天</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≥85%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bl>
    <w:p/>
    <w:p>
      <w:pPr>
        <w:pStyle w:val="28"/>
        <w:widowControl/>
        <w:spacing w:before="240" w:after="240" w:line="560" w:lineRule="atLeast"/>
        <w:ind w:firstLine="640"/>
        <w:jc w:val="left"/>
        <w:rPr>
          <w:rFonts w:ascii="Times New Roman" w:hAnsi="Times New Roman" w:eastAsia="Times New Roman" w:cs="Times New Roman"/>
          <w:kern w:val="0"/>
          <w:sz w:val="24"/>
        </w:rPr>
      </w:pPr>
    </w:p>
    <w:bookmarkEnd w:id="0"/>
    <w:p>
      <w:pPr>
        <w:keepNext w:val="0"/>
        <w:keepLines w:val="0"/>
        <w:pageBreakBefore w:val="0"/>
        <w:widowControl w:val="0"/>
        <w:tabs>
          <w:tab w:val="left" w:pos="8415"/>
        </w:tabs>
        <w:kinsoku/>
        <w:wordWrap/>
        <w:overflowPunct/>
        <w:topLinePunct w:val="0"/>
        <w:autoSpaceDE/>
        <w:autoSpaceDN/>
        <w:bidi w:val="0"/>
        <w:adjustRightInd/>
        <w:snapToGrid/>
        <w:textAlignment w:val="auto"/>
      </w:pPr>
    </w:p>
    <w:sectPr>
      <w:footerReference r:id="rId22" w:type="default"/>
      <w:pgSz w:w="11906" w:h="16838"/>
      <w:pgMar w:top="1984" w:right="1083" w:bottom="1984" w:left="1083"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 w:name="FangSong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6</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7</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10</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11</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15</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17</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18</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25</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26</w:t>
    </w:r>
    <w:r>
      <w:rPr>
        <w:rFonts w:ascii="宋体" w:hAnsi="宋体" w:eastAsia="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31</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8D66C"/>
    <w:multiLevelType w:val="singleLevel"/>
    <w:tmpl w:val="6B58D66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B7E0B"/>
    <w:rsid w:val="08A831F1"/>
    <w:rsid w:val="124C0121"/>
    <w:rsid w:val="2AA75ED1"/>
    <w:rsid w:val="2C237A66"/>
    <w:rsid w:val="414D74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20"/>
    <w:link w:val="5"/>
    <w:qFormat/>
    <w:uiPriority w:val="0"/>
    <w:rPr>
      <w:rFonts w:eastAsia="仿宋"/>
      <w:bCs/>
      <w:kern w:val="2"/>
      <w:sz w:val="32"/>
      <w:szCs w:val="32"/>
    </w:rPr>
  </w:style>
  <w:style w:type="character" w:customStyle="1" w:styleId="24">
    <w:name w:val="标题 4 字符"/>
    <w:basedOn w:val="20"/>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paragraph" w:customStyle="1" w:styleId="28">
    <w:name w:val="MsoNormal"/>
    <w:basedOn w:val="1"/>
    <w:qFormat/>
    <w:uiPriority w:val="0"/>
  </w:style>
  <w:style w:type="paragraph" w:customStyle="1" w:styleId="29">
    <w:name w:val="p"/>
    <w:basedOn w:val="1"/>
    <w:qFormat/>
    <w:uiPriority w:val="0"/>
  </w:style>
  <w:style w:type="character" w:customStyle="1" w:styleId="30">
    <w:name w:val="15"/>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34</Pages>
  <Words>20</Words>
  <Characters>35</Characters>
  <Lines>1</Lines>
  <Paragraphs>1</Paragraphs>
  <TotalTime>49</TotalTime>
  <ScaleCrop>false</ScaleCrop>
  <LinksUpToDate>false</LinksUpToDate>
  <CharactersWithSpaces>36</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2026-09-14T08:08:32Z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2052-11.8.2.8875</vt:lpwstr>
  </property>
  <property fmtid="{D5CDD505-2E9C-101B-9397-08002B2CF9AE}" pid="4" name="KSOTemplateDocerSaveRecord">
    <vt:lpwstr>eyJoZGlkIjoiMjBmNzFhNTE2ODA4NWNjMzY3MDUyM2Q1MGJjODVmODYiLCJ1c2VySWQiOiIzNzI5MDg1NDQifQ==</vt:lpwstr>
  </property>
</Properties>
</file>