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C0C8A">
      <w:pPr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2"/>
          <w:szCs w:val="32"/>
        </w:rPr>
        <w:t>附件5</w:t>
      </w:r>
    </w:p>
    <w:p w14:paraId="01513BAC">
      <w:pPr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2024</w:t>
      </w:r>
      <w:r>
        <w:rPr>
          <w:rFonts w:hint="eastAsia" w:ascii="方正小标宋简体" w:eastAsia="方正小标宋简体"/>
          <w:sz w:val="44"/>
          <w:szCs w:val="44"/>
        </w:rPr>
        <w:t>年度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上杭县</w:t>
      </w:r>
      <w:r>
        <w:rPr>
          <w:rFonts w:hint="eastAsia" w:ascii="方正小标宋简体" w:eastAsia="方正小标宋简体"/>
          <w:sz w:val="44"/>
          <w:szCs w:val="44"/>
        </w:rPr>
        <w:t>政府决算</w:t>
      </w:r>
    </w:p>
    <w:p w14:paraId="24E08F00">
      <w:pPr>
        <w:snapToGrid w:val="0"/>
        <w:spacing w:after="312" w:afterLines="10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相关重要事项说明</w:t>
      </w:r>
    </w:p>
    <w:p w14:paraId="46815404"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</w:t>
      </w:r>
      <w:r>
        <w:rPr>
          <w:rFonts w:hint="eastAsia" w:ascii="黑体" w:hAnsi="黑体" w:eastAsia="黑体" w:cs="Arial"/>
          <w:kern w:val="0"/>
          <w:sz w:val="32"/>
          <w:szCs w:val="32"/>
        </w:rPr>
        <w:t>县本级支出决算说明</w:t>
      </w:r>
    </w:p>
    <w:p w14:paraId="125D65DB"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上杭</w:t>
      </w:r>
      <w:r>
        <w:rPr>
          <w:rFonts w:hint="eastAsia" w:ascii="仿宋" w:hAnsi="仿宋" w:eastAsia="仿宋" w:cs="Arial"/>
          <w:kern w:val="0"/>
          <w:sz w:val="32"/>
          <w:szCs w:val="32"/>
        </w:rPr>
        <w:t>县本级一般公共预算支出决算数为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554946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万元，比上年</w:t>
      </w:r>
      <w:r>
        <w:rPr>
          <w:rFonts w:hint="eastAsia" w:ascii="仿宋" w:hAnsi="仿宋" w:eastAsia="仿宋"/>
          <w:kern w:val="0"/>
          <w:sz w:val="32"/>
          <w:szCs w:val="32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4467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减幅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0.8</w:t>
      </w:r>
      <w:r>
        <w:rPr>
          <w:rFonts w:hint="eastAsia" w:ascii="仿宋" w:hAnsi="仿宋" w:eastAsia="仿宋"/>
          <w:kern w:val="0"/>
          <w:sz w:val="32"/>
          <w:szCs w:val="32"/>
        </w:rPr>
        <w:t>%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。具体情况如下（分款级科目表述）：</w:t>
      </w:r>
    </w:p>
    <w:p w14:paraId="2846B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一）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201-一般公共服务支出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26992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1158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4.48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%。其中：</w:t>
      </w:r>
    </w:p>
    <w:p w14:paraId="404EE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20101-人大事务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1101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187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14.52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</w:t>
      </w:r>
    </w:p>
    <w:p w14:paraId="18E59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20102-政协事务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920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5.74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</w:t>
      </w:r>
    </w:p>
    <w:p w14:paraId="7137A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3.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20103-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政府办公厅（室）及相关机构事务科目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3972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238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5.65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%。</w:t>
      </w:r>
    </w:p>
    <w:p w14:paraId="3F1E1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4.20104-发展与改革事务科目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1476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274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15.66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主要是县预算安排的专项支出减少。</w:t>
      </w:r>
    </w:p>
    <w:p w14:paraId="477BC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5.20105-统计信息事务科目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955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4.5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</w:p>
    <w:p w14:paraId="46CD8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6.20106-财政事务科目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1936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277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减幅12.52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主要是县预算安排的专项支出减少。</w:t>
      </w:r>
    </w:p>
    <w:p w14:paraId="50F5A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20108-审计事务科目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920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增加21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增幅2.34%。</w:t>
      </w:r>
    </w:p>
    <w:p w14:paraId="2F09E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.20111-纪检监察事务科目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3217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增加315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增幅10.85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。主要是县预算安排的专项支出增加。</w:t>
      </w:r>
    </w:p>
    <w:p w14:paraId="32758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.20113-商贸事务科目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632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减少136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减幅17.71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主要是县预算安排的专项支出减少。</w:t>
      </w:r>
    </w:p>
    <w:p w14:paraId="0B6F8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10.20114-知识产权事务科目0万元，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减少25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2FE41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11.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20123-民族事务科目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261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增加47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增幅21.96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</w:p>
    <w:p w14:paraId="719E0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.20125-港澳台事务科目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120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增加83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增幅224.32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主要是今年新成立台办，县预算安排的专项支出增加。</w:t>
      </w:r>
    </w:p>
    <w:p w14:paraId="19D8A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.20126-档案事务科目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293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增加20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增幅7.33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</w:p>
    <w:p w14:paraId="5DE3D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.20128-民主党派及工商联事务科目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6.45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</w:p>
    <w:p w14:paraId="59151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.20129-群众团体事务科目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367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01697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.20131-党委办公厅（室）及相关机构事务科目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3000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增加74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增幅2.53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</w:p>
    <w:p w14:paraId="23DED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.20132-组织事务科目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1391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增加289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增幅26.23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主要原因是今年老干局并入组织部。</w:t>
      </w:r>
    </w:p>
    <w:p w14:paraId="448E1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.20133-宣传事务科目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835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增加30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增幅3.73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</w:p>
    <w:p w14:paraId="0B127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.20134-统战事务科目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492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增加56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增幅12.84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04BF9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.20136-其他共产党事务支出科目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561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减少205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减幅26.76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主要原因是今年老干局并入组织部。</w:t>
      </w:r>
    </w:p>
    <w:p w14:paraId="4D72E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.20138-市场监督管理事务科目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4169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增加1395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增幅50.29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主要原因是消化列支2023年预拨经费793.72万元。</w:t>
      </w:r>
    </w:p>
    <w:p w14:paraId="310E7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22.20139-社会工作事务科目78万元，较上年执行数增加78万元。主要原因是今年新成立社工部。</w:t>
      </w:r>
    </w:p>
    <w:p w14:paraId="0416D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23.20140-信访事务科目225万元，是本年新增科目。</w:t>
      </w:r>
    </w:p>
    <w:p w14:paraId="20A71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24.20199-其他一般公共服务支出科目0万元，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减少41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30CB3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（二）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203-国防支出科目159万元，较上年执行数减少132万元。其中：</w:t>
      </w:r>
    </w:p>
    <w:p w14:paraId="19BAE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1.20306-国防动员科目159万元，较上年执行数减少132万元。主要是省市专项支出减少。</w:t>
      </w:r>
    </w:p>
    <w:p w14:paraId="71C83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2.20399-其他国防支出科目0万元，较上年执行数减少5万元。主要是省市专项支出减少。</w:t>
      </w:r>
    </w:p>
    <w:p w14:paraId="55257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204-公共安全支出科目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25777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增加8001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增幅8.49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%。其中：</w:t>
      </w:r>
    </w:p>
    <w:p w14:paraId="306C2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1.20401-武装警察科目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218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较上年执行数增加50万元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主要是增加古田教导队水电费50万元。</w:t>
      </w:r>
    </w:p>
    <w:p w14:paraId="5B025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2.20402-公安科目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23167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增加8461万元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增幅57.53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主要原因是消化列支2023年预拨经费6256.47万元，以及省市专项支出增加2200万元。</w:t>
      </w:r>
    </w:p>
    <w:p w14:paraId="6733E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3.20404-检察科目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减少200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要是县级安排专项经费减少。</w:t>
      </w:r>
    </w:p>
    <w:p w14:paraId="2CF00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4.20405-法院科目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减少285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幅75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要是县级安排专项经费减少。</w:t>
      </w:r>
    </w:p>
    <w:p w14:paraId="4ECF2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5.20406-司法科目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2165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减少124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减幅5.42%。</w:t>
      </w:r>
    </w:p>
    <w:p w14:paraId="0D2BF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6.20499-其他公共安全支出科目132万元，较上年执行数增加99万元，增幅300%。</w:t>
      </w:r>
    </w:p>
    <w:p w14:paraId="4AC0D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）205-教育科目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129878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358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0.28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%。其中：</w:t>
      </w:r>
    </w:p>
    <w:p w14:paraId="64346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1.20501-教育管理事务科目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117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万元，减幅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46.58%。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要是县级安排专项经费减少。</w:t>
      </w:r>
    </w:p>
    <w:p w14:paraId="7D07B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2.20502-普通教育科目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104800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减少1822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1.71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6BC91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3.20503-职业教育科目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3288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减少410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减幅11.09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</w:p>
    <w:p w14:paraId="2A4EE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4.20507-特殊教育科目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690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减幅2.13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</w:p>
    <w:p w14:paraId="40035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5.20508-进修及培训科目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2524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减少231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8.38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69636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6.20509-教育费附加安排的支出科目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2060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减少1190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减幅36.62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是省市专项支出减少。</w:t>
      </w:r>
    </w:p>
    <w:p w14:paraId="37E40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7.20599-其他教育支出科目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16399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增加4128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增幅33.64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要是县级安排专项经费增加。</w:t>
      </w:r>
    </w:p>
    <w:p w14:paraId="3325E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）206-科学技术支出科目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32398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减少18398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36.22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%。其中：</w:t>
      </w:r>
    </w:p>
    <w:p w14:paraId="187A3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1.20601科学技术管理事务科目0万元，较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74FDA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2.20603应用研究科目0万元，较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减少27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07065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.20604-技术研究与开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1352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数增加822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增幅155.09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主要是省市专项支出增加。</w:t>
      </w:r>
    </w:p>
    <w:p w14:paraId="4B27E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.20605-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科技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条件与服务科目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30415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减少19374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减幅38.91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主要是县级预算安排的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产业发展扶持资金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减少19500万元。</w:t>
      </w:r>
    </w:p>
    <w:p w14:paraId="621AB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.20607-科学技术普及科目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294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2.33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</w:p>
    <w:p w14:paraId="73EDB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6.20609-科技重大项目科目150万元，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增加150万元。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要是省市专项支出增加。</w:t>
      </w:r>
    </w:p>
    <w:p w14:paraId="66AD5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.20699-其他科学技术支出科目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175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增加34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增幅24.11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主要是省市专项支出增加。</w:t>
      </w:r>
    </w:p>
    <w:p w14:paraId="2F342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）207-文化旅游体育与传媒支出科目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11071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减少131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减幅1.17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%。其中：</w:t>
      </w:r>
    </w:p>
    <w:p w14:paraId="20F2A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1.20701-文化和旅游科目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4131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减少500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减幅10.8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主要是省市专项支出减少。</w:t>
      </w:r>
    </w:p>
    <w:p w14:paraId="12686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2.20702-文物科目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1957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减少179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减幅8.38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</w:p>
    <w:p w14:paraId="1FF0D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3.20703-体育科目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减少348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减幅89.92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要是县级安排专项经费增加。</w:t>
      </w:r>
    </w:p>
    <w:p w14:paraId="74B8E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.20708-广播电视科目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1504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增加445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42.02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主要是省市专项支出增加。</w:t>
      </w:r>
    </w:p>
    <w:p w14:paraId="2DAB3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.20799-其他文化旅游体育与传媒支出科目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3440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增加451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增幅15.09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</w:p>
    <w:p w14:paraId="24A46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）208-社会保障和就业支出科目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83476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增加16497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增幅24.63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%。其中：</w:t>
      </w:r>
    </w:p>
    <w:p w14:paraId="356DA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1.20801-人力资源和社会保障管理事务科目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1439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减少308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减幅17.63%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要是县级安排专项经费减少。</w:t>
      </w:r>
    </w:p>
    <w:p w14:paraId="09C8F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2.20802-民政管理事务科目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1413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减少241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减幅14.57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是省市专项支出减少。</w:t>
      </w:r>
    </w:p>
    <w:p w14:paraId="2E9A7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yellow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3.20805-行政事业单位养老支出科目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19110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增加5647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增幅41.97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要是机关保基数提高。</w:t>
      </w:r>
    </w:p>
    <w:p w14:paraId="09F62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4.20807-就业补助科目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1560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减少217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减幅12.21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主要是省市专项支出减少。</w:t>
      </w:r>
    </w:p>
    <w:p w14:paraId="481BF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5.20808-抚恤科目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4379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增加34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0.78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</w:p>
    <w:p w14:paraId="7101F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6.20809-退役安置科目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992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增加83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增幅9.13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</w:p>
    <w:p w14:paraId="08C3F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7.20810-社会福利科目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3114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增加1568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增幅101.42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%。主要是省市专项支出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5C5C4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8.20811-残疾人事业科目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3189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0.28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</w:p>
    <w:p w14:paraId="48FF1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9.20816-红十字事业科目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1.3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05370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10.20819-最低生活保障科目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减少2250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减幅100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主要原因是本年最低生活保障在20899-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其他社会保障和就业支出科目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61C82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11.20820-临时救助科目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减幅100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主要原因是本年最低生活保障在20899-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其他社会保障和就业支出科目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28BC7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.20826-财政对基本养老保险基金的补助科目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23668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2489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11.75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</w:p>
    <w:p w14:paraId="3F012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.20828-退役军人管理事务科目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569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增加138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增幅32.02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要是县级安排专项经费增加。</w:t>
      </w:r>
    </w:p>
    <w:p w14:paraId="2618A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15.20830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财政代缴社会保险费支出148万元，较上年执行数增加2万元，增幅1.37%。</w:t>
      </w:r>
    </w:p>
    <w:p w14:paraId="049A4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.20899-其他社会保障和就业支出科目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23819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增加9646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增幅68.06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%。主要是最低生活保障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在本科目列支，一般债安排的支出增加3000万元。</w:t>
      </w:r>
    </w:p>
    <w:p w14:paraId="3A592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）210-卫生健康支出科目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27934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减少1783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%。其中：</w:t>
      </w:r>
    </w:p>
    <w:p w14:paraId="4FADA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1.21001-卫生健康管理事务科目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842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减少163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减幅16.22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%。主要是省市专项支出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66E69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2.21002-公立医院科目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4488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增加1318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增幅41.58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1FBBC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3.21003-基层医疗卫生机构科目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10367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减少122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1.16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</w:p>
    <w:p w14:paraId="75065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4.21004-公共卫生科目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6031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减少2843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32.04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114AD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.21007-计划生育事务科目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4040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增加486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增幅13.67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</w:p>
    <w:p w14:paraId="691F0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.21011-行政事业单位医疗科目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持平。</w:t>
      </w:r>
    </w:p>
    <w:p w14:paraId="73E84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.21013-医疗救助科目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1074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减少558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减幅34.19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215AA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 w14:paraId="579B3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.21014-优抚对象医疗科目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减幅32.76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</w:p>
    <w:p w14:paraId="17420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9.21017-中医药事务科目347万元，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增加189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增幅119.62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528CB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10.21018-疾病防控事务科目34万元，较上年执行数增加34万元。</w:t>
      </w:r>
    </w:p>
    <w:p w14:paraId="59B7F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.21099-其他卫生健康支出科目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372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减少105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减幅22.01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%。主要是省市专项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支出减少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3A62A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九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）211-节能环保支出科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10668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减少5671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减幅34.71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%。其中：</w:t>
      </w:r>
    </w:p>
    <w:p w14:paraId="5AE19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1.21101-环境保护管理事务科目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152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减少485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减幅76.14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7598DD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.21103-污染防治科目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3907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减少7315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减幅65.18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%。主要原因是省市专项支出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649F5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.21104-自然生态保护科目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1586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增加948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增幅148.59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%。主要原因是省市专项支出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59C62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.21105-天然林保护科目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725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增加341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增幅88.8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%。主要是省市专项支出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7ADD3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.21110-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能源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节约利用科目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192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减少161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减幅45.61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%。主要原因是省市专项支出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25B49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6.21111-污染减排科目2500万元，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增加500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6E0E5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7.21114-能源管理实务科目14万元，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减少163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2EA9F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.21199-其他节能环保支出科目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1592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增加664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增幅71.55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45915A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）212-城乡社区支出科目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57362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减少15494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21.27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%。其中：</w:t>
      </w:r>
    </w:p>
    <w:p w14:paraId="7FB9D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1.21201-城乡社区管理事务科目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5633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减少4997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减幅47.01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要是县级安排专项经费减少。</w:t>
      </w:r>
    </w:p>
    <w:p w14:paraId="2A9B7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2.21202-城乡社区规划与管理科目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875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减少710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减幅44.79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要是县级安排专项经费减少。</w:t>
      </w:r>
    </w:p>
    <w:p w14:paraId="2E7A6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3.21203-城乡社区公共设施科目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31948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减少22078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减幅40.87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要是县级安排专项经费减少。</w:t>
      </w:r>
    </w:p>
    <w:p w14:paraId="285D8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4.21205-城乡社区环境卫生科目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6292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增加660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增幅11.72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</w:p>
    <w:p w14:paraId="25B83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21299-其他城乡社区支出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12614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增加11631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增幅1183.21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要是县级安排专项经费增加。</w:t>
      </w:r>
    </w:p>
    <w:p w14:paraId="485E5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（十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）213-农林水支出科目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67107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增加1870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增幅2.87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%。其中：</w:t>
      </w:r>
    </w:p>
    <w:p w14:paraId="5B17A0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1.21301-农业农村科目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24359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减少2336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增幅10.04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主要是省市专项支出增加。</w:t>
      </w:r>
    </w:p>
    <w:p w14:paraId="6CDE2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2.21302-林业和草原科目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3308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减少7958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减幅70.64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主要是省市专项支出减少。</w:t>
      </w:r>
    </w:p>
    <w:p w14:paraId="11A83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3.21303-水利科目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19490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增加5470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增幅39.02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主要是省市专项支出增加。</w:t>
      </w:r>
    </w:p>
    <w:p w14:paraId="141EE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4.21305-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巩固脱贫衔接乡村振兴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15814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增加9527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增幅151.53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主要是省市专项支出增加。</w:t>
      </w:r>
    </w:p>
    <w:p w14:paraId="468B9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5.21307-农村综合改革科目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3378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增加159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增幅4.94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</w:p>
    <w:p w14:paraId="2CB52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6.21308-普惠金融发展支出科目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350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减少1387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减幅79.85%。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2C951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7.21399-其他农林水支出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408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减少1605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减幅79.73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%。主要是省市专项支出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131C4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（十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）214-交通运输支出科目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32305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增加8289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增幅34.51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%。其中：</w:t>
      </w:r>
    </w:p>
    <w:p w14:paraId="3B6F4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1.21401-公路水路运输科目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28059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增加15416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增幅121.93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3B95F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2.21402-铁路运输科目181万元，较上年执行数增加181万元。</w:t>
      </w:r>
    </w:p>
    <w:p w14:paraId="4F8BE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 .21403-民用航空运输科目10万元，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减少490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。主要是县级安排专项经费减少。</w:t>
      </w:r>
    </w:p>
    <w:p w14:paraId="6C506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.21406-车辆购置税支出科目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减少4594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万元。主要是省市专项支出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6E53B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5.21499-其他交通运输支出科目4055万元，较上年执行数减少2224万元，减幅35.42%。主要是省市专项支出减少。</w:t>
      </w:r>
    </w:p>
    <w:p w14:paraId="68FC0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（十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）215-资源勘探工业信息等支出科目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4095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减少2014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减幅32.97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%。其中：</w:t>
      </w:r>
    </w:p>
    <w:p w14:paraId="27BA4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1.21505-工业和信息产业监管科目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1692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增加267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增幅18.74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主要是省市专项支出增加。</w:t>
      </w:r>
    </w:p>
    <w:p w14:paraId="56171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21508-支持中小企业发展和管理支出科目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1682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数减少808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减幅32.45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主要是省市专项支出减少。</w:t>
      </w:r>
    </w:p>
    <w:p w14:paraId="782D3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.21599-其他资源勘探信息等支出科目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716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减少1478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减幅67.37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%。主要是省市专项支出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277B0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（十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）216-商业服务业等支出科目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8337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减少668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减幅7.42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%。其中：</w:t>
      </w:r>
    </w:p>
    <w:p w14:paraId="1BDFCB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1.21602-商业流通事务科目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1545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减少861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减幅35.79%。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2EBFD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2.21606-涉外发展服务支出科目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1324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减少723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减幅35.32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%。主要是省市专项支出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6D50E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3.21699-其他商业服务业等支出科目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5468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增加916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幅20.12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%。主要是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县级预算安排的专项支出增加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133FA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（十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）217-金融支出科目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730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增加608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增幅498.36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%。其中：</w:t>
      </w:r>
    </w:p>
    <w:p w14:paraId="2E218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1.21703-金融发展支出科目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730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增加608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增幅498.36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%。主要是省市专项支出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4C48C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（十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）220-自然资源海洋气象等支出科目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10053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增加1243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增幅14.11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%。其中：</w:t>
      </w:r>
    </w:p>
    <w:p w14:paraId="1E43B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1.22001-自然资源事务科目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9940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增加1356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增幅15.8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增加。</w:t>
      </w:r>
    </w:p>
    <w:p w14:paraId="53B8C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2.22005-气象事务科目113万元，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减少113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6C33C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（十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）221-住房保障支出科目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658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减少602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减幅47.78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%。其中：</w:t>
      </w:r>
    </w:p>
    <w:p w14:paraId="050C3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1.22101-保障性安居工程支出科目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658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减少602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减幅47.73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%。主要是省市专项支出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69312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（十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）222-粮油物资储备支出科目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996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减少856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减幅46.22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%。其中：</w:t>
      </w:r>
    </w:p>
    <w:p w14:paraId="07B49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1.22201-粮油事务科目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662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减少251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减幅27.49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%。主要是省市专项支出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减少。</w:t>
      </w:r>
    </w:p>
    <w:p w14:paraId="28B23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2.22204-粮油储备科目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310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减少349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减幅52.96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主要是上年县级预算安排的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储备粮（油）库建设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支出300万元。</w:t>
      </w:r>
    </w:p>
    <w:p w14:paraId="01764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3.22205-重要商品储备科目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减少256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91.43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%。主要是省市专项支出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减少。</w:t>
      </w:r>
    </w:p>
    <w:p w14:paraId="6027A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（十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）224-灾害防治及应急管理支出科目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12726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增加8935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235.69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%。其中：</w:t>
      </w:r>
    </w:p>
    <w:p w14:paraId="0E2B9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1.22401-应急管理事务科目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5408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数增加4153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增幅330.92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%。主要是省市专项支出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增加。</w:t>
      </w:r>
    </w:p>
    <w:p w14:paraId="78DD9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2.22402-消防事务科目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2286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增加1597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67.95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主要是列支2023年度预拨公用经费及县级专项支出合计924万元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001FF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3.22405-地震事务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持平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1CD9F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4.22406-自然灾害防治科目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118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减少788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减幅86.98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%。主要是省市专项支出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074E0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5.22407-自然灾害救灾及恢复重建支出科目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4892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增加4568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增幅1409.88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%。主要是省市专项支出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0509F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6.22499-其他灾害防治及应急管理支出科目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减少595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减幅97.22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%。主要是省市专项支出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4BB05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二十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）229-其他支出科目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1676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减少6045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减幅78.29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%。其中：</w:t>
      </w:r>
    </w:p>
    <w:p w14:paraId="7AC5F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1.22999-其他支出科目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1676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减少6045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减幅78.29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%。主要是省市专项支出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减少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</w:p>
    <w:p w14:paraId="58D51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（二十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）232-债务付息支出科目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10497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365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3.6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%。其中：</w:t>
      </w:r>
    </w:p>
    <w:p w14:paraId="171EA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1.23203-地方政府一般债务付息支出科目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10497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365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万元，增幅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3.6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</w:p>
    <w:p w14:paraId="2BF66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（二十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）233-债务发行费用支出科目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18.6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%。其中：</w:t>
      </w:r>
    </w:p>
    <w:p w14:paraId="25790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1.23303-地方政府一般债务发行费用支出科目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幅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18.6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%。</w:t>
      </w:r>
    </w:p>
    <w:p w14:paraId="00E46AEF"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二、财政转移支付安排情况</w:t>
      </w:r>
    </w:p>
    <w:p w14:paraId="0FE92D1E"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上杭县</w:t>
      </w:r>
      <w:r>
        <w:rPr>
          <w:rFonts w:hint="eastAsia" w:ascii="仿宋" w:hAnsi="仿宋" w:eastAsia="仿宋" w:cs="Arial"/>
          <w:kern w:val="0"/>
          <w:sz w:val="32"/>
          <w:szCs w:val="32"/>
        </w:rPr>
        <w:t>对下税收返还和转移支付决算数为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24321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3099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增幅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14.6</w:t>
      </w:r>
      <w:r>
        <w:rPr>
          <w:rFonts w:hint="eastAsia" w:ascii="仿宋" w:hAnsi="仿宋" w:eastAsia="仿宋"/>
          <w:kern w:val="0"/>
          <w:sz w:val="32"/>
          <w:szCs w:val="32"/>
        </w:rPr>
        <w:t>%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。具体情况如下：</w:t>
      </w:r>
    </w:p>
    <w:p w14:paraId="13236AD1">
      <w:pPr>
        <w:spacing w:line="600" w:lineRule="exact"/>
        <w:ind w:firstLine="640" w:firstLineChars="200"/>
        <w:rPr>
          <w:rStyle w:val="7"/>
          <w:rFonts w:ascii="楷体" w:hAnsi="楷体" w:eastAsia="楷体" w:cs="Arial"/>
          <w:kern w:val="0"/>
          <w:sz w:val="32"/>
          <w:szCs w:val="32"/>
        </w:rPr>
      </w:pPr>
      <w:r>
        <w:rPr>
          <w:rFonts w:hint="eastAsia" w:ascii="楷体" w:hAnsi="楷体" w:eastAsia="楷体" w:cs="Arial"/>
          <w:kern w:val="0"/>
          <w:sz w:val="32"/>
          <w:szCs w:val="32"/>
        </w:rPr>
        <w:t>（一）</w:t>
      </w:r>
      <w:r>
        <w:rPr>
          <w:rStyle w:val="7"/>
          <w:rFonts w:hint="eastAsia" w:ascii="楷体" w:hAnsi="楷体" w:eastAsia="楷体" w:cs="Arial"/>
          <w:b w:val="0"/>
          <w:kern w:val="0"/>
          <w:sz w:val="32"/>
          <w:szCs w:val="32"/>
        </w:rPr>
        <w:t>税收返还</w:t>
      </w:r>
    </w:p>
    <w:p w14:paraId="0CF78A20"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上杭县</w:t>
      </w:r>
      <w:r>
        <w:rPr>
          <w:rFonts w:hint="eastAsia" w:ascii="仿宋" w:hAnsi="仿宋" w:eastAsia="仿宋" w:cs="Arial"/>
          <w:kern w:val="0"/>
          <w:sz w:val="32"/>
          <w:szCs w:val="32"/>
        </w:rPr>
        <w:t>对下税收返还决算数为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与</w:t>
      </w:r>
      <w:r>
        <w:rPr>
          <w:rFonts w:hint="eastAsia" w:ascii="仿宋" w:hAnsi="仿宋" w:eastAsia="仿宋" w:cs="Arial"/>
          <w:kern w:val="0"/>
          <w:sz w:val="32"/>
          <w:szCs w:val="32"/>
        </w:rPr>
        <w:t>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持平。</w:t>
      </w:r>
    </w:p>
    <w:p w14:paraId="0B02E456">
      <w:pPr>
        <w:spacing w:line="600" w:lineRule="exact"/>
        <w:ind w:firstLine="640" w:firstLineChars="200"/>
        <w:rPr>
          <w:rStyle w:val="7"/>
          <w:rFonts w:ascii="楷体" w:hAnsi="楷体" w:eastAsia="楷体" w:cs="Arial"/>
          <w:b w:val="0"/>
          <w:kern w:val="0"/>
          <w:sz w:val="32"/>
          <w:szCs w:val="32"/>
        </w:rPr>
      </w:pPr>
      <w:r>
        <w:rPr>
          <w:rFonts w:hint="eastAsia" w:ascii="楷体" w:hAnsi="楷体" w:eastAsia="楷体" w:cs="Arial"/>
          <w:kern w:val="0"/>
          <w:sz w:val="32"/>
          <w:szCs w:val="32"/>
        </w:rPr>
        <w:t>（二）</w:t>
      </w:r>
      <w:r>
        <w:rPr>
          <w:rStyle w:val="7"/>
          <w:rFonts w:hint="eastAsia" w:ascii="楷体" w:hAnsi="楷体" w:eastAsia="楷体" w:cs="Arial"/>
          <w:b w:val="0"/>
          <w:kern w:val="0"/>
          <w:sz w:val="32"/>
          <w:szCs w:val="32"/>
        </w:rPr>
        <w:t>一般性转移支付</w:t>
      </w:r>
    </w:p>
    <w:p w14:paraId="557AC4CA"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上杭县</w:t>
      </w:r>
      <w:r>
        <w:rPr>
          <w:rFonts w:hint="eastAsia" w:ascii="仿宋" w:hAnsi="仿宋" w:eastAsia="仿宋" w:cs="Arial"/>
          <w:kern w:val="0"/>
          <w:sz w:val="32"/>
          <w:szCs w:val="32"/>
        </w:rPr>
        <w:t>对下一般转移支付决算数为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24321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3099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增幅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14.6</w:t>
      </w:r>
      <w:r>
        <w:rPr>
          <w:rFonts w:hint="eastAsia" w:ascii="仿宋" w:hAnsi="仿宋" w:eastAsia="仿宋"/>
          <w:kern w:val="0"/>
          <w:sz w:val="32"/>
          <w:szCs w:val="32"/>
        </w:rPr>
        <w:t>%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。具体情况如下（分项目表述）：</w:t>
      </w:r>
    </w:p>
    <w:p w14:paraId="7486C38C"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1.体制补助收入项目7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809</w:t>
      </w:r>
      <w:r>
        <w:rPr>
          <w:rFonts w:hint="eastAsia" w:ascii="仿宋" w:hAnsi="仿宋" w:eastAsia="仿宋"/>
          <w:kern w:val="0"/>
          <w:sz w:val="32"/>
          <w:szCs w:val="32"/>
        </w:rPr>
        <w:t>万元，较上年执行数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135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</w:t>
      </w:r>
      <w:r>
        <w:rPr>
          <w:rFonts w:hint="eastAsia" w:ascii="仿宋" w:hAnsi="仿宋" w:eastAsia="仿宋"/>
          <w:kern w:val="0"/>
          <w:sz w:val="32"/>
          <w:szCs w:val="32"/>
        </w:rPr>
        <w:t>幅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1.7</w:t>
      </w:r>
      <w:r>
        <w:rPr>
          <w:rFonts w:hint="eastAsia" w:ascii="仿宋" w:hAnsi="仿宋" w:eastAsia="仿宋"/>
          <w:kern w:val="0"/>
          <w:sz w:val="32"/>
          <w:szCs w:val="32"/>
        </w:rPr>
        <w:t>%。</w:t>
      </w:r>
    </w:p>
    <w:p w14:paraId="4A751059"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2.均衡性转移支付支出7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148</w:t>
      </w:r>
      <w:r>
        <w:rPr>
          <w:rFonts w:hint="eastAsia" w:ascii="仿宋" w:hAnsi="仿宋" w:eastAsia="仿宋"/>
          <w:kern w:val="0"/>
          <w:sz w:val="32"/>
          <w:szCs w:val="32"/>
        </w:rPr>
        <w:t>万元，较上年执行数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352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减幅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4.69</w:t>
      </w:r>
      <w:r>
        <w:rPr>
          <w:rFonts w:hint="eastAsia" w:ascii="仿宋" w:hAnsi="仿宋" w:eastAsia="仿宋"/>
          <w:kern w:val="0"/>
          <w:sz w:val="32"/>
          <w:szCs w:val="32"/>
        </w:rPr>
        <w:t>%。</w:t>
      </w:r>
    </w:p>
    <w:p w14:paraId="01CB0415">
      <w:pPr>
        <w:spacing w:line="600" w:lineRule="exact"/>
        <w:ind w:firstLine="640" w:firstLineChars="200"/>
        <w:rPr>
          <w:rStyle w:val="7"/>
          <w:rFonts w:ascii="楷体" w:hAnsi="楷体" w:eastAsia="楷体" w:cs="Arial"/>
          <w:kern w:val="0"/>
          <w:sz w:val="32"/>
          <w:szCs w:val="32"/>
        </w:rPr>
      </w:pPr>
      <w:r>
        <w:rPr>
          <w:rFonts w:hint="eastAsia" w:ascii="楷体" w:hAnsi="楷体" w:eastAsia="楷体" w:cs="Arial"/>
          <w:kern w:val="0"/>
          <w:sz w:val="32"/>
          <w:szCs w:val="32"/>
        </w:rPr>
        <w:t>（三）</w:t>
      </w:r>
      <w:r>
        <w:rPr>
          <w:rStyle w:val="7"/>
          <w:rFonts w:hint="eastAsia" w:ascii="楷体" w:hAnsi="楷体" w:eastAsia="楷体" w:cs="Arial"/>
          <w:b w:val="0"/>
          <w:kern w:val="0"/>
          <w:sz w:val="32"/>
          <w:szCs w:val="32"/>
        </w:rPr>
        <w:t>专项转移支付</w:t>
      </w:r>
    </w:p>
    <w:p w14:paraId="32F1DC27"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上杭县</w:t>
      </w:r>
      <w:r>
        <w:rPr>
          <w:rFonts w:hint="eastAsia" w:ascii="仿宋" w:hAnsi="仿宋" w:eastAsia="仿宋" w:cs="Arial"/>
          <w:kern w:val="0"/>
          <w:sz w:val="32"/>
          <w:szCs w:val="32"/>
        </w:rPr>
        <w:t>对下专项转移支付决算数为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9364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万元，比上年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3619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增幅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62.99</w:t>
      </w:r>
      <w:r>
        <w:rPr>
          <w:rFonts w:hint="eastAsia" w:ascii="仿宋" w:hAnsi="仿宋" w:eastAsia="仿宋"/>
          <w:kern w:val="0"/>
          <w:sz w:val="32"/>
          <w:szCs w:val="32"/>
        </w:rPr>
        <w:t>%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。具体情况如下（分项目表述）：</w:t>
      </w:r>
    </w:p>
    <w:p w14:paraId="6028FA0D"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其他支出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9364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万元，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较上年执行数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增加3619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增幅62.99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%。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 w14:paraId="15B4E9BC"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三、举借政府债务情况</w:t>
      </w:r>
    </w:p>
    <w:p w14:paraId="34A31CA6">
      <w:pPr>
        <w:pStyle w:val="2"/>
        <w:spacing w:line="600" w:lineRule="exact"/>
        <w:ind w:firstLine="616"/>
        <w:rPr>
          <w:rFonts w:ascii="楷体" w:hAnsi="楷体" w:eastAsia="楷体" w:cs="楷体"/>
          <w:b w:val="0"/>
          <w:bCs/>
          <w:snapToGrid w:val="0"/>
          <w:spacing w:val="-6"/>
          <w:kern w:val="0"/>
          <w:sz w:val="32"/>
        </w:rPr>
      </w:pPr>
      <w:r>
        <w:rPr>
          <w:rFonts w:hint="eastAsia" w:ascii="楷体" w:hAnsi="楷体" w:eastAsia="楷体" w:cs="楷体"/>
          <w:b w:val="0"/>
          <w:bCs/>
          <w:snapToGrid w:val="0"/>
          <w:spacing w:val="-6"/>
          <w:kern w:val="0"/>
          <w:sz w:val="32"/>
        </w:rPr>
        <w:t>（一）政府债务规模情况</w:t>
      </w:r>
    </w:p>
    <w:p w14:paraId="76EC27F7">
      <w:pPr>
        <w:spacing w:line="600" w:lineRule="exact"/>
        <w:ind w:firstLine="640" w:firstLineChars="200"/>
        <w:textAlignment w:val="center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年，省财政核定我县政府债务限额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132.97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亿元，其中，一般债务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34.48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亿元，专项债务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98.49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亿元。截至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年末，全县政府债务余额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126.09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亿元，其中：一般债务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32.71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亿元、专项债务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93.38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亿元，严格控制在核定的限额之内。</w:t>
      </w:r>
    </w:p>
    <w:p w14:paraId="5D258340">
      <w:pPr>
        <w:spacing w:line="600" w:lineRule="exact"/>
        <w:ind w:firstLine="640" w:firstLineChars="200"/>
        <w:textAlignment w:val="center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本级政府债务限额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132.97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亿元，其中，一般债务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34.48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亿元，专项债务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98.49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亿元。截至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年末，全县政府债务余额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126.09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亿元，其中：一般债务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32.71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亿元、专项债务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93.38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亿元，严格控制在核定的限额之内。</w:t>
      </w:r>
    </w:p>
    <w:p w14:paraId="74FE6F87">
      <w:pPr>
        <w:pStyle w:val="2"/>
        <w:spacing w:line="600" w:lineRule="exact"/>
        <w:ind w:firstLine="616"/>
        <w:rPr>
          <w:rFonts w:ascii="楷体" w:hAnsi="楷体" w:eastAsia="楷体" w:cs="楷体"/>
          <w:b w:val="0"/>
          <w:bCs/>
          <w:snapToGrid w:val="0"/>
          <w:spacing w:val="-6"/>
          <w:kern w:val="0"/>
          <w:sz w:val="32"/>
        </w:rPr>
      </w:pPr>
      <w:r>
        <w:rPr>
          <w:rFonts w:hint="eastAsia" w:ascii="楷体" w:hAnsi="楷体" w:eastAsia="楷体" w:cs="楷体"/>
          <w:b w:val="0"/>
          <w:bCs/>
          <w:snapToGrid w:val="0"/>
          <w:spacing w:val="-6"/>
          <w:kern w:val="0"/>
          <w:sz w:val="32"/>
        </w:rPr>
        <w:t>（二）政府债务期限结构情况</w:t>
      </w:r>
    </w:p>
    <w:p w14:paraId="315C7077">
      <w:pPr>
        <w:spacing w:line="600" w:lineRule="exact"/>
        <w:ind w:firstLine="640" w:firstLineChars="200"/>
        <w:textAlignment w:val="center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全县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年末政府债务余额中，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年到期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6.41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5.09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%；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年到期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7.27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5.76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%；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年到期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3.84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3.05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%；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年到期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7.42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5.88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%；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年及以后年度到期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101.15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80.22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%。</w:t>
      </w:r>
    </w:p>
    <w:p w14:paraId="3A8356F9">
      <w:pPr>
        <w:spacing w:line="600" w:lineRule="exact"/>
        <w:ind w:firstLine="640" w:firstLineChars="200"/>
        <w:textAlignment w:val="center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本级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年末政府债务余额中，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025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年到期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6.41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5.09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%；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年到期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7.27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5.76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%；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年到期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3.84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3.05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%；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年到期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7.42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5.88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%；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年及以后年度到期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101.15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80.22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%。</w:t>
      </w:r>
    </w:p>
    <w:p w14:paraId="06AF0A7E">
      <w:pPr>
        <w:pStyle w:val="2"/>
        <w:spacing w:line="600" w:lineRule="exact"/>
        <w:ind w:firstLine="616"/>
        <w:rPr>
          <w:rFonts w:ascii="楷体" w:hAnsi="楷体" w:eastAsia="楷体" w:cs="楷体"/>
          <w:b w:val="0"/>
          <w:bCs/>
          <w:snapToGrid w:val="0"/>
          <w:spacing w:val="-6"/>
          <w:kern w:val="0"/>
          <w:sz w:val="32"/>
          <w:highlight w:val="none"/>
        </w:rPr>
      </w:pPr>
      <w:r>
        <w:rPr>
          <w:rFonts w:hint="eastAsia" w:ascii="楷体" w:hAnsi="楷体" w:eastAsia="楷体" w:cs="楷体"/>
          <w:b w:val="0"/>
          <w:bCs/>
          <w:snapToGrid w:val="0"/>
          <w:spacing w:val="-6"/>
          <w:kern w:val="0"/>
          <w:sz w:val="32"/>
          <w:highlight w:val="none"/>
        </w:rPr>
        <w:t>（三）政府债券发行使用情况</w:t>
      </w:r>
    </w:p>
    <w:p w14:paraId="5B0DFE5F">
      <w:pPr>
        <w:spacing w:line="600" w:lineRule="exact"/>
        <w:ind w:firstLine="640" w:firstLineChars="200"/>
        <w:textAlignment w:val="center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年，全县由省级代为发行地方政府债券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13.83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亿元。其中：新增政府债券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7.71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</w:t>
      </w:r>
      <w:r>
        <w:rPr>
          <w:rFonts w:hint="eastAsia" w:ascii="仿宋" w:hAnsi="仿宋" w:eastAsia="仿宋" w:cs="仿宋"/>
          <w:snapToGrid/>
          <w:color w:val="000000"/>
          <w:kern w:val="2"/>
          <w:sz w:val="32"/>
          <w:szCs w:val="32"/>
          <w:lang w:val="en-US" w:eastAsia="zh-CN" w:bidi="ar-SA"/>
        </w:rPr>
        <w:t>用于上杭县东门大桥改建及道路连接线工程12000万元、上杭县蛟洋新材料产业园消防救援站及化工实训基地新建项目3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000万元、上杭艇安置暨临江楼国防教育基地建设项目500万元、上杭县农村生活污水整县治理工程（一期和二期）1508万元、上杭县农村公路改造工程2000万元、上杭三中教学综合楼（二)建设项目600万元、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上杭县中医院智慧康复建设项目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1350万元、上杭工业园区环保设施提升项目1350万元、福建上杭新材料科创谷一期建设项目6200万元、上杭县工业园区智慧信息产业园研发中心项目4983万元、上杭县公交场站建设工程1350万元、白砂镇乡村振兴产业园配套基础设施工程250万元、上杭县历史文化街区综合提升项目900万元、上杭县片区旅游基础配套工程2560万元、上杭县优质农产品仓储保鲜冷藏冷链配送项目2042万元、上杭县工业园区综合管理配套工程项目4666万元、太拔镇乡村振兴产业园配套基础设施工程280万元、上杭工业园区基础设施标准化建设工程2250万元、上杭县住建系统补短板建设工程6610万元、上杭蛟洋循环经济园区公共配套基础设施建设项目21600万元、上杭县幼儿园基础提升工程1125万元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。再融资债券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6.12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亿元，用于偿还到期地方政府债券本金。</w:t>
      </w:r>
    </w:p>
    <w:p w14:paraId="7FA28F0D">
      <w:pPr>
        <w:spacing w:line="600" w:lineRule="exact"/>
        <w:ind w:firstLine="640" w:firstLineChars="200"/>
        <w:textAlignment w:val="center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本级举借新增地方政府债券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7.71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</w:t>
      </w:r>
      <w:r>
        <w:rPr>
          <w:rFonts w:hint="eastAsia" w:ascii="仿宋" w:hAnsi="仿宋" w:eastAsia="仿宋" w:cs="仿宋"/>
          <w:snapToGrid/>
          <w:color w:val="000000"/>
          <w:kern w:val="2"/>
          <w:sz w:val="32"/>
          <w:szCs w:val="32"/>
          <w:lang w:val="en-US" w:eastAsia="zh-CN" w:bidi="ar-SA"/>
        </w:rPr>
        <w:t>用于上杭县东门大桥改建及道路连接线工程12000万元、上杭县蛟洋新材料产业园消防救援站及化工实训基地新建项目3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000万元、上杭艇安置暨临江楼国防教育基地建设项目500万元、上杭县农村生活污水整县治理工程（一期和二期）1508万元、上杭县农村公路改造工程2000万元、上杭三中教学综合楼（二)建设项目600万元、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上杭县中医院智慧康复建设项目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1350万元、上杭工业园区环保设施提升项目1350万元、福建上杭新材料科创谷一期建设项目6200万元、上杭县工业园区智慧信息产业园研发中心项目4983万元、上杭县公交场站建设工程1350万元、白砂镇乡村振兴产业园配套基础设施工程250万元、上杭县历史文化街区综合提升项目900万元、上杭县片区旅游基础配套工程2560万元、上杭县优质农产品仓储保鲜冷藏冷链配送项目2042万元、上杭县工业园区综合管理配套工程项目4666万元、太拔镇乡村振兴产业园配套基础设施工程280万元、上杭工业园区基础设施标准化建设工程2250万元、上杭县住建系统补短板建设工程6610万元、上杭蛟洋循环经济园区公共配套基础设施建设项目21600万元、上杭县幼儿园基础提升工程1125万元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。再融资债券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6.12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亿元，用于偿还到期地方政府债券本金。</w:t>
      </w:r>
    </w:p>
    <w:p w14:paraId="1CF14047">
      <w:pPr>
        <w:pStyle w:val="2"/>
        <w:spacing w:line="600" w:lineRule="exact"/>
        <w:ind w:firstLine="616"/>
        <w:rPr>
          <w:rFonts w:ascii="楷体" w:hAnsi="楷体" w:eastAsia="楷体" w:cs="楷体"/>
          <w:b w:val="0"/>
          <w:bCs/>
          <w:snapToGrid w:val="0"/>
          <w:spacing w:val="-6"/>
          <w:kern w:val="0"/>
          <w:sz w:val="32"/>
        </w:rPr>
      </w:pPr>
      <w:r>
        <w:rPr>
          <w:rFonts w:hint="eastAsia" w:ascii="楷体" w:hAnsi="楷体" w:eastAsia="楷体" w:cs="楷体"/>
          <w:b w:val="0"/>
          <w:bCs/>
          <w:snapToGrid w:val="0"/>
          <w:spacing w:val="-6"/>
          <w:kern w:val="0"/>
          <w:sz w:val="32"/>
        </w:rPr>
        <w:t>（四）政府债务还本付息情况</w:t>
      </w:r>
    </w:p>
    <w:p w14:paraId="687DDA5E">
      <w:pPr>
        <w:spacing w:line="600" w:lineRule="exact"/>
        <w:ind w:firstLine="640" w:firstLineChars="200"/>
        <w:textAlignment w:val="center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年，全县偿还政府债券本息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10.76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亿元，其中：本金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6.66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亿元、利息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4.10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亿元。</w:t>
      </w:r>
    </w:p>
    <w:p w14:paraId="0F14BCF8">
      <w:pPr>
        <w:spacing w:line="600" w:lineRule="exact"/>
        <w:ind w:firstLine="640" w:firstLineChars="200"/>
        <w:textAlignment w:val="center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本级偿还政府债券本息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10.76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亿元，其中：本金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6.66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亿元、利息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4.10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亿元。</w:t>
      </w:r>
    </w:p>
    <w:p w14:paraId="4A072B7D"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四、预算绩效开展情况</w:t>
      </w:r>
    </w:p>
    <w:p w14:paraId="53EE0FC6"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2024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年度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eastAsia="zh-CN"/>
        </w:rPr>
        <w:t>上杭县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严格贯彻落实《中共福建省委 福建省人民政府印发&lt;关于全面实施预算绩效管理的实施意见&gt;的通知》，做好全过程预算绩效管理工作。一是加强事前绩效审查，组织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61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个项目开展事前绩效评估，经审核，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37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个项目予以立项；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252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个项目按规定设置绩效目标，并随同部门预算同步批复。二是组织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1284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个项目开展事中绩效监控。三是组织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83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个部门开展绩效自评；市（县、区）财政部门对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个重点支出项目进行了财政重点评价，涉及财政资金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97407.21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万元，经评价，等级“优”的有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项，“良”的有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项；《财政评价报告》详见附件。</w:t>
      </w:r>
    </w:p>
    <w:p w14:paraId="410849E0"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07038956"/>
    </w:sdtPr>
    <w:sdtEndPr>
      <w:rPr>
        <w:rFonts w:ascii="宋体" w:hAnsi="宋体" w:eastAsia="宋体"/>
        <w:sz w:val="28"/>
        <w:szCs w:val="28"/>
      </w:rPr>
    </w:sdtEndPr>
    <w:sdtContent>
      <w:p w14:paraId="1D5796E6">
        <w:pPr>
          <w:pStyle w:val="3"/>
          <w:wordWrap w:val="0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3 -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49288864"/>
    </w:sdtPr>
    <w:sdtEndPr>
      <w:rPr>
        <w:rFonts w:ascii="宋体" w:hAnsi="宋体" w:eastAsia="宋体"/>
        <w:sz w:val="28"/>
        <w:szCs w:val="28"/>
      </w:rPr>
    </w:sdtEndPr>
    <w:sdtContent>
      <w:p w14:paraId="249E9B03">
        <w:pPr>
          <w:pStyle w:val="3"/>
          <w:ind w:firstLine="360" w:firstLineChars="200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4 -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A6"/>
    <w:rsid w:val="000204A3"/>
    <w:rsid w:val="00056889"/>
    <w:rsid w:val="00057A3C"/>
    <w:rsid w:val="00102DF0"/>
    <w:rsid w:val="002C114B"/>
    <w:rsid w:val="00313891"/>
    <w:rsid w:val="00332603"/>
    <w:rsid w:val="004D40CE"/>
    <w:rsid w:val="004D4BBE"/>
    <w:rsid w:val="005775D9"/>
    <w:rsid w:val="00580AD9"/>
    <w:rsid w:val="005D12B2"/>
    <w:rsid w:val="005F407E"/>
    <w:rsid w:val="006176FB"/>
    <w:rsid w:val="00651375"/>
    <w:rsid w:val="00766D49"/>
    <w:rsid w:val="00772083"/>
    <w:rsid w:val="007A0B3E"/>
    <w:rsid w:val="007A53DA"/>
    <w:rsid w:val="00834F54"/>
    <w:rsid w:val="009A382C"/>
    <w:rsid w:val="009D34A6"/>
    <w:rsid w:val="00A11DEF"/>
    <w:rsid w:val="00AB36C7"/>
    <w:rsid w:val="00AB7ADE"/>
    <w:rsid w:val="00B03E7C"/>
    <w:rsid w:val="00D905AB"/>
    <w:rsid w:val="00E469B6"/>
    <w:rsid w:val="00E93AAA"/>
    <w:rsid w:val="00EE575F"/>
    <w:rsid w:val="00F46868"/>
    <w:rsid w:val="00FC6FDA"/>
    <w:rsid w:val="00FF17A4"/>
    <w:rsid w:val="010713A4"/>
    <w:rsid w:val="011C6083"/>
    <w:rsid w:val="013F458E"/>
    <w:rsid w:val="022A39B1"/>
    <w:rsid w:val="022B277B"/>
    <w:rsid w:val="0285463B"/>
    <w:rsid w:val="03345D57"/>
    <w:rsid w:val="033C08F5"/>
    <w:rsid w:val="04854937"/>
    <w:rsid w:val="04BB418C"/>
    <w:rsid w:val="05175B3E"/>
    <w:rsid w:val="061C466E"/>
    <w:rsid w:val="061F360E"/>
    <w:rsid w:val="064B3CA9"/>
    <w:rsid w:val="06552E20"/>
    <w:rsid w:val="06C7746B"/>
    <w:rsid w:val="06CB67FF"/>
    <w:rsid w:val="072C3DE8"/>
    <w:rsid w:val="07775CFA"/>
    <w:rsid w:val="07E33732"/>
    <w:rsid w:val="0823224C"/>
    <w:rsid w:val="08E216F8"/>
    <w:rsid w:val="08F72481"/>
    <w:rsid w:val="0906535F"/>
    <w:rsid w:val="0A0E0E57"/>
    <w:rsid w:val="0A1D511E"/>
    <w:rsid w:val="0A2E3228"/>
    <w:rsid w:val="0B064AFA"/>
    <w:rsid w:val="0BA10FFA"/>
    <w:rsid w:val="0C0C7A60"/>
    <w:rsid w:val="0CA14A70"/>
    <w:rsid w:val="0CA16EF0"/>
    <w:rsid w:val="0D7614E2"/>
    <w:rsid w:val="0DA77A25"/>
    <w:rsid w:val="0DC0724B"/>
    <w:rsid w:val="0DC51CD4"/>
    <w:rsid w:val="0DEF7B64"/>
    <w:rsid w:val="0E1F5BD8"/>
    <w:rsid w:val="0E3655CA"/>
    <w:rsid w:val="0E5616CA"/>
    <w:rsid w:val="0F402B5C"/>
    <w:rsid w:val="0F5B0B71"/>
    <w:rsid w:val="0FC14183"/>
    <w:rsid w:val="10043D76"/>
    <w:rsid w:val="100E0FEB"/>
    <w:rsid w:val="107C3B4A"/>
    <w:rsid w:val="10E07F22"/>
    <w:rsid w:val="10EF5AE1"/>
    <w:rsid w:val="11164D79"/>
    <w:rsid w:val="11196B3F"/>
    <w:rsid w:val="11A83A63"/>
    <w:rsid w:val="11D579A7"/>
    <w:rsid w:val="11ED78D5"/>
    <w:rsid w:val="121C68A5"/>
    <w:rsid w:val="123162B5"/>
    <w:rsid w:val="12366987"/>
    <w:rsid w:val="12450C93"/>
    <w:rsid w:val="12B20DE4"/>
    <w:rsid w:val="12DF3836"/>
    <w:rsid w:val="138474D7"/>
    <w:rsid w:val="14160268"/>
    <w:rsid w:val="14666388"/>
    <w:rsid w:val="149F034B"/>
    <w:rsid w:val="14A163F3"/>
    <w:rsid w:val="14A34AF7"/>
    <w:rsid w:val="14B315C6"/>
    <w:rsid w:val="15BE5C67"/>
    <w:rsid w:val="15D74C38"/>
    <w:rsid w:val="15ED4037"/>
    <w:rsid w:val="16597803"/>
    <w:rsid w:val="16667C23"/>
    <w:rsid w:val="168966B5"/>
    <w:rsid w:val="168A6261"/>
    <w:rsid w:val="16D03BD0"/>
    <w:rsid w:val="17260145"/>
    <w:rsid w:val="17A45D2F"/>
    <w:rsid w:val="17C91006"/>
    <w:rsid w:val="180C71CD"/>
    <w:rsid w:val="187D376F"/>
    <w:rsid w:val="18DF7AEF"/>
    <w:rsid w:val="192321C1"/>
    <w:rsid w:val="19530921"/>
    <w:rsid w:val="195E6A82"/>
    <w:rsid w:val="198A5BEE"/>
    <w:rsid w:val="19CE6C6C"/>
    <w:rsid w:val="1A0C5981"/>
    <w:rsid w:val="1A7D1031"/>
    <w:rsid w:val="1AF20025"/>
    <w:rsid w:val="1B067E72"/>
    <w:rsid w:val="1B072941"/>
    <w:rsid w:val="1B3D4E82"/>
    <w:rsid w:val="1C3F2E45"/>
    <w:rsid w:val="1CBE60AC"/>
    <w:rsid w:val="1CDE1CC5"/>
    <w:rsid w:val="1D0C3E7A"/>
    <w:rsid w:val="1D7D4655"/>
    <w:rsid w:val="1D9F01F7"/>
    <w:rsid w:val="1DD440F8"/>
    <w:rsid w:val="1DDA0CBE"/>
    <w:rsid w:val="1DF9010C"/>
    <w:rsid w:val="1E0275EB"/>
    <w:rsid w:val="1E792256"/>
    <w:rsid w:val="1EBE6CFD"/>
    <w:rsid w:val="1EC957F3"/>
    <w:rsid w:val="1ED86510"/>
    <w:rsid w:val="1EE12907"/>
    <w:rsid w:val="1F3C3D1A"/>
    <w:rsid w:val="1F7C7420"/>
    <w:rsid w:val="1F953FAE"/>
    <w:rsid w:val="1FC86993"/>
    <w:rsid w:val="1FF104BF"/>
    <w:rsid w:val="201A576A"/>
    <w:rsid w:val="202F7768"/>
    <w:rsid w:val="203865BE"/>
    <w:rsid w:val="20660A4A"/>
    <w:rsid w:val="20744612"/>
    <w:rsid w:val="208F4F97"/>
    <w:rsid w:val="20AF42BC"/>
    <w:rsid w:val="20BA6A4D"/>
    <w:rsid w:val="20BE0E93"/>
    <w:rsid w:val="21014ED7"/>
    <w:rsid w:val="21106B24"/>
    <w:rsid w:val="2122552C"/>
    <w:rsid w:val="21320D98"/>
    <w:rsid w:val="218D015F"/>
    <w:rsid w:val="21C34A5C"/>
    <w:rsid w:val="21E43F08"/>
    <w:rsid w:val="21FD19B2"/>
    <w:rsid w:val="220B5743"/>
    <w:rsid w:val="22B015F8"/>
    <w:rsid w:val="22C10B18"/>
    <w:rsid w:val="237956EC"/>
    <w:rsid w:val="23B63F34"/>
    <w:rsid w:val="24247B21"/>
    <w:rsid w:val="24405655"/>
    <w:rsid w:val="24975C2C"/>
    <w:rsid w:val="24C0707F"/>
    <w:rsid w:val="25D56120"/>
    <w:rsid w:val="261752A7"/>
    <w:rsid w:val="264B7BBD"/>
    <w:rsid w:val="267E21E5"/>
    <w:rsid w:val="26F53AE9"/>
    <w:rsid w:val="27B3200A"/>
    <w:rsid w:val="287A0076"/>
    <w:rsid w:val="28E63673"/>
    <w:rsid w:val="29334647"/>
    <w:rsid w:val="29821461"/>
    <w:rsid w:val="29DA3AFE"/>
    <w:rsid w:val="2A1D02A2"/>
    <w:rsid w:val="2A2434B9"/>
    <w:rsid w:val="2A4F0B52"/>
    <w:rsid w:val="2A640458"/>
    <w:rsid w:val="2A7066E4"/>
    <w:rsid w:val="2A7B7D30"/>
    <w:rsid w:val="2A973CBE"/>
    <w:rsid w:val="2AEB596E"/>
    <w:rsid w:val="2B7D4167"/>
    <w:rsid w:val="2BC13D75"/>
    <w:rsid w:val="2BEF7447"/>
    <w:rsid w:val="2CCD2375"/>
    <w:rsid w:val="2CDB661A"/>
    <w:rsid w:val="2CDD3D6E"/>
    <w:rsid w:val="2CEF5BD8"/>
    <w:rsid w:val="2D87091C"/>
    <w:rsid w:val="2DBF6E9F"/>
    <w:rsid w:val="2DC4580F"/>
    <w:rsid w:val="2DDE3928"/>
    <w:rsid w:val="2E067D45"/>
    <w:rsid w:val="2E0F78FD"/>
    <w:rsid w:val="2E662278"/>
    <w:rsid w:val="2E700E9B"/>
    <w:rsid w:val="2EC716B1"/>
    <w:rsid w:val="2FA6595D"/>
    <w:rsid w:val="2FAB3315"/>
    <w:rsid w:val="305A369A"/>
    <w:rsid w:val="30AC4C11"/>
    <w:rsid w:val="30E024DD"/>
    <w:rsid w:val="314D4419"/>
    <w:rsid w:val="315D15FA"/>
    <w:rsid w:val="318554BC"/>
    <w:rsid w:val="31915965"/>
    <w:rsid w:val="31B22C39"/>
    <w:rsid w:val="31D728EC"/>
    <w:rsid w:val="324D45D2"/>
    <w:rsid w:val="325442DE"/>
    <w:rsid w:val="32B47BE4"/>
    <w:rsid w:val="3302055F"/>
    <w:rsid w:val="330C667C"/>
    <w:rsid w:val="33E00B8C"/>
    <w:rsid w:val="345E3FBA"/>
    <w:rsid w:val="350621E0"/>
    <w:rsid w:val="3510611E"/>
    <w:rsid w:val="354E5424"/>
    <w:rsid w:val="355B533C"/>
    <w:rsid w:val="359926A2"/>
    <w:rsid w:val="35E57082"/>
    <w:rsid w:val="36BC2DED"/>
    <w:rsid w:val="36CF487E"/>
    <w:rsid w:val="36D97B74"/>
    <w:rsid w:val="3728497E"/>
    <w:rsid w:val="37313270"/>
    <w:rsid w:val="37DA6FBF"/>
    <w:rsid w:val="381D449F"/>
    <w:rsid w:val="38C47BFF"/>
    <w:rsid w:val="38FA63C5"/>
    <w:rsid w:val="3905199E"/>
    <w:rsid w:val="3960380E"/>
    <w:rsid w:val="39BC4E82"/>
    <w:rsid w:val="3A431AA8"/>
    <w:rsid w:val="3AD86D7D"/>
    <w:rsid w:val="3B9B0EDF"/>
    <w:rsid w:val="3BA8542F"/>
    <w:rsid w:val="3BCE2185"/>
    <w:rsid w:val="3BDE4C09"/>
    <w:rsid w:val="3BED1C97"/>
    <w:rsid w:val="3BF82F50"/>
    <w:rsid w:val="3C133062"/>
    <w:rsid w:val="3C3534D8"/>
    <w:rsid w:val="3C7D6678"/>
    <w:rsid w:val="3C827875"/>
    <w:rsid w:val="3CA7601C"/>
    <w:rsid w:val="3CB4317B"/>
    <w:rsid w:val="3CE94E84"/>
    <w:rsid w:val="3D0E279C"/>
    <w:rsid w:val="3D1C51B2"/>
    <w:rsid w:val="3D203319"/>
    <w:rsid w:val="3D2A7D7C"/>
    <w:rsid w:val="3D5636B3"/>
    <w:rsid w:val="3D674D27"/>
    <w:rsid w:val="3D8E58E0"/>
    <w:rsid w:val="3DA628FD"/>
    <w:rsid w:val="3E7613D8"/>
    <w:rsid w:val="3E7B1BA8"/>
    <w:rsid w:val="3E8E1E8C"/>
    <w:rsid w:val="3F495FD3"/>
    <w:rsid w:val="3F705F57"/>
    <w:rsid w:val="3F940C79"/>
    <w:rsid w:val="3FD007B7"/>
    <w:rsid w:val="403B78F6"/>
    <w:rsid w:val="413B606A"/>
    <w:rsid w:val="41673B93"/>
    <w:rsid w:val="41BA124F"/>
    <w:rsid w:val="41DA238D"/>
    <w:rsid w:val="41E11641"/>
    <w:rsid w:val="42076EBB"/>
    <w:rsid w:val="426A3BA6"/>
    <w:rsid w:val="429C2C1C"/>
    <w:rsid w:val="42F55D87"/>
    <w:rsid w:val="439637CD"/>
    <w:rsid w:val="43C833AA"/>
    <w:rsid w:val="43F315B6"/>
    <w:rsid w:val="44765F24"/>
    <w:rsid w:val="44B07A93"/>
    <w:rsid w:val="44DA4F29"/>
    <w:rsid w:val="4506591E"/>
    <w:rsid w:val="45077DC5"/>
    <w:rsid w:val="455E0031"/>
    <w:rsid w:val="4584532C"/>
    <w:rsid w:val="45A03F48"/>
    <w:rsid w:val="45D84187"/>
    <w:rsid w:val="467D7C24"/>
    <w:rsid w:val="46BF058D"/>
    <w:rsid w:val="46C527FF"/>
    <w:rsid w:val="46F20757"/>
    <w:rsid w:val="470B6C70"/>
    <w:rsid w:val="476A4C59"/>
    <w:rsid w:val="479B4E29"/>
    <w:rsid w:val="47B26CF6"/>
    <w:rsid w:val="47D03E87"/>
    <w:rsid w:val="487655F7"/>
    <w:rsid w:val="48A14E86"/>
    <w:rsid w:val="48AC6964"/>
    <w:rsid w:val="48E461A6"/>
    <w:rsid w:val="48E56171"/>
    <w:rsid w:val="48E94D7B"/>
    <w:rsid w:val="495C0D94"/>
    <w:rsid w:val="49F60460"/>
    <w:rsid w:val="4AB90CED"/>
    <w:rsid w:val="4B2A1F9D"/>
    <w:rsid w:val="4B2D7460"/>
    <w:rsid w:val="4B862A8F"/>
    <w:rsid w:val="4C5E1C21"/>
    <w:rsid w:val="4CE86B10"/>
    <w:rsid w:val="4CED0EA5"/>
    <w:rsid w:val="4D113212"/>
    <w:rsid w:val="4D3F0C87"/>
    <w:rsid w:val="4D4D1950"/>
    <w:rsid w:val="4D6F2E8E"/>
    <w:rsid w:val="4D9009D8"/>
    <w:rsid w:val="4E0814A4"/>
    <w:rsid w:val="4E3033F2"/>
    <w:rsid w:val="4E98236D"/>
    <w:rsid w:val="4ECF6125"/>
    <w:rsid w:val="4EE14EA2"/>
    <w:rsid w:val="4F0E4277"/>
    <w:rsid w:val="4F2B7865"/>
    <w:rsid w:val="4F344059"/>
    <w:rsid w:val="4FCF3E80"/>
    <w:rsid w:val="4FF70835"/>
    <w:rsid w:val="4FF84888"/>
    <w:rsid w:val="5010782B"/>
    <w:rsid w:val="508D26D8"/>
    <w:rsid w:val="50AB2E72"/>
    <w:rsid w:val="50C009B4"/>
    <w:rsid w:val="50E63BFC"/>
    <w:rsid w:val="511A7E04"/>
    <w:rsid w:val="514F7F62"/>
    <w:rsid w:val="516530B3"/>
    <w:rsid w:val="51814338"/>
    <w:rsid w:val="51865B66"/>
    <w:rsid w:val="51A9611D"/>
    <w:rsid w:val="51B540F3"/>
    <w:rsid w:val="51BC7465"/>
    <w:rsid w:val="52654714"/>
    <w:rsid w:val="52DD7FBE"/>
    <w:rsid w:val="52E42EF1"/>
    <w:rsid w:val="531423EB"/>
    <w:rsid w:val="53C57A1C"/>
    <w:rsid w:val="53D63249"/>
    <w:rsid w:val="54064533"/>
    <w:rsid w:val="544C6097"/>
    <w:rsid w:val="546D2E01"/>
    <w:rsid w:val="54965941"/>
    <w:rsid w:val="54EE214A"/>
    <w:rsid w:val="550D2EB6"/>
    <w:rsid w:val="557F34CF"/>
    <w:rsid w:val="569D74DD"/>
    <w:rsid w:val="5706180D"/>
    <w:rsid w:val="57233AA1"/>
    <w:rsid w:val="57675359"/>
    <w:rsid w:val="577704A1"/>
    <w:rsid w:val="579D1423"/>
    <w:rsid w:val="57B76AE7"/>
    <w:rsid w:val="57CA7984"/>
    <w:rsid w:val="580C2149"/>
    <w:rsid w:val="58206930"/>
    <w:rsid w:val="584339FA"/>
    <w:rsid w:val="58772E81"/>
    <w:rsid w:val="5877755C"/>
    <w:rsid w:val="58C90696"/>
    <w:rsid w:val="592314BB"/>
    <w:rsid w:val="592A6935"/>
    <w:rsid w:val="59427817"/>
    <w:rsid w:val="596B1B7A"/>
    <w:rsid w:val="59E45CD2"/>
    <w:rsid w:val="59E82387"/>
    <w:rsid w:val="5A940C4B"/>
    <w:rsid w:val="5AA25F11"/>
    <w:rsid w:val="5AE77DFD"/>
    <w:rsid w:val="5BB115A3"/>
    <w:rsid w:val="5BB54CBD"/>
    <w:rsid w:val="5BB65735"/>
    <w:rsid w:val="5BD14229"/>
    <w:rsid w:val="5BE31866"/>
    <w:rsid w:val="5BE915C1"/>
    <w:rsid w:val="5C3B5EE7"/>
    <w:rsid w:val="5C924E36"/>
    <w:rsid w:val="5CC31FEC"/>
    <w:rsid w:val="5CDB1C1B"/>
    <w:rsid w:val="5D0B1BE8"/>
    <w:rsid w:val="5DC40A2B"/>
    <w:rsid w:val="5E2E2977"/>
    <w:rsid w:val="5E3F0E7C"/>
    <w:rsid w:val="5EC6144E"/>
    <w:rsid w:val="5ED02B74"/>
    <w:rsid w:val="5EF90457"/>
    <w:rsid w:val="5F150BEE"/>
    <w:rsid w:val="5F1D007F"/>
    <w:rsid w:val="5F577739"/>
    <w:rsid w:val="5FBF69B7"/>
    <w:rsid w:val="5FEA321F"/>
    <w:rsid w:val="5FEC2AFD"/>
    <w:rsid w:val="601315C4"/>
    <w:rsid w:val="605E7B7B"/>
    <w:rsid w:val="606568DB"/>
    <w:rsid w:val="60D15A7A"/>
    <w:rsid w:val="6139000C"/>
    <w:rsid w:val="6190044A"/>
    <w:rsid w:val="61E16089"/>
    <w:rsid w:val="61E93F2F"/>
    <w:rsid w:val="622F3802"/>
    <w:rsid w:val="625107E2"/>
    <w:rsid w:val="62763490"/>
    <w:rsid w:val="629813B7"/>
    <w:rsid w:val="63330193"/>
    <w:rsid w:val="63E91FD8"/>
    <w:rsid w:val="648506BB"/>
    <w:rsid w:val="649067EB"/>
    <w:rsid w:val="64CF3F80"/>
    <w:rsid w:val="64E25876"/>
    <w:rsid w:val="651749D2"/>
    <w:rsid w:val="65BD3C1C"/>
    <w:rsid w:val="65D20241"/>
    <w:rsid w:val="66291127"/>
    <w:rsid w:val="664B11F8"/>
    <w:rsid w:val="666D6065"/>
    <w:rsid w:val="668B6D1B"/>
    <w:rsid w:val="670E76F0"/>
    <w:rsid w:val="67A543C4"/>
    <w:rsid w:val="67AB2A90"/>
    <w:rsid w:val="67B36082"/>
    <w:rsid w:val="67E22798"/>
    <w:rsid w:val="6817767A"/>
    <w:rsid w:val="687603A7"/>
    <w:rsid w:val="68936CAF"/>
    <w:rsid w:val="691C2473"/>
    <w:rsid w:val="696A43BA"/>
    <w:rsid w:val="697C53D6"/>
    <w:rsid w:val="69AE7BE8"/>
    <w:rsid w:val="6A220AF4"/>
    <w:rsid w:val="6A5C6F0A"/>
    <w:rsid w:val="6AEA3BA7"/>
    <w:rsid w:val="6B432951"/>
    <w:rsid w:val="6B9F71B0"/>
    <w:rsid w:val="6BA32F2C"/>
    <w:rsid w:val="6BC0777E"/>
    <w:rsid w:val="6BE2602A"/>
    <w:rsid w:val="6BF24DE7"/>
    <w:rsid w:val="6C97037A"/>
    <w:rsid w:val="6CAE5891"/>
    <w:rsid w:val="6CC83D88"/>
    <w:rsid w:val="6D09403D"/>
    <w:rsid w:val="6DF46689"/>
    <w:rsid w:val="6E18083D"/>
    <w:rsid w:val="6E256B52"/>
    <w:rsid w:val="6E2F7389"/>
    <w:rsid w:val="6E547FCB"/>
    <w:rsid w:val="6E5B0549"/>
    <w:rsid w:val="6F3F11B2"/>
    <w:rsid w:val="6F4616CE"/>
    <w:rsid w:val="6F88191E"/>
    <w:rsid w:val="6FA06077"/>
    <w:rsid w:val="6FD552F4"/>
    <w:rsid w:val="70526AE2"/>
    <w:rsid w:val="70AB437B"/>
    <w:rsid w:val="70C7414D"/>
    <w:rsid w:val="70D123EA"/>
    <w:rsid w:val="70F02D3F"/>
    <w:rsid w:val="716859EC"/>
    <w:rsid w:val="71B65D2B"/>
    <w:rsid w:val="71CE661A"/>
    <w:rsid w:val="71D564C8"/>
    <w:rsid w:val="71D76B5C"/>
    <w:rsid w:val="72080AD2"/>
    <w:rsid w:val="72220C0C"/>
    <w:rsid w:val="72246F28"/>
    <w:rsid w:val="72A35E12"/>
    <w:rsid w:val="72BE6853"/>
    <w:rsid w:val="737F621E"/>
    <w:rsid w:val="73C109E9"/>
    <w:rsid w:val="73E92D7D"/>
    <w:rsid w:val="740A5DD3"/>
    <w:rsid w:val="74135633"/>
    <w:rsid w:val="74155FEB"/>
    <w:rsid w:val="74A2233C"/>
    <w:rsid w:val="74C928F5"/>
    <w:rsid w:val="74FE401E"/>
    <w:rsid w:val="75170F00"/>
    <w:rsid w:val="751E21F4"/>
    <w:rsid w:val="75297D0B"/>
    <w:rsid w:val="752E3BDB"/>
    <w:rsid w:val="75DB0282"/>
    <w:rsid w:val="75F1232D"/>
    <w:rsid w:val="76104C94"/>
    <w:rsid w:val="76127725"/>
    <w:rsid w:val="763F257C"/>
    <w:rsid w:val="76425702"/>
    <w:rsid w:val="76590B7A"/>
    <w:rsid w:val="76755232"/>
    <w:rsid w:val="768444DD"/>
    <w:rsid w:val="77247659"/>
    <w:rsid w:val="7761084B"/>
    <w:rsid w:val="79092C28"/>
    <w:rsid w:val="7929351A"/>
    <w:rsid w:val="79A93FED"/>
    <w:rsid w:val="7A09679C"/>
    <w:rsid w:val="7A234727"/>
    <w:rsid w:val="7A4E609E"/>
    <w:rsid w:val="7AC12872"/>
    <w:rsid w:val="7AE110BA"/>
    <w:rsid w:val="7B0A78E6"/>
    <w:rsid w:val="7B3251A3"/>
    <w:rsid w:val="7B5573C8"/>
    <w:rsid w:val="7B572B5F"/>
    <w:rsid w:val="7B835892"/>
    <w:rsid w:val="7BAB5EC7"/>
    <w:rsid w:val="7BCC268E"/>
    <w:rsid w:val="7BD65F50"/>
    <w:rsid w:val="7BDD22C6"/>
    <w:rsid w:val="7BE1607C"/>
    <w:rsid w:val="7C1C4128"/>
    <w:rsid w:val="7C2E7C74"/>
    <w:rsid w:val="7D8249BB"/>
    <w:rsid w:val="7D96750B"/>
    <w:rsid w:val="7E5767D7"/>
    <w:rsid w:val="7E5B5091"/>
    <w:rsid w:val="7E6A2DC6"/>
    <w:rsid w:val="7F816699"/>
    <w:rsid w:val="7FEA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0"/>
    <w:pPr>
      <w:spacing w:line="580" w:lineRule="exact"/>
      <w:ind w:firstLine="640" w:firstLineChars="200"/>
      <w:textAlignment w:val="center"/>
      <w:outlineLvl w:val="2"/>
    </w:pPr>
    <w:rPr>
      <w:rFonts w:ascii="仿宋" w:hAnsi="仿宋" w:eastAsia="宋体" w:cs="仿宋"/>
      <w:b/>
      <w:szCs w:val="32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10">
    <w:name w:val="内容"/>
    <w:basedOn w:val="1"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  <w:style w:type="character" w:customStyle="1" w:styleId="11">
    <w:name w:val="标题 3 Char"/>
    <w:basedOn w:val="6"/>
    <w:link w:val="2"/>
    <w:qFormat/>
    <w:uiPriority w:val="0"/>
    <w:rPr>
      <w:rFonts w:ascii="仿宋" w:hAnsi="仿宋" w:eastAsia="宋体" w:cs="仿宋"/>
      <w:b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7543</Words>
  <Characters>10236</Characters>
  <Lines>14</Lines>
  <Paragraphs>4</Paragraphs>
  <TotalTime>4</TotalTime>
  <ScaleCrop>false</ScaleCrop>
  <LinksUpToDate>false</LinksUpToDate>
  <CharactersWithSpaces>10238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2018-01-02T08:12:00Z</dcterms:created>
  <dc:creator>何吾志</dc:creator>
  <cp:lastModifiedBy>Administrator</cp:lastModifiedBy>
  <cp:lastPrinted>2018-01-09T06:37:00Z</cp:lastPrinted>
  <dcterms:modified xsi:type="dcterms:W3CDTF">2025-09-30T03:11:06Z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eyJoZGlkIjoiNjY1MjAzNjE2ZjA4NWNhYzE2NDQ4ZjBlNzZhYTMxMTcifQ==</vt:lpwstr>
  </property>
  <property fmtid="{D5CDD505-2E9C-101B-9397-08002B2CF9AE}" pid="4" name="ICV">
    <vt:lpwstr>35C98D801B614D1BAA1ACED7A001FC14_12</vt:lpwstr>
  </property>
</Properties>
</file>