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before="604" w:after="0" w:line="220" w:lineRule="exact"/>
        <w:ind w:left="0" w:right="0"/>
      </w:pPr>
    </w:p>
    <w:p>
      <w:pPr>
        <w:widowControl/>
        <w:autoSpaceDE w:val="0"/>
        <w:autoSpaceDN w:val="0"/>
        <w:spacing w:before="0" w:after="0" w:line="354" w:lineRule="exact"/>
        <w:ind w:left="482" w:right="0" w:firstLine="0"/>
        <w:jc w:val="left"/>
      </w:pPr>
      <w:r>
        <w:rPr>
          <w:rFonts w:ascii="s4ARATot+SimHei" w:hAnsi="s4ARATot+SimHei" w:eastAsia="s4ARATot+SimHei"/>
          <w:color w:val="000000"/>
          <w:sz w:val="32"/>
        </w:rPr>
        <w:t>附件</w:t>
      </w:r>
      <w:r>
        <w:rPr>
          <w:rFonts w:ascii="hZLRXykt+TimesNewRomanPSMT" w:hAnsi="hZLRXykt+TimesNewRomanPSMT" w:eastAsia="hZLRXykt+TimesNewRomanPSMT"/>
          <w:color w:val="000000"/>
          <w:sz w:val="32"/>
        </w:rPr>
        <w:t>3</w:t>
      </w:r>
    </w:p>
    <w:p>
      <w:pPr>
        <w:widowControl/>
        <w:autoSpaceDE w:val="0"/>
        <w:autoSpaceDN w:val="0"/>
        <w:spacing w:before="546" w:after="0" w:line="514" w:lineRule="exact"/>
        <w:ind w:left="3416" w:right="0" w:firstLine="0"/>
        <w:jc w:val="left"/>
      </w:pPr>
      <w:r>
        <w:rPr>
          <w:rFonts w:ascii="9aozUJyZ+FZXBSJW" w:hAnsi="9aozUJyZ+FZXBSJW" w:eastAsia="9aozUJyZ+FZXBSJW"/>
          <w:color w:val="000000"/>
          <w:sz w:val="44"/>
        </w:rPr>
        <w:t>上杭县赋予乡镇行政执法事项目录清单</w:t>
      </w:r>
    </w:p>
    <w:p>
      <w:pPr>
        <w:widowControl/>
        <w:autoSpaceDE w:val="0"/>
        <w:autoSpaceDN w:val="0"/>
        <w:spacing w:before="180" w:after="554" w:line="320" w:lineRule="exact"/>
        <w:ind w:right="0"/>
        <w:jc w:val="left"/>
      </w:pPr>
      <w:bookmarkStart w:id="0" w:name="_GoBack"/>
      <w:bookmarkEnd w:id="0"/>
    </w:p>
    <w:tbl>
      <w:tblPr>
        <w:tblStyle w:val="2"/>
        <w:tblW w:w="0" w:type="auto"/>
        <w:tblInd w:w="10" w:type="dxa"/>
        <w:tblLayout w:type="fixed"/>
        <w:tblCellMar>
          <w:top w:w="0" w:type="dxa"/>
          <w:left w:w="108" w:type="dxa"/>
          <w:bottom w:w="0" w:type="dxa"/>
          <w:right w:w="108" w:type="dxa"/>
        </w:tblCellMar>
      </w:tblPr>
      <w:tblGrid>
        <w:gridCol w:w="766"/>
        <w:gridCol w:w="5428"/>
        <w:gridCol w:w="4952"/>
        <w:gridCol w:w="1398"/>
        <w:gridCol w:w="1606"/>
      </w:tblGrid>
      <w:tr>
        <w:tblPrEx>
          <w:tblCellMar>
            <w:top w:w="0" w:type="dxa"/>
            <w:left w:w="108" w:type="dxa"/>
            <w:bottom w:w="0" w:type="dxa"/>
            <w:right w:w="108" w:type="dxa"/>
          </w:tblCellMar>
        </w:tblPrEx>
        <w:trPr>
          <w:trHeight w:val="628" w:hRule="exact"/>
        </w:trPr>
        <w:tc>
          <w:tcPr>
            <w:tcW w:w="76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序号</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职权名称</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实施依据</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职权类型</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hint="eastAsia" w:ascii="s4ARATot+SimHei" w:hAnsi="s4ARATot+SimHei" w:eastAsia="s4ARATot+SimHei"/>
                <w:color w:val="000000"/>
                <w:sz w:val="24"/>
              </w:rPr>
              <w:t>责任部门</w:t>
            </w:r>
          </w:p>
        </w:tc>
      </w:tr>
      <w:tr>
        <w:tblPrEx>
          <w:tblCellMar>
            <w:top w:w="0" w:type="dxa"/>
            <w:left w:w="108" w:type="dxa"/>
            <w:bottom w:w="0" w:type="dxa"/>
            <w:right w:w="108" w:type="dxa"/>
          </w:tblCellMar>
        </w:tblPrEx>
        <w:trPr>
          <w:trHeight w:val="958"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1</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对将易腐垃圾交由不具备法定条件的单位或者个人收</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集运输处理的处罚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《福建省城乡生活垃圾管理条例》第六十五条第</w:t>
            </w:r>
          </w:p>
          <w:p>
            <w:pPr>
              <w:widowControl/>
              <w:autoSpaceDE w:val="0"/>
              <w:autoSpaceDN w:val="0"/>
              <w:spacing w:before="160" w:after="0" w:line="240" w:lineRule="exact"/>
              <w:ind w:left="106" w:right="0" w:firstLine="0"/>
              <w:jc w:val="left"/>
            </w:pPr>
            <w:r>
              <w:rPr>
                <w:rFonts w:ascii="Fq4jro3k+FangSong_GB2312" w:hAnsi="Fq4jro3k+FangSong_GB2312" w:eastAsia="Fq4jro3k+FangSong_GB2312"/>
                <w:color w:val="000000"/>
                <w:sz w:val="24"/>
              </w:rPr>
              <w:t>一款</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0"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村建站</w:t>
            </w:r>
          </w:p>
        </w:tc>
      </w:tr>
      <w:tr>
        <w:tblPrEx>
          <w:tblCellMar>
            <w:top w:w="0" w:type="dxa"/>
            <w:left w:w="108" w:type="dxa"/>
            <w:bottom w:w="0" w:type="dxa"/>
            <w:right w:w="108" w:type="dxa"/>
          </w:tblCellMar>
        </w:tblPrEx>
        <w:trPr>
          <w:trHeight w:val="1071"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344" w:after="0" w:line="266" w:lineRule="exact"/>
              <w:ind w:left="0" w:right="0" w:firstLine="0"/>
              <w:jc w:val="center"/>
            </w:pPr>
            <w:r>
              <w:rPr>
                <w:rFonts w:ascii="hZLRXykt+TimesNewRomanPSMT" w:hAnsi="hZLRXykt+TimesNewRomanPSMT" w:eastAsia="hZLRXykt+TimesNewRomanPSMT"/>
                <w:color w:val="000000"/>
                <w:sz w:val="24"/>
              </w:rPr>
              <w:t>2</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52" w:after="0" w:line="240" w:lineRule="exact"/>
              <w:ind w:left="0" w:right="0" w:firstLine="0"/>
              <w:jc w:val="center"/>
            </w:pPr>
            <w:r>
              <w:rPr>
                <w:rFonts w:ascii="Fq4jro3k+FangSong_GB2312" w:hAnsi="Fq4jro3k+FangSong_GB2312" w:eastAsia="Fq4jro3k+FangSong_GB2312"/>
                <w:color w:val="000000"/>
                <w:sz w:val="24"/>
              </w:rPr>
              <w:t>对将易腐垃圾直接排入公共水域、厕所、市政管道或</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者混入其他类型生活垃圾的处罚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52" w:after="0" w:line="240" w:lineRule="exact"/>
              <w:ind w:left="0" w:right="0" w:firstLine="0"/>
              <w:jc w:val="center"/>
            </w:pPr>
            <w:r>
              <w:rPr>
                <w:rFonts w:ascii="Fq4jro3k+FangSong_GB2312" w:hAnsi="Fq4jro3k+FangSong_GB2312" w:eastAsia="Fq4jro3k+FangSong_GB2312"/>
                <w:color w:val="000000"/>
                <w:sz w:val="24"/>
              </w:rPr>
              <w:t>《福建省城乡生活垃圾管理条例》第六十五条第</w:t>
            </w:r>
          </w:p>
          <w:p>
            <w:pPr>
              <w:widowControl/>
              <w:autoSpaceDE w:val="0"/>
              <w:autoSpaceDN w:val="0"/>
              <w:spacing w:before="160" w:after="0" w:line="240" w:lineRule="exact"/>
              <w:ind w:left="106" w:right="0" w:firstLine="0"/>
              <w:jc w:val="left"/>
            </w:pPr>
            <w:r>
              <w:rPr>
                <w:rFonts w:ascii="Fq4jro3k+FangSong_GB2312" w:hAnsi="Fq4jro3k+FangSong_GB2312" w:eastAsia="Fq4jro3k+FangSong_GB2312"/>
                <w:color w:val="000000"/>
                <w:sz w:val="24"/>
              </w:rPr>
              <w:t>二款</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35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0" w:after="0" w:line="240" w:lineRule="exact"/>
              <w:ind w:left="0" w:right="0" w:firstLine="0"/>
              <w:jc w:val="center"/>
            </w:pPr>
            <w:r>
              <w:rPr>
                <w:rFonts w:hint="eastAsia" w:ascii="Fq4jro3k+FangSong_GB2312" w:hAnsi="Fq4jro3k+FangSong_GB2312" w:eastAsia="Fq4jro3k+FangSong_GB2312"/>
                <w:color w:val="000000"/>
                <w:sz w:val="24"/>
                <w:lang w:eastAsia="zh-CN"/>
              </w:rPr>
              <w:t>村建站</w:t>
            </w:r>
          </w:p>
        </w:tc>
      </w:tr>
      <w:tr>
        <w:tblPrEx>
          <w:tblCellMar>
            <w:top w:w="0" w:type="dxa"/>
            <w:left w:w="108" w:type="dxa"/>
            <w:bottom w:w="0" w:type="dxa"/>
            <w:right w:w="108" w:type="dxa"/>
          </w:tblCellMar>
        </w:tblPrEx>
        <w:trPr>
          <w:trHeight w:val="964"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352" w:after="0" w:line="266" w:lineRule="exact"/>
              <w:ind w:left="0" w:right="0" w:firstLine="0"/>
              <w:jc w:val="center"/>
            </w:pPr>
            <w:r>
              <w:rPr>
                <w:rFonts w:ascii="hZLRXykt+TimesNewRomanPSMT" w:hAnsi="hZLRXykt+TimesNewRomanPSMT" w:eastAsia="hZLRXykt+TimesNewRomanPSMT"/>
                <w:color w:val="000000"/>
                <w:sz w:val="24"/>
              </w:rPr>
              <w:t>3</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360" w:after="0" w:line="240" w:lineRule="exact"/>
              <w:ind w:left="102" w:right="0" w:firstLine="0"/>
              <w:jc w:val="left"/>
            </w:pPr>
            <w:r>
              <w:rPr>
                <w:rFonts w:ascii="Fq4jro3k+FangSong_GB2312" w:hAnsi="Fq4jro3k+FangSong_GB2312" w:eastAsia="Fq4jro3k+FangSong_GB2312"/>
                <w:color w:val="000000"/>
                <w:sz w:val="24"/>
              </w:rPr>
              <w:t>对生活垃圾分类投放管理责任人未履行工作责任的处罚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360" w:after="0" w:line="240" w:lineRule="exact"/>
              <w:ind w:left="106" w:right="0" w:firstLine="0"/>
              <w:jc w:val="left"/>
            </w:pPr>
            <w:r>
              <w:rPr>
                <w:rFonts w:ascii="Fq4jro3k+FangSong_GB2312" w:hAnsi="Fq4jro3k+FangSong_GB2312" w:eastAsia="Fq4jro3k+FangSong_GB2312"/>
                <w:color w:val="000000"/>
                <w:sz w:val="24"/>
              </w:rPr>
              <w:t>《福建省城乡生活垃圾管理条例》第六十七条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36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0" w:after="0" w:line="240" w:lineRule="exact"/>
              <w:ind w:left="0" w:right="0" w:firstLine="0"/>
              <w:jc w:val="center"/>
            </w:pPr>
            <w:r>
              <w:rPr>
                <w:rFonts w:hint="eastAsia" w:ascii="Fq4jro3k+FangSong_GB2312" w:hAnsi="Fq4jro3k+FangSong_GB2312" w:eastAsia="Fq4jro3k+FangSong_GB2312"/>
                <w:color w:val="000000"/>
                <w:sz w:val="24"/>
                <w:lang w:eastAsia="zh-CN"/>
              </w:rPr>
              <w:t>村建站</w:t>
            </w:r>
          </w:p>
        </w:tc>
      </w:tr>
      <w:tr>
        <w:tblPrEx>
          <w:tblCellMar>
            <w:top w:w="0" w:type="dxa"/>
            <w:left w:w="108" w:type="dxa"/>
            <w:bottom w:w="0" w:type="dxa"/>
            <w:right w:w="108" w:type="dxa"/>
          </w:tblCellMar>
        </w:tblPrEx>
        <w:trPr>
          <w:trHeight w:val="1946"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730" w:after="0" w:line="266" w:lineRule="exact"/>
              <w:ind w:left="0" w:right="0" w:firstLine="0"/>
              <w:jc w:val="center"/>
            </w:pPr>
            <w:r>
              <w:rPr>
                <w:rFonts w:ascii="hZLRXykt+TimesNewRomanPSMT" w:hAnsi="hZLRXykt+TimesNewRomanPSMT" w:eastAsia="hZLRXykt+TimesNewRomanPSMT"/>
                <w:color w:val="000000"/>
                <w:sz w:val="24"/>
              </w:rPr>
              <w:t>4</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538" w:after="0" w:line="240" w:lineRule="exact"/>
              <w:ind w:left="0" w:right="0" w:firstLine="0"/>
              <w:jc w:val="center"/>
            </w:pPr>
            <w:r>
              <w:rPr>
                <w:rFonts w:ascii="Fq4jro3k+FangSong_GB2312" w:hAnsi="Fq4jro3k+FangSong_GB2312" w:eastAsia="Fq4jro3k+FangSong_GB2312"/>
                <w:color w:val="000000"/>
                <w:sz w:val="24"/>
              </w:rPr>
              <w:t>对在运输生活垃圾过程中随意倾倒、丢弃、遗撒、滴漏的处罚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30" w:after="0" w:line="266" w:lineRule="exact"/>
              <w:ind w:left="106" w:right="0" w:firstLine="0"/>
              <w:jc w:val="left"/>
            </w:pPr>
            <w:r>
              <w:rPr>
                <w:rFonts w:ascii="hZLRXykt+TimesNewRomanPSMT" w:hAnsi="hZLRXykt+TimesNewRomanPSMT" w:eastAsia="hZLRXykt+TimesNewRomanPSMT"/>
                <w:color w:val="000000"/>
                <w:sz w:val="24"/>
              </w:rPr>
              <w:t>1.</w:t>
            </w:r>
            <w:r>
              <w:rPr>
                <w:rFonts w:ascii="Fq4jro3k+FangSong_GB2312" w:hAnsi="Fq4jro3k+FangSong_GB2312" w:eastAsia="Fq4jro3k+FangSong_GB2312"/>
                <w:color w:val="000000"/>
                <w:sz w:val="24"/>
              </w:rPr>
              <w:t>《福建省城乡生活垃圾管理条例》第六十八条</w:t>
            </w:r>
          </w:p>
          <w:p>
            <w:pPr>
              <w:widowControl/>
              <w:autoSpaceDE w:val="0"/>
              <w:autoSpaceDN w:val="0"/>
              <w:spacing w:before="134" w:after="0" w:line="266" w:lineRule="exact"/>
              <w:ind w:left="106" w:right="0" w:firstLine="0"/>
              <w:jc w:val="left"/>
            </w:pPr>
            <w:r>
              <w:rPr>
                <w:rFonts w:ascii="hZLRXykt+TimesNewRomanPSMT" w:hAnsi="hZLRXykt+TimesNewRomanPSMT" w:eastAsia="hZLRXykt+TimesNewRomanPSMT"/>
                <w:color w:val="000000"/>
                <w:sz w:val="24"/>
              </w:rPr>
              <w:t>2.</w:t>
            </w:r>
            <w:r>
              <w:rPr>
                <w:rFonts w:ascii="Fq4jro3k+FangSong_GB2312" w:hAnsi="Fq4jro3k+FangSong_GB2312" w:eastAsia="Fq4jro3k+FangSong_GB2312"/>
                <w:color w:val="000000"/>
                <w:sz w:val="24"/>
              </w:rPr>
              <w:t>《城市生活垃圾管理办法》第四十四条</w:t>
            </w:r>
          </w:p>
          <w:p>
            <w:pPr>
              <w:widowControl/>
              <w:autoSpaceDE w:val="0"/>
              <w:autoSpaceDN w:val="0"/>
              <w:spacing w:before="18" w:after="0" w:line="382" w:lineRule="exact"/>
              <w:ind w:left="106" w:right="144" w:firstLine="0"/>
              <w:jc w:val="left"/>
            </w:pPr>
            <w:r>
              <w:rPr>
                <w:rFonts w:ascii="hZLRXykt+TimesNewRomanPSMT" w:hAnsi="hZLRXykt+TimesNewRomanPSMT" w:eastAsia="hZLRXykt+TimesNewRomanPSMT"/>
                <w:color w:val="000000"/>
                <w:sz w:val="24"/>
              </w:rPr>
              <w:t>3.</w:t>
            </w:r>
            <w:r>
              <w:rPr>
                <w:rFonts w:ascii="Fq4jro3k+FangSong_GB2312" w:hAnsi="Fq4jro3k+FangSong_GB2312" w:eastAsia="Fq4jro3k+FangSong_GB2312"/>
                <w:color w:val="000000"/>
                <w:sz w:val="24"/>
              </w:rPr>
              <w:t>《中华人民共和国固体废物污染环境防治法》第一百一十一条第一款第（七）项</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738"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0" w:after="0" w:line="240" w:lineRule="exact"/>
              <w:ind w:left="0" w:right="0" w:firstLine="0"/>
              <w:jc w:val="center"/>
            </w:pPr>
            <w:r>
              <w:rPr>
                <w:rFonts w:hint="eastAsia" w:ascii="Fq4jro3k+FangSong_GB2312" w:hAnsi="Fq4jro3k+FangSong_GB2312" w:eastAsia="Fq4jro3k+FangSong_GB2312"/>
                <w:color w:val="000000"/>
                <w:sz w:val="24"/>
                <w:lang w:eastAsia="zh-CN"/>
              </w:rPr>
              <w:t>村建站</w:t>
            </w:r>
          </w:p>
        </w:tc>
      </w:tr>
    </w:tbl>
    <w:p>
      <w:pPr>
        <w:widowControl/>
        <w:autoSpaceDE w:val="0"/>
        <w:autoSpaceDN w:val="0"/>
        <w:spacing w:before="794" w:after="0" w:line="314" w:lineRule="exact"/>
        <w:ind w:left="482" w:right="0" w:firstLine="0"/>
        <w:jc w:val="left"/>
      </w:pPr>
      <w:r>
        <w:rPr>
          <w:rFonts w:ascii="hZLRXykt+TimesNewRomanPSMT" w:hAnsi="hZLRXykt+TimesNewRomanPSMT" w:eastAsia="hZLRXykt+TimesNewRomanPSMT"/>
          <w:color w:val="000000"/>
          <w:sz w:val="28"/>
        </w:rPr>
        <w:t>—1—</w:t>
      </w:r>
    </w:p>
    <w:p>
      <w:pPr>
        <w:sectPr>
          <w:pgSz w:w="16838" w:h="12306"/>
          <w:pgMar w:top="824" w:right="1428" w:bottom="594" w:left="1220" w:header="720" w:footer="720" w:gutter="0"/>
          <w:cols w:equalWidth="0" w:num="1">
            <w:col w:w="14190"/>
          </w:cols>
          <w:docGrid w:linePitch="360" w:charSpace="0"/>
        </w:sectPr>
      </w:pPr>
    </w:p>
    <w:p>
      <w:pPr>
        <w:widowControl/>
        <w:autoSpaceDE w:val="0"/>
        <w:autoSpaceDN w:val="0"/>
        <w:spacing w:before="542"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66"/>
        <w:gridCol w:w="5428"/>
        <w:gridCol w:w="4952"/>
        <w:gridCol w:w="1398"/>
        <w:gridCol w:w="1606"/>
      </w:tblGrid>
      <w:tr>
        <w:tblPrEx>
          <w:tblCellMar>
            <w:top w:w="0" w:type="dxa"/>
            <w:left w:w="108" w:type="dxa"/>
            <w:bottom w:w="0" w:type="dxa"/>
            <w:right w:w="108" w:type="dxa"/>
          </w:tblCellMar>
        </w:tblPrEx>
        <w:trPr>
          <w:trHeight w:val="628" w:hRule="exact"/>
        </w:trPr>
        <w:tc>
          <w:tcPr>
            <w:tcW w:w="76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序号</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职权名称</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实施依据</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职权类型</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hint="eastAsia" w:ascii="s4ARATot+SimHei" w:hAnsi="s4ARATot+SimHei" w:eastAsia="s4ARATot+SimHei"/>
                <w:color w:val="000000"/>
                <w:sz w:val="24"/>
              </w:rPr>
              <w:t>责任部门</w:t>
            </w:r>
          </w:p>
        </w:tc>
      </w:tr>
      <w:tr>
        <w:tblPrEx>
          <w:tblCellMar>
            <w:top w:w="0" w:type="dxa"/>
            <w:left w:w="108" w:type="dxa"/>
            <w:bottom w:w="0" w:type="dxa"/>
            <w:right w:w="108" w:type="dxa"/>
          </w:tblCellMar>
        </w:tblPrEx>
        <w:trPr>
          <w:trHeight w:val="12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76" w:after="0" w:line="264" w:lineRule="exact"/>
              <w:ind w:left="0" w:right="0" w:firstLine="0"/>
              <w:jc w:val="center"/>
            </w:pPr>
            <w:r>
              <w:rPr>
                <w:rFonts w:ascii="hZLRXykt+TimesNewRomanPSMT" w:hAnsi="hZLRXykt+TimesNewRomanPSMT" w:eastAsia="hZLRXykt+TimesNewRomanPSMT"/>
                <w:color w:val="000000"/>
                <w:sz w:val="24"/>
              </w:rPr>
              <w:t>5</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对焚烧秸秆、落叶等产生烟尘的行为；焚烧垃圾等产</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生有害烟尘和恶臭气体等污染的行为的处罚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80" w:lineRule="exact"/>
              <w:ind w:left="106" w:right="144" w:firstLine="0"/>
              <w:jc w:val="left"/>
            </w:pPr>
            <w:r>
              <w:rPr>
                <w:rFonts w:ascii="hZLRXykt+TimesNewRomanPSMT" w:hAnsi="hZLRXykt+TimesNewRomanPSMT" w:eastAsia="hZLRXykt+TimesNewRomanPSMT"/>
                <w:color w:val="000000"/>
                <w:sz w:val="24"/>
              </w:rPr>
              <w:t>1.</w:t>
            </w:r>
            <w:r>
              <w:rPr>
                <w:rFonts w:ascii="Fq4jro3k+FangSong_GB2312" w:hAnsi="Fq4jro3k+FangSong_GB2312" w:eastAsia="Fq4jro3k+FangSong_GB2312"/>
                <w:color w:val="000000"/>
                <w:sz w:val="24"/>
              </w:rPr>
              <w:t>《中华人民共和国大气污染防治法》第一百一十九条</w:t>
            </w:r>
            <w:r>
              <w:br w:type="textWrapping"/>
            </w:r>
            <w:r>
              <w:rPr>
                <w:rFonts w:ascii="hZLRXykt+TimesNewRomanPSMT" w:hAnsi="hZLRXykt+TimesNewRomanPSMT" w:eastAsia="hZLRXykt+TimesNewRomanPSMT"/>
                <w:color w:val="000000"/>
                <w:sz w:val="24"/>
              </w:rPr>
              <w:t>2.</w:t>
            </w:r>
            <w:r>
              <w:rPr>
                <w:rFonts w:ascii="Fq4jro3k+FangSong_GB2312" w:hAnsi="Fq4jro3k+FangSong_GB2312" w:eastAsia="Fq4jro3k+FangSong_GB2312"/>
                <w:color w:val="000000"/>
                <w:sz w:val="24"/>
              </w:rPr>
              <w:t>《福建省大气污染防治条例》第八十五条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0" w:after="0" w:line="240" w:lineRule="exact"/>
              <w:ind w:left="0" w:right="0" w:firstLine="0"/>
              <w:jc w:val="center"/>
            </w:pPr>
            <w:r>
              <w:rPr>
                <w:rFonts w:hint="eastAsia" w:ascii="Fq4jro3k+FangSong_GB2312" w:hAnsi="Fq4jro3k+FangSong_GB2312" w:eastAsia="Fq4jro3k+FangSong_GB2312"/>
                <w:color w:val="000000"/>
                <w:sz w:val="24"/>
                <w:lang w:eastAsia="zh-CN"/>
              </w:rPr>
              <w:t>环保站</w:t>
            </w:r>
          </w:p>
        </w:tc>
      </w:tr>
      <w:tr>
        <w:tblPrEx>
          <w:tblCellMar>
            <w:top w:w="0" w:type="dxa"/>
            <w:left w:w="108" w:type="dxa"/>
            <w:bottom w:w="0" w:type="dxa"/>
            <w:right w:w="108" w:type="dxa"/>
          </w:tblCellMar>
        </w:tblPrEx>
        <w:trPr>
          <w:trHeight w:val="1396"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6</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对违法开垦、采石、采砂、采土或者其他活动造成林木、林地毁坏行为的处罚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74" w:after="0" w:line="266" w:lineRule="exact"/>
              <w:ind w:left="106" w:right="0" w:firstLine="0"/>
              <w:jc w:val="left"/>
            </w:pPr>
            <w:r>
              <w:rPr>
                <w:rFonts w:ascii="hZLRXykt+TimesNewRomanPSMT" w:hAnsi="hZLRXykt+TimesNewRomanPSMT" w:eastAsia="hZLRXykt+TimesNewRomanPSMT"/>
                <w:color w:val="000000"/>
                <w:sz w:val="24"/>
              </w:rPr>
              <w:t>1.</w:t>
            </w:r>
            <w:r>
              <w:rPr>
                <w:rFonts w:ascii="Fq4jro3k+FangSong_GB2312" w:hAnsi="Fq4jro3k+FangSong_GB2312" w:eastAsia="Fq4jro3k+FangSong_GB2312"/>
                <w:color w:val="000000"/>
                <w:sz w:val="24"/>
              </w:rPr>
              <w:t>《中华人民共和国森林法》第七十四条</w:t>
            </w:r>
          </w:p>
          <w:p>
            <w:pPr>
              <w:widowControl/>
              <w:autoSpaceDE w:val="0"/>
              <w:autoSpaceDN w:val="0"/>
              <w:spacing w:before="134" w:after="0" w:line="266" w:lineRule="exact"/>
              <w:ind w:left="106" w:right="0" w:firstLine="0"/>
              <w:jc w:val="left"/>
            </w:pPr>
            <w:r>
              <w:rPr>
                <w:rFonts w:ascii="hZLRXykt+TimesNewRomanPSMT" w:hAnsi="hZLRXykt+TimesNewRomanPSMT" w:eastAsia="hZLRXykt+TimesNewRomanPSMT"/>
                <w:color w:val="000000"/>
                <w:sz w:val="24"/>
              </w:rPr>
              <w:t>2.</w:t>
            </w:r>
            <w:r>
              <w:rPr>
                <w:rFonts w:ascii="Fq4jro3k+FangSong_GB2312" w:hAnsi="Fq4jro3k+FangSong_GB2312" w:eastAsia="Fq4jro3k+FangSong_GB2312"/>
                <w:color w:val="000000"/>
                <w:sz w:val="24"/>
              </w:rPr>
              <w:t>《退耕还林条例》第六十二条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宋体"/>
                <w:lang w:eastAsia="zh-CN"/>
              </w:rPr>
            </w:pPr>
            <w:r>
              <w:rPr>
                <w:rFonts w:hint="eastAsia" w:eastAsia="宋体"/>
                <w:lang w:eastAsia="zh-CN"/>
              </w:rPr>
              <w:t>林业局</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7</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对经营者未履行森林防火责任行为的处罚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《森林草原防灭火条例》第五十二条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Fq4jro3k+FangSong_GB2312"/>
                <w:lang w:eastAsia="zh-CN"/>
              </w:rPr>
            </w:pPr>
            <w:r>
              <w:rPr>
                <w:rFonts w:hint="eastAsia" w:ascii="Fq4jro3k+FangSong_GB2312" w:hAnsi="Fq4jro3k+FangSong_GB2312" w:eastAsia="Fq4jro3k+FangSong_GB2312"/>
                <w:color w:val="000000"/>
                <w:sz w:val="24"/>
              </w:rPr>
              <w:t>应急</w:t>
            </w:r>
            <w:r>
              <w:rPr>
                <w:rFonts w:hint="eastAsia" w:ascii="Fq4jro3k+FangSong_GB2312" w:hAnsi="Fq4jro3k+FangSong_GB2312" w:eastAsia="Fq4jro3k+FangSong_GB2312"/>
                <w:color w:val="000000"/>
                <w:sz w:val="24"/>
                <w:lang w:eastAsia="zh-CN"/>
              </w:rPr>
              <w:t>办</w:t>
            </w:r>
          </w:p>
        </w:tc>
      </w:tr>
      <w:tr>
        <w:tblPrEx>
          <w:tblCellMar>
            <w:top w:w="0" w:type="dxa"/>
            <w:left w:w="108" w:type="dxa"/>
            <w:bottom w:w="0" w:type="dxa"/>
            <w:right w:w="108" w:type="dxa"/>
          </w:tblCellMar>
        </w:tblPrEx>
        <w:trPr>
          <w:trHeight w:val="1238"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8</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对拒不接受森林防火检查或者不消除森林火灾隐患行</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0" w:after="0" w:line="240" w:lineRule="exact"/>
              <w:ind w:left="106" w:right="0" w:firstLine="0"/>
              <w:jc w:val="left"/>
            </w:pPr>
            <w:r>
              <w:rPr>
                <w:rFonts w:ascii="Fq4jro3k+FangSong_GB2312" w:hAnsi="Fq4jro3k+FangSong_GB2312" w:eastAsia="Fq4jro3k+FangSong_GB2312"/>
                <w:color w:val="000000"/>
                <w:sz w:val="24"/>
              </w:rPr>
              <w:t>《森林草原防灭火条例》第五十三条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Fq4jro3k+FangSong_GB2312"/>
                <w:lang w:eastAsia="zh-CN"/>
              </w:rPr>
            </w:pPr>
            <w:r>
              <w:rPr>
                <w:rFonts w:hint="eastAsia" w:ascii="Fq4jro3k+FangSong_GB2312" w:hAnsi="Fq4jro3k+FangSong_GB2312" w:eastAsia="Fq4jro3k+FangSong_GB2312"/>
                <w:color w:val="000000"/>
                <w:sz w:val="24"/>
              </w:rPr>
              <w:t>应急</w:t>
            </w:r>
            <w:r>
              <w:rPr>
                <w:rFonts w:hint="eastAsia" w:ascii="Fq4jro3k+FangSong_GB2312" w:hAnsi="Fq4jro3k+FangSong_GB2312" w:eastAsia="Fq4jro3k+FangSong_GB2312"/>
                <w:color w:val="000000"/>
                <w:sz w:val="24"/>
                <w:lang w:eastAsia="zh-CN"/>
              </w:rPr>
              <w:t>办</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9</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对未设置森林防火警示宣传标志行为的处罚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《森林草原防灭火条例》第五十六条第一项</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Fq4jro3k+FangSong_GB2312"/>
                <w:lang w:eastAsia="zh-CN"/>
              </w:rPr>
            </w:pPr>
            <w:r>
              <w:rPr>
                <w:rFonts w:hint="eastAsia" w:ascii="Fq4jro3k+FangSong_GB2312" w:hAnsi="Fq4jro3k+FangSong_GB2312" w:eastAsia="Fq4jro3k+FangSong_GB2312"/>
                <w:color w:val="000000"/>
                <w:sz w:val="24"/>
              </w:rPr>
              <w:t>应急</w:t>
            </w:r>
            <w:r>
              <w:rPr>
                <w:rFonts w:hint="eastAsia" w:ascii="Fq4jro3k+FangSong_GB2312" w:hAnsi="Fq4jro3k+FangSong_GB2312" w:eastAsia="Fq4jro3k+FangSong_GB2312"/>
                <w:color w:val="000000"/>
                <w:sz w:val="24"/>
                <w:lang w:eastAsia="zh-CN"/>
              </w:rPr>
              <w:t>办</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10</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102" w:right="0" w:firstLine="0"/>
              <w:jc w:val="left"/>
            </w:pPr>
            <w:r>
              <w:rPr>
                <w:rFonts w:ascii="Fq4jro3k+FangSong_GB2312" w:hAnsi="Fq4jro3k+FangSong_GB2312" w:eastAsia="Fq4jro3k+FangSong_GB2312"/>
                <w:color w:val="000000"/>
                <w:sz w:val="24"/>
              </w:rPr>
              <w:t>对擅自进入森林高火险区活动行为的处罚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0" w:after="0" w:line="240" w:lineRule="exact"/>
              <w:ind w:left="106" w:right="0" w:firstLine="0"/>
              <w:jc w:val="left"/>
            </w:pPr>
            <w:r>
              <w:rPr>
                <w:rFonts w:ascii="Fq4jro3k+FangSong_GB2312" w:hAnsi="Fq4jro3k+FangSong_GB2312" w:eastAsia="Fq4jro3k+FangSong_GB2312"/>
                <w:color w:val="000000"/>
                <w:sz w:val="24"/>
              </w:rPr>
              <w:t>《森林草原防灭火条例》第五十六条第五项</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Fq4jro3k+FangSong_GB2312"/>
                <w:lang w:eastAsia="zh-CN"/>
              </w:rPr>
            </w:pPr>
            <w:r>
              <w:rPr>
                <w:rFonts w:hint="eastAsia" w:ascii="Fq4jro3k+FangSong_GB2312" w:hAnsi="Fq4jro3k+FangSong_GB2312" w:eastAsia="Fq4jro3k+FangSong_GB2312"/>
                <w:color w:val="000000"/>
                <w:sz w:val="24"/>
              </w:rPr>
              <w:t>应急</w:t>
            </w:r>
            <w:r>
              <w:rPr>
                <w:rFonts w:hint="eastAsia" w:ascii="Fq4jro3k+FangSong_GB2312" w:hAnsi="Fq4jro3k+FangSong_GB2312" w:eastAsia="Fq4jro3k+FangSong_GB2312"/>
                <w:color w:val="000000"/>
                <w:sz w:val="24"/>
                <w:lang w:eastAsia="zh-CN"/>
              </w:rPr>
              <w:t>办</w:t>
            </w:r>
          </w:p>
        </w:tc>
      </w:tr>
      <w:tr>
        <w:tblPrEx>
          <w:tblCellMar>
            <w:top w:w="0" w:type="dxa"/>
            <w:left w:w="108" w:type="dxa"/>
            <w:bottom w:w="0" w:type="dxa"/>
            <w:right w:w="108" w:type="dxa"/>
          </w:tblCellMar>
        </w:tblPrEx>
        <w:trPr>
          <w:trHeight w:val="1157"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336" w:after="0" w:line="266" w:lineRule="exact"/>
              <w:ind w:left="0" w:right="0" w:firstLine="0"/>
              <w:jc w:val="center"/>
            </w:pPr>
            <w:r>
              <w:rPr>
                <w:rFonts w:ascii="hZLRXykt+TimesNewRomanPSMT" w:hAnsi="hZLRXykt+TimesNewRomanPSMT" w:eastAsia="hZLRXykt+TimesNewRomanPSMT"/>
                <w:color w:val="000000"/>
                <w:sz w:val="24"/>
              </w:rPr>
              <w:t>11</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42" w:after="0" w:line="240" w:lineRule="exact"/>
              <w:ind w:left="0" w:right="0" w:firstLine="0"/>
              <w:jc w:val="center"/>
            </w:pPr>
            <w:r>
              <w:rPr>
                <w:rFonts w:ascii="Fq4jro3k+FangSong_GB2312" w:hAnsi="Fq4jro3k+FangSong_GB2312" w:eastAsia="Fq4jro3k+FangSong_GB2312"/>
                <w:color w:val="000000"/>
                <w:sz w:val="24"/>
              </w:rPr>
              <w:t>对非法携带火源、火种和易燃易爆物品进入常年禁火</w:t>
            </w:r>
          </w:p>
          <w:p>
            <w:pPr>
              <w:widowControl/>
              <w:autoSpaceDE w:val="0"/>
              <w:autoSpaceDN w:val="0"/>
              <w:spacing w:before="162" w:after="0" w:line="240" w:lineRule="exact"/>
              <w:ind w:left="102" w:right="0" w:firstLine="0"/>
              <w:jc w:val="left"/>
            </w:pPr>
            <w:r>
              <w:rPr>
                <w:rFonts w:ascii="Fq4jro3k+FangSong_GB2312" w:hAnsi="Fq4jro3k+FangSong_GB2312" w:eastAsia="Fq4jro3k+FangSong_GB2312"/>
                <w:color w:val="000000"/>
                <w:sz w:val="24"/>
              </w:rPr>
              <w:t>区域行为的处罚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344" w:after="0" w:line="240" w:lineRule="exact"/>
              <w:ind w:left="106" w:right="0" w:firstLine="0"/>
              <w:jc w:val="left"/>
            </w:pPr>
            <w:r>
              <w:rPr>
                <w:rFonts w:ascii="Fq4jro3k+FangSong_GB2312" w:hAnsi="Fq4jro3k+FangSong_GB2312" w:eastAsia="Fq4jro3k+FangSong_GB2312"/>
                <w:color w:val="000000"/>
                <w:sz w:val="24"/>
              </w:rPr>
              <w:t>《福建省森林防火条例》第四十三条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344"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2" w:after="0" w:line="240" w:lineRule="exact"/>
              <w:ind w:left="0" w:right="0" w:firstLine="0"/>
              <w:jc w:val="center"/>
              <w:rPr>
                <w:rFonts w:hint="eastAsia" w:eastAsia="Fq4jro3k+FangSong_GB2312"/>
                <w:lang w:eastAsia="zh-CN"/>
              </w:rPr>
            </w:pPr>
            <w:r>
              <w:rPr>
                <w:rFonts w:hint="eastAsia" w:ascii="Fq4jro3k+FangSong_GB2312" w:hAnsi="Fq4jro3k+FangSong_GB2312" w:eastAsia="Fq4jro3k+FangSong_GB2312"/>
                <w:color w:val="000000"/>
                <w:sz w:val="24"/>
              </w:rPr>
              <w:t>应急</w:t>
            </w:r>
            <w:r>
              <w:rPr>
                <w:rFonts w:hint="eastAsia" w:ascii="Fq4jro3k+FangSong_GB2312" w:hAnsi="Fq4jro3k+FangSong_GB2312" w:eastAsia="Fq4jro3k+FangSong_GB2312"/>
                <w:color w:val="000000"/>
                <w:sz w:val="24"/>
                <w:lang w:eastAsia="zh-CN"/>
              </w:rPr>
              <w:t>办</w:t>
            </w:r>
          </w:p>
        </w:tc>
      </w:tr>
      <w:tr>
        <w:tblPrEx>
          <w:tblCellMar>
            <w:top w:w="0" w:type="dxa"/>
            <w:left w:w="108" w:type="dxa"/>
            <w:bottom w:w="0" w:type="dxa"/>
            <w:right w:w="108" w:type="dxa"/>
          </w:tblCellMar>
        </w:tblPrEx>
        <w:trPr>
          <w:trHeight w:val="996"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12</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对毁坏或者擅自拆除、挪用森林防火标志、设施、器</w:t>
            </w:r>
          </w:p>
          <w:p>
            <w:pPr>
              <w:widowControl/>
              <w:autoSpaceDE w:val="0"/>
              <w:autoSpaceDN w:val="0"/>
              <w:spacing w:before="162" w:after="0" w:line="240" w:lineRule="exact"/>
              <w:ind w:left="102" w:right="0" w:firstLine="0"/>
              <w:jc w:val="left"/>
            </w:pPr>
            <w:r>
              <w:rPr>
                <w:rFonts w:ascii="Fq4jro3k+FangSong_GB2312" w:hAnsi="Fq4jro3k+FangSong_GB2312" w:eastAsia="Fq4jro3k+FangSong_GB2312"/>
                <w:color w:val="000000"/>
                <w:sz w:val="24"/>
              </w:rPr>
              <w:t>材行为的处罚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《福建省森林防火条例》第四十四条第一项</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2" w:after="0" w:line="240" w:lineRule="exact"/>
              <w:ind w:left="0" w:right="0" w:firstLine="0"/>
              <w:jc w:val="center"/>
              <w:rPr>
                <w:rFonts w:hint="eastAsia" w:eastAsia="Fq4jro3k+FangSong_GB2312"/>
                <w:lang w:eastAsia="zh-CN"/>
              </w:rPr>
            </w:pPr>
            <w:r>
              <w:rPr>
                <w:rFonts w:hint="eastAsia" w:ascii="Fq4jro3k+FangSong_GB2312" w:hAnsi="Fq4jro3k+FangSong_GB2312" w:eastAsia="Fq4jro3k+FangSong_GB2312"/>
                <w:color w:val="000000"/>
                <w:sz w:val="24"/>
              </w:rPr>
              <w:t>应急</w:t>
            </w:r>
            <w:r>
              <w:rPr>
                <w:rFonts w:hint="eastAsia" w:ascii="Fq4jro3k+FangSong_GB2312" w:hAnsi="Fq4jro3k+FangSong_GB2312" w:eastAsia="Fq4jro3k+FangSong_GB2312"/>
                <w:color w:val="000000"/>
                <w:sz w:val="24"/>
                <w:lang w:eastAsia="zh-CN"/>
              </w:rPr>
              <w:t>办</w:t>
            </w:r>
          </w:p>
        </w:tc>
      </w:tr>
      <w:tr>
        <w:tblPrEx>
          <w:tblCellMar>
            <w:top w:w="0" w:type="dxa"/>
            <w:left w:w="108" w:type="dxa"/>
            <w:bottom w:w="0" w:type="dxa"/>
            <w:right w:w="108" w:type="dxa"/>
          </w:tblCellMar>
        </w:tblPrEx>
        <w:trPr>
          <w:trHeight w:val="808"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6" w:after="0" w:line="264" w:lineRule="exact"/>
              <w:ind w:left="0" w:right="0" w:firstLine="0"/>
              <w:jc w:val="center"/>
            </w:pPr>
            <w:r>
              <w:rPr>
                <w:rFonts w:ascii="hZLRXykt+TimesNewRomanPSMT" w:hAnsi="hZLRXykt+TimesNewRomanPSMT" w:eastAsia="hZLRXykt+TimesNewRomanPSMT"/>
                <w:color w:val="000000"/>
                <w:sz w:val="24"/>
              </w:rPr>
              <w:t>13</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对破坏防火隔离带或者生物防火林带行为的处罚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《福建省森林防火条例》第四十四条第二项</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58" w:after="0" w:line="240" w:lineRule="exact"/>
              <w:ind w:left="0" w:right="0" w:firstLine="0"/>
              <w:jc w:val="center"/>
              <w:rPr>
                <w:rFonts w:hint="eastAsia" w:eastAsia="Fq4jro3k+FangSong_GB2312"/>
                <w:lang w:eastAsia="zh-CN"/>
              </w:rPr>
            </w:pPr>
            <w:r>
              <w:rPr>
                <w:rFonts w:hint="eastAsia" w:ascii="Fq4jro3k+FangSong_GB2312" w:hAnsi="Fq4jro3k+FangSong_GB2312" w:eastAsia="Fq4jro3k+FangSong_GB2312"/>
                <w:color w:val="000000"/>
                <w:sz w:val="24"/>
              </w:rPr>
              <w:t>应急</w:t>
            </w:r>
            <w:r>
              <w:rPr>
                <w:rFonts w:hint="eastAsia" w:ascii="Fq4jro3k+FangSong_GB2312" w:hAnsi="Fq4jro3k+FangSong_GB2312" w:eastAsia="Fq4jro3k+FangSong_GB2312"/>
                <w:color w:val="000000"/>
                <w:sz w:val="24"/>
                <w:lang w:eastAsia="zh-CN"/>
              </w:rPr>
              <w:t>办</w:t>
            </w:r>
          </w:p>
        </w:tc>
      </w:tr>
    </w:tbl>
    <w:p>
      <w:pPr>
        <w:widowControl/>
        <w:autoSpaceDE w:val="0"/>
        <w:autoSpaceDN w:val="0"/>
        <w:spacing w:before="424" w:after="0" w:line="314" w:lineRule="exact"/>
        <w:ind w:left="0" w:right="498" w:firstLine="0"/>
        <w:jc w:val="right"/>
        <w:sectPr>
          <w:pgSz w:w="16838" w:h="12306"/>
          <w:pgMar w:top="764" w:right="1428" w:bottom="594" w:left="1220" w:header="720" w:footer="720" w:gutter="0"/>
          <w:cols w:equalWidth="0" w:num="1">
            <w:col w:w="14190"/>
          </w:cols>
          <w:docGrid w:linePitch="360" w:charSpace="0"/>
        </w:sectPr>
      </w:pPr>
    </w:p>
    <w:p>
      <w:pPr>
        <w:widowControl/>
        <w:autoSpaceDE w:val="0"/>
        <w:autoSpaceDN w:val="0"/>
        <w:spacing w:before="542"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66"/>
        <w:gridCol w:w="5593"/>
        <w:gridCol w:w="4787"/>
        <w:gridCol w:w="1398"/>
        <w:gridCol w:w="1606"/>
      </w:tblGrid>
      <w:tr>
        <w:tblPrEx>
          <w:tblCellMar>
            <w:top w:w="0" w:type="dxa"/>
            <w:left w:w="108" w:type="dxa"/>
            <w:bottom w:w="0" w:type="dxa"/>
            <w:right w:w="108" w:type="dxa"/>
          </w:tblCellMar>
        </w:tblPrEx>
        <w:trPr>
          <w:trHeight w:val="628" w:hRule="exact"/>
        </w:trPr>
        <w:tc>
          <w:tcPr>
            <w:tcW w:w="76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序号</w:t>
            </w:r>
          </w:p>
        </w:tc>
        <w:tc>
          <w:tcPr>
            <w:tcW w:w="5593"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职权名称</w:t>
            </w:r>
          </w:p>
        </w:tc>
        <w:tc>
          <w:tcPr>
            <w:tcW w:w="4787"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实施依据</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职权类型</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hint="eastAsia" w:ascii="s4ARATot+SimHei" w:hAnsi="s4ARATot+SimHei" w:eastAsia="s4ARATot+SimHei"/>
                <w:color w:val="000000"/>
                <w:sz w:val="24"/>
              </w:rPr>
              <w:t>责任部门</w:t>
            </w:r>
          </w:p>
        </w:tc>
      </w:tr>
      <w:tr>
        <w:tblPrEx>
          <w:tblCellMar>
            <w:top w:w="0" w:type="dxa"/>
            <w:left w:w="108" w:type="dxa"/>
            <w:bottom w:w="0" w:type="dxa"/>
            <w:right w:w="108" w:type="dxa"/>
          </w:tblCellMar>
        </w:tblPrEx>
        <w:trPr>
          <w:trHeight w:val="1247"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76" w:after="0" w:line="264" w:lineRule="exact"/>
              <w:ind w:left="0" w:right="0" w:firstLine="0"/>
              <w:jc w:val="center"/>
            </w:pPr>
            <w:r>
              <w:rPr>
                <w:rFonts w:ascii="hZLRXykt+TimesNewRomanPSMT" w:hAnsi="hZLRXykt+TimesNewRomanPSMT" w:eastAsia="hZLRXykt+TimesNewRomanPSMT"/>
                <w:color w:val="000000"/>
                <w:sz w:val="24"/>
              </w:rPr>
              <w:t>14</w:t>
            </w:r>
          </w:p>
        </w:tc>
        <w:tc>
          <w:tcPr>
            <w:tcW w:w="5593"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82" w:after="0" w:line="240" w:lineRule="exact"/>
              <w:ind w:left="102" w:right="0" w:firstLine="0"/>
              <w:jc w:val="left"/>
            </w:pPr>
            <w:r>
              <w:rPr>
                <w:rFonts w:ascii="Fq4jro3k+FangSong_GB2312" w:hAnsi="Fq4jro3k+FangSong_GB2312" w:eastAsia="Fq4jro3k+FangSong_GB2312"/>
                <w:color w:val="000000"/>
                <w:sz w:val="24"/>
              </w:rPr>
              <w:t>对在林区采伐林木不依法采取防止水土流失措施的处罚</w:t>
            </w:r>
          </w:p>
        </w:tc>
        <w:tc>
          <w:tcPr>
            <w:tcW w:w="4787"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0" w:after="0" w:line="374" w:lineRule="exact"/>
              <w:ind w:left="106" w:right="0" w:firstLine="0"/>
              <w:jc w:val="left"/>
            </w:pPr>
            <w:r>
              <w:rPr>
                <w:rFonts w:ascii="hZLRXykt+TimesNewRomanPSMT" w:hAnsi="hZLRXykt+TimesNewRomanPSMT" w:eastAsia="hZLRXykt+TimesNewRomanPSMT"/>
                <w:color w:val="000000"/>
                <w:sz w:val="24"/>
              </w:rPr>
              <w:t>1.</w:t>
            </w:r>
            <w:r>
              <w:rPr>
                <w:rFonts w:ascii="Fq4jro3k+FangSong_GB2312" w:hAnsi="Fq4jro3k+FangSong_GB2312" w:eastAsia="Fq4jro3k+FangSong_GB2312"/>
                <w:color w:val="000000"/>
                <w:sz w:val="24"/>
              </w:rPr>
              <w:t>《中华人民共和国水土保持法》第五十二条</w:t>
            </w:r>
            <w:r>
              <w:rPr>
                <w:rFonts w:ascii="hZLRXykt+TimesNewRomanPSMT" w:hAnsi="hZLRXykt+TimesNewRomanPSMT" w:eastAsia="hZLRXykt+TimesNewRomanPSMT"/>
                <w:color w:val="000000"/>
                <w:sz w:val="24"/>
              </w:rPr>
              <w:t>2.</w:t>
            </w:r>
            <w:r>
              <w:rPr>
                <w:rFonts w:ascii="Fq4jro3k+FangSong_GB2312" w:hAnsi="Fq4jro3k+FangSong_GB2312" w:eastAsia="Fq4jro3k+FangSong_GB2312"/>
                <w:color w:val="000000"/>
                <w:sz w:val="24"/>
              </w:rPr>
              <w:t>《福建省水土保持条例》第十六条、第十七条、第十八条、第四十二条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水利站</w:t>
            </w:r>
          </w:p>
        </w:tc>
      </w:tr>
      <w:tr>
        <w:tblPrEx>
          <w:tblCellMar>
            <w:top w:w="0" w:type="dxa"/>
            <w:left w:w="108" w:type="dxa"/>
            <w:bottom w:w="0" w:type="dxa"/>
            <w:right w:w="108" w:type="dxa"/>
          </w:tblCellMar>
        </w:tblPrEx>
        <w:trPr>
          <w:trHeight w:val="1041"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15</w:t>
            </w:r>
          </w:p>
        </w:tc>
        <w:tc>
          <w:tcPr>
            <w:tcW w:w="5593"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对开办生产建设项目或者从事其他生产建设活动造成</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水土流失，不进行治理的处罚</w:t>
            </w:r>
          </w:p>
        </w:tc>
        <w:tc>
          <w:tcPr>
            <w:tcW w:w="4787"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74" w:after="0" w:line="266" w:lineRule="exact"/>
              <w:ind w:left="106" w:right="0" w:firstLine="0"/>
              <w:jc w:val="left"/>
            </w:pPr>
            <w:r>
              <w:rPr>
                <w:rFonts w:ascii="hZLRXykt+TimesNewRomanPSMT" w:hAnsi="hZLRXykt+TimesNewRomanPSMT" w:eastAsia="hZLRXykt+TimesNewRomanPSMT"/>
                <w:color w:val="000000"/>
                <w:sz w:val="24"/>
              </w:rPr>
              <w:t>1.</w:t>
            </w:r>
            <w:r>
              <w:rPr>
                <w:rFonts w:ascii="Fq4jro3k+FangSong_GB2312" w:hAnsi="Fq4jro3k+FangSong_GB2312" w:eastAsia="Fq4jro3k+FangSong_GB2312"/>
                <w:color w:val="000000"/>
                <w:sz w:val="24"/>
              </w:rPr>
              <w:t>《中华人民共和国水土保持法》第五十六条</w:t>
            </w:r>
          </w:p>
          <w:p>
            <w:pPr>
              <w:widowControl/>
              <w:autoSpaceDE w:val="0"/>
              <w:autoSpaceDN w:val="0"/>
              <w:spacing w:before="134" w:after="0" w:line="266" w:lineRule="exact"/>
              <w:ind w:left="106" w:right="0" w:firstLine="0"/>
              <w:jc w:val="left"/>
            </w:pPr>
            <w:r>
              <w:rPr>
                <w:rFonts w:ascii="hZLRXykt+TimesNewRomanPSMT" w:hAnsi="hZLRXykt+TimesNewRomanPSMT" w:eastAsia="hZLRXykt+TimesNewRomanPSMT"/>
                <w:color w:val="000000"/>
                <w:sz w:val="24"/>
              </w:rPr>
              <w:t>2.</w:t>
            </w:r>
            <w:r>
              <w:rPr>
                <w:rFonts w:ascii="Fq4jro3k+FangSong_GB2312" w:hAnsi="Fq4jro3k+FangSong_GB2312" w:eastAsia="Fq4jro3k+FangSong_GB2312"/>
                <w:color w:val="000000"/>
                <w:sz w:val="24"/>
              </w:rPr>
              <w:t>《福建省水土保持条例》第十九条、第四十三条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水利站</w:t>
            </w:r>
          </w:p>
        </w:tc>
      </w:tr>
      <w:tr>
        <w:tblPrEx>
          <w:tblCellMar>
            <w:top w:w="0" w:type="dxa"/>
            <w:left w:w="108" w:type="dxa"/>
            <w:bottom w:w="0" w:type="dxa"/>
            <w:right w:w="108" w:type="dxa"/>
          </w:tblCellMar>
        </w:tblPrEx>
        <w:trPr>
          <w:trHeight w:val="763"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16</w:t>
            </w:r>
          </w:p>
        </w:tc>
        <w:tc>
          <w:tcPr>
            <w:tcW w:w="5593"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对在水土保持方案确定的专门存放地以外的区域倾倒砂、石、土、矸石、尾矿、废渣等的处罚</w:t>
            </w:r>
          </w:p>
        </w:tc>
        <w:tc>
          <w:tcPr>
            <w:tcW w:w="4787"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《中华人民共和国水土保持法》第五十五条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160"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水利站</w:t>
            </w:r>
          </w:p>
        </w:tc>
      </w:tr>
      <w:tr>
        <w:tblPrEx>
          <w:tblCellMar>
            <w:top w:w="0" w:type="dxa"/>
            <w:left w:w="108" w:type="dxa"/>
            <w:bottom w:w="0" w:type="dxa"/>
            <w:right w:w="108" w:type="dxa"/>
          </w:tblCellMar>
        </w:tblPrEx>
        <w:trPr>
          <w:trHeight w:val="16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674" w:after="0" w:line="266" w:lineRule="exact"/>
              <w:ind w:left="0" w:right="0" w:firstLine="0"/>
              <w:jc w:val="center"/>
            </w:pPr>
            <w:r>
              <w:rPr>
                <w:rFonts w:ascii="hZLRXykt+TimesNewRomanPSMT" w:hAnsi="hZLRXykt+TimesNewRomanPSMT" w:eastAsia="hZLRXykt+TimesNewRomanPSMT"/>
                <w:color w:val="000000"/>
                <w:sz w:val="24"/>
              </w:rPr>
              <w:t>17</w:t>
            </w:r>
          </w:p>
        </w:tc>
        <w:tc>
          <w:tcPr>
            <w:tcW w:w="5593"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80" w:lineRule="exact"/>
              <w:ind w:left="102" w:right="72" w:firstLine="0"/>
              <w:jc w:val="both"/>
            </w:pPr>
            <w:r>
              <w:rPr>
                <w:rFonts w:ascii="Fq4jro3k+FangSong_GB2312" w:hAnsi="Fq4jro3k+FangSong_GB2312" w:eastAsia="Fq4jro3k+FangSong_GB2312"/>
                <w:color w:val="000000"/>
                <w:sz w:val="24"/>
              </w:rPr>
              <w:t>对小餐饮采购食品、食品添加剂、食品相关产品未对进货进行查验，未索取并留存进货凭证，或者凭证保存期限少于产品保质期满后六个月，没有明确保质期的保存期限少于一年的处罚</w:t>
            </w:r>
          </w:p>
        </w:tc>
        <w:tc>
          <w:tcPr>
            <w:tcW w:w="4787"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682" w:after="0" w:line="240" w:lineRule="exact"/>
              <w:ind w:left="106" w:right="0" w:firstLine="0"/>
              <w:jc w:val="left"/>
            </w:pPr>
            <w:r>
              <w:rPr>
                <w:rFonts w:ascii="Fq4jro3k+FangSong_GB2312" w:hAnsi="Fq4jro3k+FangSong_GB2312" w:eastAsia="Fq4jro3k+FangSong_GB2312"/>
                <w:color w:val="000000"/>
                <w:sz w:val="24"/>
              </w:rPr>
              <w:t>《福建省食品安全条例》第一百一十一条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6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682"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食安办</w:t>
            </w:r>
          </w:p>
        </w:tc>
      </w:tr>
      <w:tr>
        <w:tblPrEx>
          <w:tblCellMar>
            <w:top w:w="0" w:type="dxa"/>
            <w:left w:w="108" w:type="dxa"/>
            <w:bottom w:w="0" w:type="dxa"/>
            <w:right w:w="108" w:type="dxa"/>
          </w:tblCellMar>
        </w:tblPrEx>
        <w:trPr>
          <w:trHeight w:val="949"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18</w:t>
            </w:r>
          </w:p>
        </w:tc>
        <w:tc>
          <w:tcPr>
            <w:tcW w:w="5593"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对食品摊贩采购食品、食品添加剂、食品相关产品未索取并留存进货凭证，凭证保存期限少于三十日的处罚</w:t>
            </w:r>
          </w:p>
        </w:tc>
        <w:tc>
          <w:tcPr>
            <w:tcW w:w="4787"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《福建省食品安全条例》第一百一十一条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食安办</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19</w:t>
            </w:r>
          </w:p>
        </w:tc>
        <w:tc>
          <w:tcPr>
            <w:tcW w:w="5593"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对小餐饮未取得登记证书的处罚</w:t>
            </w:r>
          </w:p>
        </w:tc>
        <w:tc>
          <w:tcPr>
            <w:tcW w:w="4787"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《福建省食品安全条例》第一百一十二条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食安办</w:t>
            </w:r>
          </w:p>
        </w:tc>
      </w:tr>
      <w:tr>
        <w:tblPrEx>
          <w:tblCellMar>
            <w:top w:w="0" w:type="dxa"/>
            <w:left w:w="108" w:type="dxa"/>
            <w:bottom w:w="0" w:type="dxa"/>
            <w:right w:w="108" w:type="dxa"/>
          </w:tblCellMar>
        </w:tblPrEx>
        <w:trPr>
          <w:trHeight w:val="94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20</w:t>
            </w:r>
          </w:p>
        </w:tc>
        <w:tc>
          <w:tcPr>
            <w:tcW w:w="5593"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对从事加工制作、传菜等接触直接入口食品工作的餐饮服务从业人员在工作时未规范佩戴口罩行为的处罚</w:t>
            </w:r>
          </w:p>
        </w:tc>
        <w:tc>
          <w:tcPr>
            <w:tcW w:w="4787"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《福建省餐饮服务从业人员佩戴口罩的规定》第</w:t>
            </w:r>
          </w:p>
          <w:p>
            <w:pPr>
              <w:widowControl/>
              <w:autoSpaceDE w:val="0"/>
              <w:autoSpaceDN w:val="0"/>
              <w:spacing w:before="160" w:after="0" w:line="240" w:lineRule="exact"/>
              <w:ind w:left="106" w:right="0" w:firstLine="0"/>
              <w:jc w:val="left"/>
            </w:pPr>
            <w:r>
              <w:rPr>
                <w:rFonts w:ascii="Fq4jro3k+FangSong_GB2312" w:hAnsi="Fq4jro3k+FangSong_GB2312" w:eastAsia="Fq4jro3k+FangSong_GB2312"/>
                <w:color w:val="000000"/>
                <w:sz w:val="24"/>
              </w:rPr>
              <w:t>一条、第三条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食安办</w:t>
            </w:r>
          </w:p>
        </w:tc>
      </w:tr>
      <w:tr>
        <w:tblPrEx>
          <w:tblCellMar>
            <w:top w:w="0" w:type="dxa"/>
            <w:left w:w="108" w:type="dxa"/>
            <w:bottom w:w="0" w:type="dxa"/>
            <w:right w:w="108" w:type="dxa"/>
          </w:tblCellMar>
        </w:tblPrEx>
        <w:trPr>
          <w:trHeight w:val="962"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21</w:t>
            </w:r>
          </w:p>
        </w:tc>
        <w:tc>
          <w:tcPr>
            <w:tcW w:w="5593"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0" w:after="0" w:line="240" w:lineRule="exact"/>
              <w:ind w:left="0" w:right="0" w:firstLine="0"/>
              <w:jc w:val="center"/>
            </w:pPr>
            <w:r>
              <w:rPr>
                <w:rFonts w:ascii="Fq4jro3k+FangSong_GB2312" w:hAnsi="Fq4jro3k+FangSong_GB2312" w:eastAsia="Fq4jro3k+FangSong_GB2312"/>
                <w:color w:val="000000"/>
                <w:sz w:val="24"/>
              </w:rPr>
              <w:t>对餐饮服务经营者未主动对消费者进行防止食品浪费提示提醒的处罚</w:t>
            </w:r>
          </w:p>
        </w:tc>
        <w:tc>
          <w:tcPr>
            <w:tcW w:w="4787"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《中华人民共和国反食品浪费法》第二十八条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食安办</w:t>
            </w:r>
          </w:p>
        </w:tc>
      </w:tr>
    </w:tbl>
    <w:p>
      <w:pPr>
        <w:sectPr>
          <w:pgSz w:w="16838" w:h="12306"/>
          <w:pgMar w:top="764" w:right="1428" w:bottom="594" w:left="1220" w:header="720" w:footer="720" w:gutter="0"/>
          <w:cols w:equalWidth="0" w:num="1">
            <w:col w:w="14190"/>
          </w:cols>
          <w:docGrid w:linePitch="360" w:charSpace="0"/>
        </w:sectPr>
      </w:pPr>
    </w:p>
    <w:p>
      <w:pPr>
        <w:widowControl/>
        <w:autoSpaceDE w:val="0"/>
        <w:autoSpaceDN w:val="0"/>
        <w:spacing w:before="542"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66"/>
        <w:gridCol w:w="5428"/>
        <w:gridCol w:w="4952"/>
        <w:gridCol w:w="1398"/>
        <w:gridCol w:w="1606"/>
      </w:tblGrid>
      <w:tr>
        <w:tblPrEx>
          <w:tblCellMar>
            <w:top w:w="0" w:type="dxa"/>
            <w:left w:w="108" w:type="dxa"/>
            <w:bottom w:w="0" w:type="dxa"/>
            <w:right w:w="108" w:type="dxa"/>
          </w:tblCellMar>
        </w:tblPrEx>
        <w:trPr>
          <w:trHeight w:val="628" w:hRule="exact"/>
        </w:trPr>
        <w:tc>
          <w:tcPr>
            <w:tcW w:w="76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序号</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职权名称</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实施依据</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职权类型</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hint="eastAsia" w:ascii="s4ARATot+SimHei" w:hAnsi="s4ARATot+SimHei" w:eastAsia="s4ARATot+SimHei"/>
                <w:color w:val="000000"/>
                <w:sz w:val="24"/>
              </w:rPr>
              <w:t>责任部门</w:t>
            </w:r>
          </w:p>
        </w:tc>
      </w:tr>
      <w:tr>
        <w:tblPrEx>
          <w:tblCellMar>
            <w:top w:w="0" w:type="dxa"/>
            <w:left w:w="108" w:type="dxa"/>
            <w:bottom w:w="0" w:type="dxa"/>
            <w:right w:w="108" w:type="dxa"/>
          </w:tblCellMar>
        </w:tblPrEx>
        <w:trPr>
          <w:trHeight w:val="12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76" w:after="0" w:line="264" w:lineRule="exact"/>
              <w:ind w:left="0" w:right="0" w:firstLine="0"/>
              <w:jc w:val="center"/>
            </w:pPr>
            <w:r>
              <w:rPr>
                <w:rFonts w:ascii="hZLRXykt+TimesNewRomanPSMT" w:hAnsi="hZLRXykt+TimesNewRomanPSMT" w:eastAsia="hZLRXykt+TimesNewRomanPSMT"/>
                <w:color w:val="000000"/>
                <w:sz w:val="24"/>
              </w:rPr>
              <w:t>22</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74" w:lineRule="exact"/>
              <w:ind w:left="102" w:right="84" w:firstLine="0"/>
              <w:jc w:val="both"/>
            </w:pPr>
            <w:r>
              <w:rPr>
                <w:rFonts w:ascii="Fq4jro3k+FangSong_GB2312" w:hAnsi="Fq4jro3k+FangSong_GB2312" w:eastAsia="Fq4jro3k+FangSong_GB2312"/>
                <w:color w:val="000000"/>
                <w:sz w:val="24"/>
              </w:rPr>
              <w:t>对在学校、幼儿园和其他未成年人集中活动的公共场所吸烟、饮酒，场所管理者未及时制止有关行为的处罚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《中华人民共和国未成年人保护法》第一百二十</w:t>
            </w:r>
          </w:p>
          <w:p>
            <w:pPr>
              <w:widowControl/>
              <w:autoSpaceDE w:val="0"/>
              <w:autoSpaceDN w:val="0"/>
              <w:spacing w:before="160" w:after="0" w:line="240" w:lineRule="exact"/>
              <w:ind w:left="106" w:right="0" w:firstLine="0"/>
              <w:jc w:val="left"/>
            </w:pPr>
            <w:r>
              <w:rPr>
                <w:rFonts w:ascii="Fq4jro3k+FangSong_GB2312" w:hAnsi="Fq4jro3k+FangSong_GB2312" w:eastAsia="Fq4jro3k+FangSong_GB2312"/>
                <w:color w:val="000000"/>
                <w:sz w:val="24"/>
              </w:rPr>
              <w:t>四条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教育办</w:t>
            </w:r>
          </w:p>
        </w:tc>
      </w:tr>
      <w:tr>
        <w:tblPrEx>
          <w:tblCellMar>
            <w:top w:w="0" w:type="dxa"/>
            <w:left w:w="108" w:type="dxa"/>
            <w:bottom w:w="0" w:type="dxa"/>
            <w:right w:w="108" w:type="dxa"/>
          </w:tblCellMar>
        </w:tblPrEx>
        <w:trPr>
          <w:trHeight w:val="12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74" w:after="0" w:line="266" w:lineRule="exact"/>
              <w:ind w:left="0" w:right="0" w:firstLine="0"/>
              <w:jc w:val="center"/>
            </w:pPr>
            <w:r>
              <w:rPr>
                <w:rFonts w:ascii="hZLRXykt+TimesNewRomanPSMT" w:hAnsi="hZLRXykt+TimesNewRomanPSMT" w:eastAsia="hZLRXykt+TimesNewRomanPSMT"/>
                <w:color w:val="000000"/>
                <w:sz w:val="24"/>
              </w:rPr>
              <w:t>23</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74" w:lineRule="exact"/>
              <w:ind w:left="102" w:right="84" w:firstLine="0"/>
              <w:jc w:val="both"/>
            </w:pPr>
            <w:r>
              <w:rPr>
                <w:rFonts w:ascii="Fq4jro3k+FangSong_GB2312" w:hAnsi="Fq4jro3k+FangSong_GB2312" w:eastAsia="Fq4jro3k+FangSong_GB2312"/>
                <w:color w:val="000000"/>
                <w:sz w:val="24"/>
              </w:rPr>
              <w:t>对农业投入品生产者、销售者、使用者未按照规定及时回收肥料等农业投入品的包装废弃物或者农用薄膜等行为的处罚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《中华人民共和国土壤污染防治法》第八十八条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农技站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6" w:after="0" w:line="264" w:lineRule="exact"/>
              <w:ind w:left="0" w:right="0" w:firstLine="0"/>
              <w:jc w:val="center"/>
            </w:pPr>
            <w:r>
              <w:rPr>
                <w:rFonts w:ascii="hZLRXykt+TimesNewRomanPSMT" w:hAnsi="hZLRXykt+TimesNewRomanPSMT" w:eastAsia="hZLRXykt+TimesNewRomanPSMT"/>
                <w:color w:val="000000"/>
                <w:sz w:val="24"/>
              </w:rPr>
              <w:t>24</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对农村村民未经批准或者采取欺骗手段骗取批准，</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非法占用土地建住宅的行政处罚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《中华人民共和国土地管理法》第七十八条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农技站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25</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对无兽药经营许可证经营兽药等行为的行政处罚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《兽药管理条例》第五十六条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rPr>
              <w:t>畜牧</w:t>
            </w:r>
            <w:r>
              <w:rPr>
                <w:rFonts w:hint="eastAsia" w:ascii="Fq4jro3k+FangSong_GB2312" w:hAnsi="Fq4jro3k+FangSong_GB2312" w:eastAsia="Fq4jro3k+FangSong_GB2312"/>
                <w:color w:val="000000"/>
                <w:sz w:val="24"/>
                <w:lang w:eastAsia="zh-CN"/>
              </w:rPr>
              <w:t>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6" w:after="0" w:line="264" w:lineRule="exact"/>
              <w:ind w:left="0" w:right="0" w:firstLine="0"/>
              <w:jc w:val="center"/>
            </w:pPr>
            <w:r>
              <w:rPr>
                <w:rFonts w:ascii="hZLRXykt+TimesNewRomanPSMT" w:hAnsi="hZLRXykt+TimesNewRomanPSMT" w:eastAsia="hZLRXykt+TimesNewRomanPSMT"/>
                <w:color w:val="000000"/>
                <w:sz w:val="24"/>
              </w:rPr>
              <w:t>26</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对未取得动物诊疗许可证从事动物诊疗活动的行政</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《中华人民共和国动物防疫法》第一百零五条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rPr>
              <w:t>畜牧</w:t>
            </w:r>
            <w:r>
              <w:rPr>
                <w:rFonts w:hint="eastAsia" w:ascii="Fq4jro3k+FangSong_GB2312" w:hAnsi="Fq4jro3k+FangSong_GB2312" w:eastAsia="Fq4jro3k+FangSong_GB2312"/>
                <w:color w:val="000000"/>
                <w:sz w:val="24"/>
                <w:lang w:eastAsia="zh-CN"/>
              </w:rPr>
              <w:t>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27</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未经执业兽医备案从事经营性动物诊疗活动的行政</w:t>
            </w:r>
          </w:p>
          <w:p>
            <w:pPr>
              <w:widowControl/>
              <w:autoSpaceDE w:val="0"/>
              <w:autoSpaceDN w:val="0"/>
              <w:spacing w:before="158" w:after="0" w:line="240" w:lineRule="exact"/>
              <w:ind w:left="102" w:right="0" w:firstLine="0"/>
              <w:jc w:val="left"/>
            </w:pPr>
            <w:r>
              <w:rPr>
                <w:rFonts w:ascii="Fq4jro3k+FangSong_GB2312" w:hAnsi="Fq4jro3k+FangSong_GB2312" w:eastAsia="Fq4jro3k+FangSong_GB2312"/>
                <w:color w:val="000000"/>
                <w:sz w:val="24"/>
              </w:rPr>
              <w:t>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《中华人民共和国动物防疫法》第一百零六条</w:t>
            </w:r>
          </w:p>
          <w:p>
            <w:pPr>
              <w:widowControl/>
              <w:autoSpaceDE w:val="0"/>
              <w:autoSpaceDN w:val="0"/>
              <w:spacing w:before="158" w:after="0" w:line="240" w:lineRule="exact"/>
              <w:ind w:left="106" w:right="0" w:firstLine="0"/>
              <w:jc w:val="left"/>
            </w:pPr>
            <w:r>
              <w:rPr>
                <w:rFonts w:ascii="Fq4jro3k+FangSong_GB2312" w:hAnsi="Fq4jro3k+FangSong_GB2312" w:eastAsia="Fq4jro3k+FangSong_GB2312"/>
                <w:color w:val="000000"/>
                <w:sz w:val="24"/>
              </w:rPr>
              <w:t>第一款</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rPr>
              <w:t>畜牧</w:t>
            </w:r>
            <w:r>
              <w:rPr>
                <w:rFonts w:hint="eastAsia" w:ascii="Fq4jro3k+FangSong_GB2312" w:hAnsi="Fq4jro3k+FangSong_GB2312" w:eastAsia="Fq4jro3k+FangSong_GB2312"/>
                <w:color w:val="000000"/>
                <w:sz w:val="24"/>
                <w:lang w:eastAsia="zh-CN"/>
              </w:rPr>
              <w:t>站</w:t>
            </w:r>
          </w:p>
        </w:tc>
      </w:tr>
      <w:tr>
        <w:tblPrEx>
          <w:tblCellMar>
            <w:top w:w="0" w:type="dxa"/>
            <w:left w:w="108" w:type="dxa"/>
            <w:bottom w:w="0" w:type="dxa"/>
            <w:right w:w="108" w:type="dxa"/>
          </w:tblCellMar>
        </w:tblPrEx>
        <w:trPr>
          <w:trHeight w:val="16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674" w:after="0" w:line="266" w:lineRule="exact"/>
              <w:ind w:left="0" w:right="0" w:firstLine="0"/>
              <w:jc w:val="center"/>
            </w:pPr>
            <w:r>
              <w:rPr>
                <w:rFonts w:ascii="hZLRXykt+TimesNewRomanPSMT" w:hAnsi="hZLRXykt+TimesNewRomanPSMT" w:eastAsia="hZLRXykt+TimesNewRomanPSMT"/>
                <w:color w:val="000000"/>
                <w:sz w:val="24"/>
              </w:rPr>
              <w:t>28</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682" w:after="0" w:line="240" w:lineRule="exact"/>
              <w:ind w:left="102" w:right="0" w:firstLine="0"/>
              <w:jc w:val="left"/>
            </w:pPr>
            <w:r>
              <w:rPr>
                <w:rFonts w:ascii="Fq4jro3k+FangSong_GB2312" w:hAnsi="Fq4jro3k+FangSong_GB2312" w:eastAsia="Fq4jro3k+FangSong_GB2312"/>
                <w:color w:val="000000"/>
                <w:sz w:val="24"/>
              </w:rPr>
              <w:t>对拖拉机、联合收割机违规载人的行政处罚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80" w:lineRule="exact"/>
              <w:ind w:left="106" w:right="144" w:firstLine="0"/>
              <w:jc w:val="left"/>
            </w:pPr>
            <w:r>
              <w:rPr>
                <w:rFonts w:ascii="hZLRXykt+TimesNewRomanPSMT" w:hAnsi="hZLRXykt+TimesNewRomanPSMT" w:eastAsia="hZLRXykt+TimesNewRomanPSMT"/>
                <w:color w:val="000000"/>
                <w:sz w:val="24"/>
              </w:rPr>
              <w:t>1.</w:t>
            </w:r>
            <w:r>
              <w:rPr>
                <w:rFonts w:ascii="Fq4jro3k+FangSong_GB2312" w:hAnsi="Fq4jro3k+FangSong_GB2312" w:eastAsia="Fq4jro3k+FangSong_GB2312"/>
                <w:color w:val="000000"/>
                <w:sz w:val="24"/>
              </w:rPr>
              <w:t>《中华人民共和国农业机械化促进法》第三十一条</w:t>
            </w:r>
            <w:r>
              <w:br w:type="textWrapping"/>
            </w:r>
            <w:r>
              <w:rPr>
                <w:rFonts w:ascii="hZLRXykt+TimesNewRomanPSMT" w:hAnsi="hZLRXykt+TimesNewRomanPSMT" w:eastAsia="hZLRXykt+TimesNewRomanPSMT"/>
                <w:color w:val="000000"/>
                <w:sz w:val="24"/>
              </w:rPr>
              <w:t>2.</w:t>
            </w:r>
            <w:r>
              <w:rPr>
                <w:rFonts w:ascii="Fq4jro3k+FangSong_GB2312" w:hAnsi="Fq4jro3k+FangSong_GB2312" w:eastAsia="Fq4jro3k+FangSong_GB2312"/>
                <w:color w:val="000000"/>
                <w:sz w:val="24"/>
              </w:rPr>
              <w:t>《农业机械安全监督管理条例》第五十四条第一款</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6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682"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农机站</w:t>
            </w:r>
          </w:p>
        </w:tc>
      </w:tr>
      <w:tr>
        <w:tblPrEx>
          <w:tblCellMar>
            <w:top w:w="0" w:type="dxa"/>
            <w:left w:w="108" w:type="dxa"/>
            <w:bottom w:w="0" w:type="dxa"/>
            <w:right w:w="108" w:type="dxa"/>
          </w:tblCellMar>
        </w:tblPrEx>
        <w:trPr>
          <w:trHeight w:val="808"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29</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对农业机械维修者未按规定填写维修记录和报送年</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度维修情况统计表的行政处罚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106" w:right="0" w:firstLine="0"/>
              <w:jc w:val="left"/>
            </w:pPr>
            <w:r>
              <w:rPr>
                <w:rFonts w:ascii="Fq4jro3k+FangSong_GB2312" w:hAnsi="Fq4jro3k+FangSong_GB2312" w:eastAsia="Fq4jro3k+FangSong_GB2312"/>
                <w:color w:val="000000"/>
                <w:sz w:val="24"/>
              </w:rPr>
              <w:t>《农业机械维修管理规定》第二十三条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hint="eastAsia" w:ascii="Fq4jro3k+FangSong_GB2312" w:hAnsi="Fq4jro3k+FangSong_GB2312" w:eastAsia="Fq4jro3k+FangSong_GB2312"/>
                <w:color w:val="000000"/>
                <w:sz w:val="24"/>
                <w:lang w:eastAsia="zh-CN"/>
              </w:rPr>
              <w:t>农机站</w:t>
            </w:r>
          </w:p>
        </w:tc>
      </w:tr>
    </w:tbl>
    <w:p>
      <w:pPr>
        <w:sectPr>
          <w:pgSz w:w="16838" w:h="12306"/>
          <w:pgMar w:top="764" w:right="1428" w:bottom="594" w:left="1220" w:header="720" w:footer="720" w:gutter="0"/>
          <w:cols w:equalWidth="0" w:num="1">
            <w:col w:w="14190"/>
          </w:cols>
          <w:docGrid w:linePitch="360" w:charSpace="0"/>
        </w:sectPr>
      </w:pPr>
    </w:p>
    <w:p>
      <w:pPr>
        <w:widowControl/>
        <w:autoSpaceDE w:val="0"/>
        <w:autoSpaceDN w:val="0"/>
        <w:spacing w:before="542"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66"/>
        <w:gridCol w:w="5428"/>
        <w:gridCol w:w="4952"/>
        <w:gridCol w:w="1398"/>
        <w:gridCol w:w="1606"/>
      </w:tblGrid>
      <w:tr>
        <w:tblPrEx>
          <w:tblCellMar>
            <w:top w:w="0" w:type="dxa"/>
            <w:left w:w="108" w:type="dxa"/>
            <w:bottom w:w="0" w:type="dxa"/>
            <w:right w:w="108" w:type="dxa"/>
          </w:tblCellMar>
        </w:tblPrEx>
        <w:trPr>
          <w:trHeight w:val="628" w:hRule="exact"/>
        </w:trPr>
        <w:tc>
          <w:tcPr>
            <w:tcW w:w="76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序号</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职权名称</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实施依据</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职权类型</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hint="eastAsia" w:ascii="s4ARATot+SimHei" w:hAnsi="s4ARATot+SimHei" w:eastAsia="s4ARATot+SimHei"/>
                <w:color w:val="000000"/>
                <w:sz w:val="24"/>
              </w:rPr>
              <w:t>责任部门</w:t>
            </w:r>
          </w:p>
        </w:tc>
      </w:tr>
      <w:tr>
        <w:tblPrEx>
          <w:tblCellMar>
            <w:top w:w="0" w:type="dxa"/>
            <w:left w:w="108" w:type="dxa"/>
            <w:bottom w:w="0" w:type="dxa"/>
            <w:right w:w="108" w:type="dxa"/>
          </w:tblCellMar>
        </w:tblPrEx>
        <w:trPr>
          <w:trHeight w:val="12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76" w:after="0" w:line="264" w:lineRule="exact"/>
              <w:ind w:left="0" w:right="0" w:firstLine="0"/>
              <w:jc w:val="center"/>
            </w:pPr>
            <w:r>
              <w:rPr>
                <w:rFonts w:ascii="hZLRXykt+TimesNewRomanPSMT" w:hAnsi="hZLRXykt+TimesNewRomanPSMT" w:eastAsia="hZLRXykt+TimesNewRomanPSMT"/>
                <w:color w:val="000000"/>
                <w:sz w:val="24"/>
              </w:rPr>
              <w:t>30</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74" w:lineRule="exact"/>
              <w:ind w:left="102" w:right="84" w:firstLine="0"/>
              <w:jc w:val="both"/>
            </w:pPr>
            <w:r>
              <w:rPr>
                <w:rFonts w:ascii="Fq4jro3k+FangSong_GB2312" w:hAnsi="Fq4jro3k+FangSong_GB2312" w:eastAsia="Fq4jro3k+FangSong_GB2312"/>
                <w:color w:val="000000"/>
                <w:sz w:val="24"/>
              </w:rPr>
              <w:t>对未按照规定办理登记手续并取得相应的证书和牌照，擅自将拖拉机、联合收割机投入使用等行为的行政处罚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《农业机械安全监督管理条例》第五十条第一款</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hint="eastAsia" w:ascii="Fq4jro3k+FangSong_GB2312" w:hAnsi="Fq4jro3k+FangSong_GB2312" w:eastAsia="Fq4jro3k+FangSong_GB2312"/>
                <w:color w:val="000000"/>
                <w:sz w:val="24"/>
                <w:lang w:eastAsia="zh-CN"/>
              </w:rPr>
              <w:t>农机站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31</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对未取得拖拉机、联合收割机操作证件而操作拖拉</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机、联合收割机的行政处罚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106" w:right="0" w:firstLine="0"/>
              <w:jc w:val="left"/>
            </w:pPr>
            <w:r>
              <w:rPr>
                <w:rFonts w:ascii="Fq4jro3k+FangSong_GB2312" w:hAnsi="Fq4jro3k+FangSong_GB2312" w:eastAsia="Fq4jro3k+FangSong_GB2312"/>
                <w:color w:val="000000"/>
                <w:sz w:val="24"/>
              </w:rPr>
              <w:t>《农业机械安全监督管理条例》第五十二条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hint="eastAsia" w:ascii="Fq4jro3k+FangSong_GB2312" w:hAnsi="Fq4jro3k+FangSong_GB2312" w:eastAsia="Fq4jro3k+FangSong_GB2312"/>
                <w:color w:val="000000"/>
                <w:sz w:val="24"/>
                <w:lang w:eastAsia="zh-CN"/>
              </w:rPr>
              <w:t>农机站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32</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对自走式农业机械违法载人、酒后驾驶的行政处罚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《福建省农业机械管理条例》第三十一条第一款</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农机站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33</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对无证驾驶或者驾驶与准驾机型不符农业机械的人</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员的行政处罚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《福建省农业机械管理条例》第三十一条第二款</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hint="eastAsia" w:ascii="Fq4jro3k+FangSong_GB2312" w:hAnsi="Fq4jro3k+FangSong_GB2312" w:eastAsia="Fq4jro3k+FangSong_GB2312"/>
                <w:color w:val="000000"/>
                <w:sz w:val="24"/>
                <w:lang w:eastAsia="zh-CN"/>
              </w:rPr>
              <w:t>农机站</w:t>
            </w:r>
          </w:p>
        </w:tc>
      </w:tr>
      <w:tr>
        <w:tblPrEx>
          <w:tblCellMar>
            <w:top w:w="0" w:type="dxa"/>
            <w:left w:w="108" w:type="dxa"/>
            <w:bottom w:w="0" w:type="dxa"/>
            <w:right w:w="108" w:type="dxa"/>
          </w:tblCellMar>
        </w:tblPrEx>
        <w:trPr>
          <w:trHeight w:val="1014"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34</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对炸鱼、毒鱼、电鱼的处罚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76" w:after="0" w:line="264" w:lineRule="exact"/>
              <w:ind w:left="0" w:right="0" w:firstLine="0"/>
              <w:jc w:val="center"/>
            </w:pPr>
            <w:r>
              <w:rPr>
                <w:rFonts w:ascii="Fq4jro3k+FangSong_GB2312" w:hAnsi="Fq4jro3k+FangSong_GB2312" w:eastAsia="Fq4jro3k+FangSong_GB2312"/>
                <w:color w:val="000000"/>
                <w:sz w:val="24"/>
              </w:rPr>
              <w:t>《福建省实施</w:t>
            </w:r>
            <w:r>
              <w:rPr>
                <w:rFonts w:ascii="hZLRXykt+TimesNewRomanPSMT" w:hAnsi="hZLRXykt+TimesNewRomanPSMT" w:eastAsia="hZLRXykt+TimesNewRomanPSMT"/>
                <w:color w:val="000000"/>
                <w:sz w:val="24"/>
              </w:rPr>
              <w:t>&lt;</w:t>
            </w:r>
            <w:r>
              <w:rPr>
                <w:rFonts w:ascii="Fq4jro3k+FangSong_GB2312" w:hAnsi="Fq4jro3k+FangSong_GB2312" w:eastAsia="Fq4jro3k+FangSong_GB2312"/>
                <w:color w:val="000000"/>
                <w:sz w:val="24"/>
              </w:rPr>
              <w:t>中华人民共和国渔业法</w:t>
            </w:r>
            <w:r>
              <w:rPr>
                <w:rFonts w:ascii="hZLRXykt+TimesNewRomanPSMT" w:hAnsi="hZLRXykt+TimesNewRomanPSMT" w:eastAsia="hZLRXykt+TimesNewRomanPSMT"/>
                <w:color w:val="000000"/>
                <w:sz w:val="24"/>
              </w:rPr>
              <w:t>&gt;</w:t>
            </w:r>
            <w:r>
              <w:rPr>
                <w:rFonts w:ascii="Fq4jro3k+FangSong_GB2312" w:hAnsi="Fq4jro3k+FangSong_GB2312" w:eastAsia="Fq4jro3k+FangSong_GB2312"/>
                <w:color w:val="000000"/>
                <w:sz w:val="24"/>
              </w:rPr>
              <w:t>办法》第</w:t>
            </w:r>
          </w:p>
          <w:p>
            <w:pPr>
              <w:widowControl/>
              <w:autoSpaceDE w:val="0"/>
              <w:autoSpaceDN w:val="0"/>
              <w:spacing w:before="142" w:after="0" w:line="240" w:lineRule="exact"/>
              <w:ind w:left="106" w:right="0" w:firstLine="0"/>
              <w:jc w:val="left"/>
            </w:pPr>
            <w:r>
              <w:rPr>
                <w:rFonts w:ascii="Fq4jro3k+FangSong_GB2312" w:hAnsi="Fq4jro3k+FangSong_GB2312" w:eastAsia="Fq4jro3k+FangSong_GB2312"/>
                <w:color w:val="000000"/>
                <w:sz w:val="24"/>
              </w:rPr>
              <w:t>五十五条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河长办</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35</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102" w:right="0" w:firstLine="0"/>
              <w:jc w:val="left"/>
            </w:pPr>
            <w:r>
              <w:rPr>
                <w:rFonts w:ascii="Fq4jro3k+FangSong_GB2312" w:hAnsi="Fq4jro3k+FangSong_GB2312" w:eastAsia="Fq4jro3k+FangSong_GB2312"/>
                <w:color w:val="000000"/>
                <w:sz w:val="24"/>
              </w:rPr>
              <w:t>对擅自在农村公路上设卡、收费的处罚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《中华人民共和国公路法》第九条、第七十四条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921"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36</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对擅自占用、挖掘农村公路的处罚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《中华人民共和国公路法》第四十四条、第七十</w:t>
            </w:r>
          </w:p>
          <w:p>
            <w:pPr>
              <w:widowControl/>
              <w:autoSpaceDE w:val="0"/>
              <w:autoSpaceDN w:val="0"/>
              <w:spacing w:before="160" w:after="0" w:line="240" w:lineRule="exact"/>
              <w:ind w:left="106" w:right="0" w:firstLine="0"/>
              <w:jc w:val="left"/>
            </w:pPr>
            <w:r>
              <w:rPr>
                <w:rFonts w:ascii="Fq4jro3k+FangSong_GB2312" w:hAnsi="Fq4jro3k+FangSong_GB2312" w:eastAsia="Fq4jro3k+FangSong_GB2312"/>
                <w:color w:val="000000"/>
                <w:sz w:val="24"/>
              </w:rPr>
              <w:t>六条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1004"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4" w:lineRule="exact"/>
              <w:ind w:left="0" w:right="0" w:firstLine="0"/>
              <w:jc w:val="center"/>
            </w:pPr>
            <w:r>
              <w:rPr>
                <w:rFonts w:ascii="hZLRXykt+TimesNewRomanPSMT" w:hAnsi="hZLRXykt+TimesNewRomanPSMT" w:eastAsia="hZLRXykt+TimesNewRomanPSMT"/>
                <w:color w:val="000000"/>
                <w:sz w:val="24"/>
              </w:rPr>
              <w:t>37</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102" w:right="0" w:firstLine="0"/>
              <w:jc w:val="left"/>
            </w:pPr>
            <w:r>
              <w:rPr>
                <w:rFonts w:ascii="Fq4jro3k+FangSong_GB2312" w:hAnsi="Fq4jro3k+FangSong_GB2312" w:eastAsia="Fq4jro3k+FangSong_GB2312"/>
                <w:color w:val="000000"/>
                <w:sz w:val="24"/>
              </w:rPr>
              <w:t>对损害路面的机具擅自在农村公路上行驶的处罚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《中华人民共和国公路法》第四十八条、第七十</w:t>
            </w:r>
          </w:p>
          <w:p>
            <w:pPr>
              <w:widowControl/>
              <w:autoSpaceDE w:val="0"/>
              <w:autoSpaceDN w:val="0"/>
              <w:spacing w:before="160" w:after="0" w:line="240" w:lineRule="exact"/>
              <w:ind w:left="106" w:right="0" w:firstLine="0"/>
              <w:jc w:val="left"/>
            </w:pPr>
            <w:r>
              <w:rPr>
                <w:rFonts w:ascii="Fq4jro3k+FangSong_GB2312" w:hAnsi="Fq4jro3k+FangSong_GB2312" w:eastAsia="Fq4jro3k+FangSong_GB2312"/>
                <w:color w:val="000000"/>
                <w:sz w:val="24"/>
              </w:rPr>
              <w:t>六条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0"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1208"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74" w:after="0" w:line="266" w:lineRule="exact"/>
              <w:ind w:left="0" w:right="0" w:firstLine="0"/>
              <w:jc w:val="center"/>
            </w:pPr>
            <w:r>
              <w:rPr>
                <w:rFonts w:ascii="hZLRXykt+TimesNewRomanPSMT" w:hAnsi="hZLRXykt+TimesNewRomanPSMT" w:eastAsia="hZLRXykt+TimesNewRomanPSMT"/>
                <w:color w:val="000000"/>
                <w:sz w:val="24"/>
              </w:rPr>
              <w:t>38</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74" w:lineRule="exact"/>
              <w:ind w:left="102" w:right="130" w:firstLine="0"/>
              <w:jc w:val="both"/>
            </w:pPr>
            <w:r>
              <w:rPr>
                <w:rFonts w:ascii="Fq4jro3k+FangSong_GB2312" w:hAnsi="Fq4jro3k+FangSong_GB2312" w:eastAsia="Fq4jro3k+FangSong_GB2312"/>
                <w:color w:val="000000"/>
                <w:sz w:val="24"/>
              </w:rPr>
              <w:t>对损坏、擅自移动、涂改、遮挡公路附属设施或者损坏、挪动建筑控制区的标桩、界桩以致可能危及公路安全行为的处罚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《中华人民共和国公路法》第五十二条、第七十</w:t>
            </w:r>
          </w:p>
          <w:p>
            <w:pPr>
              <w:widowControl/>
              <w:autoSpaceDE w:val="0"/>
              <w:autoSpaceDN w:val="0"/>
              <w:spacing w:before="160" w:after="0" w:line="240" w:lineRule="exact"/>
              <w:ind w:left="106" w:right="0" w:firstLine="0"/>
              <w:jc w:val="left"/>
            </w:pPr>
            <w:r>
              <w:rPr>
                <w:rFonts w:ascii="Fq4jro3k+FangSong_GB2312" w:hAnsi="Fq4jro3k+FangSong_GB2312" w:eastAsia="Fq4jro3k+FangSong_GB2312"/>
                <w:color w:val="000000"/>
                <w:sz w:val="24"/>
              </w:rPr>
              <w:t>六条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bl>
    <w:p>
      <w:pPr>
        <w:sectPr>
          <w:pgSz w:w="16838" w:h="12306"/>
          <w:pgMar w:top="764" w:right="1428" w:bottom="594" w:left="1220" w:header="720" w:footer="720" w:gutter="0"/>
          <w:cols w:equalWidth="0" w:num="1">
            <w:col w:w="14190"/>
          </w:cols>
          <w:docGrid w:linePitch="360" w:charSpace="0"/>
        </w:sectPr>
      </w:pPr>
    </w:p>
    <w:p>
      <w:pPr>
        <w:widowControl/>
        <w:autoSpaceDE w:val="0"/>
        <w:autoSpaceDN w:val="0"/>
        <w:spacing w:before="542"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66"/>
        <w:gridCol w:w="5428"/>
        <w:gridCol w:w="4952"/>
        <w:gridCol w:w="1398"/>
        <w:gridCol w:w="1606"/>
      </w:tblGrid>
      <w:tr>
        <w:tblPrEx>
          <w:tblCellMar>
            <w:top w:w="0" w:type="dxa"/>
            <w:left w:w="108" w:type="dxa"/>
            <w:bottom w:w="0" w:type="dxa"/>
            <w:right w:w="108" w:type="dxa"/>
          </w:tblCellMar>
        </w:tblPrEx>
        <w:trPr>
          <w:trHeight w:val="628" w:hRule="exact"/>
        </w:trPr>
        <w:tc>
          <w:tcPr>
            <w:tcW w:w="76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序号</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职权名称</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实施依据</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职权类型</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hint="eastAsia" w:ascii="s4ARATot+SimHei" w:hAnsi="s4ARATot+SimHei" w:eastAsia="s4ARATot+SimHei"/>
                <w:color w:val="000000"/>
                <w:sz w:val="24"/>
              </w:rPr>
              <w:t>责任部门</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39</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对利用农村公路附属设施架设管道、悬挂物品，可</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能危及公路安全的处罚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《公路安全保护条例》第二十五条、第六十条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40</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0" w:after="0" w:line="240" w:lineRule="exact"/>
              <w:ind w:left="0" w:right="0" w:firstLine="0"/>
              <w:jc w:val="center"/>
            </w:pPr>
            <w:r>
              <w:rPr>
                <w:rFonts w:ascii="Fq4jro3k+FangSong_GB2312" w:hAnsi="Fq4jro3k+FangSong_GB2312" w:eastAsia="Fq4jro3k+FangSong_GB2312"/>
                <w:color w:val="000000"/>
                <w:sz w:val="24"/>
              </w:rPr>
              <w:t>对占用农村公路、公路用地从事经营性车辆加水或</w:t>
            </w:r>
          </w:p>
          <w:p>
            <w:pPr>
              <w:widowControl/>
              <w:autoSpaceDE w:val="0"/>
              <w:autoSpaceDN w:val="0"/>
              <w:spacing w:before="162" w:after="0" w:line="240" w:lineRule="exact"/>
              <w:ind w:left="102" w:right="0" w:firstLine="0"/>
              <w:jc w:val="left"/>
            </w:pPr>
            <w:r>
              <w:rPr>
                <w:rFonts w:ascii="Fq4jro3k+FangSong_GB2312" w:hAnsi="Fq4jro3k+FangSong_GB2312" w:eastAsia="Fq4jro3k+FangSong_GB2312"/>
                <w:color w:val="000000"/>
                <w:sz w:val="24"/>
              </w:rPr>
              <w:t>者填塞公路边沟行为的处罚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《福建省公路路政管理条例》第二十九条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41</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对车辆装载物触地拖行、掉落、遗洒或者飘散，造</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成农村公路路面损坏、污染的处罚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《公路安全保护条例》第六十九条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16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674" w:after="0" w:line="264" w:lineRule="exact"/>
              <w:ind w:left="0" w:right="0" w:firstLine="0"/>
              <w:jc w:val="center"/>
            </w:pPr>
            <w:r>
              <w:rPr>
                <w:rFonts w:ascii="hZLRXykt+TimesNewRomanPSMT" w:hAnsi="hZLRXykt+TimesNewRomanPSMT" w:eastAsia="hZLRXykt+TimesNewRomanPSMT"/>
                <w:color w:val="000000"/>
                <w:sz w:val="24"/>
              </w:rPr>
              <w:t>42</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对在农村公路建筑控制区内修建（改建、扩建）建筑</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物、地面构筑物的处罚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60" w:lineRule="exact"/>
              <w:ind w:left="106" w:right="144" w:firstLine="0"/>
              <w:jc w:val="left"/>
            </w:pPr>
            <w:r>
              <w:rPr>
                <w:rFonts w:ascii="hZLRXykt+TimesNewRomanPSMT" w:hAnsi="hZLRXykt+TimesNewRomanPSMT" w:eastAsia="hZLRXykt+TimesNewRomanPSMT"/>
                <w:color w:val="000000"/>
                <w:sz w:val="24"/>
              </w:rPr>
              <w:t>1.</w:t>
            </w:r>
            <w:r>
              <w:rPr>
                <w:rFonts w:ascii="Fq4jro3k+FangSong_GB2312" w:hAnsi="Fq4jro3k+FangSong_GB2312" w:eastAsia="Fq4jro3k+FangSong_GB2312"/>
                <w:color w:val="000000"/>
                <w:sz w:val="24"/>
              </w:rPr>
              <w:t>《中华人民共和国公路法》第五十六条、第八十一条</w:t>
            </w:r>
          </w:p>
          <w:p>
            <w:pPr>
              <w:widowControl/>
              <w:autoSpaceDE w:val="0"/>
              <w:autoSpaceDN w:val="0"/>
              <w:spacing w:before="152" w:after="0" w:line="266" w:lineRule="exact"/>
              <w:ind w:left="106" w:right="0" w:firstLine="0"/>
              <w:jc w:val="left"/>
            </w:pPr>
            <w:r>
              <w:rPr>
                <w:rFonts w:ascii="hZLRXykt+TimesNewRomanPSMT" w:hAnsi="hZLRXykt+TimesNewRomanPSMT" w:eastAsia="hZLRXykt+TimesNewRomanPSMT"/>
                <w:color w:val="000000"/>
                <w:sz w:val="24"/>
              </w:rPr>
              <w:t>2.</w:t>
            </w:r>
            <w:r>
              <w:rPr>
                <w:rFonts w:ascii="Fq4jro3k+FangSong_GB2312" w:hAnsi="Fq4jro3k+FangSong_GB2312" w:eastAsia="Fq4jro3k+FangSong_GB2312"/>
                <w:color w:val="000000"/>
                <w:sz w:val="24"/>
              </w:rPr>
              <w:t>《公路安全保护条例》第五十六条</w:t>
            </w:r>
          </w:p>
          <w:p>
            <w:pPr>
              <w:widowControl/>
              <w:autoSpaceDE w:val="0"/>
              <w:autoSpaceDN w:val="0"/>
              <w:spacing w:before="134" w:after="0" w:line="264" w:lineRule="exact"/>
              <w:ind w:left="106" w:right="0" w:firstLine="0"/>
              <w:jc w:val="left"/>
            </w:pPr>
            <w:r>
              <w:rPr>
                <w:rFonts w:ascii="hZLRXykt+TimesNewRomanPSMT" w:hAnsi="hZLRXykt+TimesNewRomanPSMT" w:eastAsia="hZLRXykt+TimesNewRomanPSMT"/>
                <w:color w:val="000000"/>
                <w:sz w:val="24"/>
              </w:rPr>
              <w:t>3.</w:t>
            </w:r>
            <w:r>
              <w:rPr>
                <w:rFonts w:ascii="Fq4jro3k+FangSong_GB2312" w:hAnsi="Fq4jro3k+FangSong_GB2312" w:eastAsia="Fq4jro3k+FangSong_GB2312"/>
                <w:color w:val="000000"/>
                <w:sz w:val="24"/>
              </w:rPr>
              <w:t>《福建省公路路政管理条例》第二十九条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680"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680"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12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74" w:after="0" w:line="266" w:lineRule="exact"/>
              <w:ind w:left="0" w:right="0" w:firstLine="0"/>
              <w:jc w:val="center"/>
            </w:pPr>
            <w:r>
              <w:rPr>
                <w:rFonts w:ascii="hZLRXykt+TimesNewRomanPSMT" w:hAnsi="hZLRXykt+TimesNewRomanPSMT" w:eastAsia="hZLRXykt+TimesNewRomanPSMT"/>
                <w:color w:val="000000"/>
                <w:sz w:val="24"/>
              </w:rPr>
              <w:t>43</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0" w:after="0" w:line="374" w:lineRule="exact"/>
              <w:ind w:left="102" w:right="130" w:firstLine="0"/>
              <w:jc w:val="both"/>
            </w:pPr>
            <w:r>
              <w:rPr>
                <w:rFonts w:ascii="Fq4jro3k+FangSong_GB2312" w:hAnsi="Fq4jro3k+FangSong_GB2312" w:eastAsia="Fq4jro3k+FangSong_GB2312"/>
                <w:color w:val="000000"/>
                <w:sz w:val="24"/>
              </w:rPr>
              <w:t>对在农村公路建筑控制区外修建的建筑物、地面构筑物以及其他设施遮挡公路标志或者妨碍安全视距的处罚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482" w:after="0" w:line="240" w:lineRule="exact"/>
              <w:ind w:left="106" w:right="0" w:firstLine="0"/>
              <w:jc w:val="left"/>
            </w:pPr>
            <w:r>
              <w:rPr>
                <w:rFonts w:ascii="Fq4jro3k+FangSong_GB2312" w:hAnsi="Fq4jro3k+FangSong_GB2312" w:eastAsia="Fq4jro3k+FangSong_GB2312"/>
                <w:color w:val="000000"/>
                <w:sz w:val="24"/>
              </w:rPr>
              <w:t>《公路安全保护条例》第十三条、第五十六条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4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44</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0" w:after="0" w:line="240" w:lineRule="exact"/>
              <w:ind w:left="0" w:right="0" w:firstLine="0"/>
              <w:jc w:val="center"/>
            </w:pPr>
            <w:r>
              <w:rPr>
                <w:rFonts w:ascii="Fq4jro3k+FangSong_GB2312" w:hAnsi="Fq4jro3k+FangSong_GB2312" w:eastAsia="Fq4jro3k+FangSong_GB2312"/>
                <w:color w:val="000000"/>
                <w:sz w:val="24"/>
              </w:rPr>
              <w:t>对利用农村公路桥梁进行牵拉、吊装等危及公路桥</w:t>
            </w:r>
          </w:p>
          <w:p>
            <w:pPr>
              <w:widowControl/>
              <w:autoSpaceDE w:val="0"/>
              <w:autoSpaceDN w:val="0"/>
              <w:spacing w:before="162" w:after="0" w:line="240" w:lineRule="exact"/>
              <w:ind w:left="102" w:right="0" w:firstLine="0"/>
              <w:jc w:val="left"/>
            </w:pPr>
            <w:r>
              <w:rPr>
                <w:rFonts w:ascii="Fq4jro3k+FangSong_GB2312" w:hAnsi="Fq4jro3k+FangSong_GB2312" w:eastAsia="Fq4jro3k+FangSong_GB2312"/>
                <w:color w:val="000000"/>
                <w:sz w:val="24"/>
              </w:rPr>
              <w:t>梁安全的施工作业的处罚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《公路安全保护条例》第五十九条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45</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对造成农村公路损坏未报告的处罚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《中华人民共和国公路法》第七十八条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hint="eastAsia" w:ascii="Fq4jro3k+FangSong_GB2312" w:hAnsi="Fq4jro3k+FangSong_GB2312" w:eastAsia="Fq4jro3k+FangSong_GB2312"/>
                <w:color w:val="000000"/>
                <w:sz w:val="24"/>
                <w:lang w:eastAsia="zh-CN"/>
              </w:rPr>
              <w:t>交管站</w:t>
            </w:r>
          </w:p>
        </w:tc>
      </w:tr>
      <w:tr>
        <w:tblPrEx>
          <w:tblCellMar>
            <w:top w:w="0" w:type="dxa"/>
            <w:left w:w="108" w:type="dxa"/>
            <w:bottom w:w="0" w:type="dxa"/>
            <w:right w:w="108" w:type="dxa"/>
          </w:tblCellMar>
        </w:tblPrEx>
        <w:trPr>
          <w:trHeight w:val="125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46</w:t>
            </w:r>
          </w:p>
        </w:tc>
        <w:tc>
          <w:tcPr>
            <w:tcW w:w="5428"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80" w:after="0" w:line="240" w:lineRule="exact"/>
              <w:ind w:left="0" w:right="0" w:firstLine="0"/>
              <w:jc w:val="center"/>
            </w:pPr>
            <w:r>
              <w:rPr>
                <w:rFonts w:ascii="Fq4jro3k+FangSong_GB2312" w:hAnsi="Fq4jro3k+FangSong_GB2312" w:eastAsia="Fq4jro3k+FangSong_GB2312"/>
                <w:color w:val="000000"/>
                <w:sz w:val="24"/>
              </w:rPr>
              <w:t>对占用、堵塞、封闭疏散通道、安全出口或者有其他</w:t>
            </w:r>
          </w:p>
          <w:p>
            <w:pPr>
              <w:widowControl/>
              <w:autoSpaceDE w:val="0"/>
              <w:autoSpaceDN w:val="0"/>
              <w:spacing w:before="162" w:after="0" w:line="240" w:lineRule="exact"/>
              <w:ind w:left="102" w:right="0" w:firstLine="0"/>
              <w:jc w:val="left"/>
            </w:pPr>
            <w:r>
              <w:rPr>
                <w:rFonts w:ascii="Fq4jro3k+FangSong_GB2312" w:hAnsi="Fq4jro3k+FangSong_GB2312" w:eastAsia="Fq4jro3k+FangSong_GB2312"/>
                <w:color w:val="000000"/>
                <w:sz w:val="24"/>
              </w:rPr>
              <w:t>妨碍安全疏散行为的处罚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《中华人民共和国消防法》第六十条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2" w:after="0" w:line="240" w:lineRule="exact"/>
              <w:ind w:left="0" w:right="0" w:firstLine="0"/>
              <w:jc w:val="center"/>
              <w:rPr>
                <w:rFonts w:hint="eastAsia" w:eastAsia="宋体"/>
                <w:lang w:eastAsia="zh-CN"/>
              </w:rPr>
            </w:pPr>
            <w:r>
              <w:rPr>
                <w:rFonts w:hint="eastAsia" w:ascii="Fq4jro3k+FangSong_GB2312" w:hAnsi="Fq4jro3k+FangSong_GB2312" w:eastAsia="Fq4jro3k+FangSong_GB2312"/>
                <w:color w:val="000000"/>
                <w:sz w:val="24"/>
                <w:lang w:eastAsia="zh-CN"/>
              </w:rPr>
              <w:t>消防站、应急办</w:t>
            </w:r>
          </w:p>
        </w:tc>
      </w:tr>
    </w:tbl>
    <w:p>
      <w:pPr>
        <w:sectPr>
          <w:pgSz w:w="16838" w:h="12306"/>
          <w:pgMar w:top="764" w:right="1428" w:bottom="594" w:left="1220" w:header="720" w:footer="720" w:gutter="0"/>
          <w:cols w:equalWidth="0" w:num="1">
            <w:col w:w="14190"/>
          </w:cols>
          <w:docGrid w:linePitch="360" w:charSpace="0"/>
        </w:sectPr>
      </w:pPr>
    </w:p>
    <w:tbl>
      <w:tblPr>
        <w:tblStyle w:val="2"/>
        <w:tblpPr w:leftFromText="180" w:rightFromText="180" w:vertAnchor="text" w:horzAnchor="page" w:tblpX="1100" w:tblpY="214"/>
        <w:tblOverlap w:val="never"/>
        <w:tblW w:w="0" w:type="auto"/>
        <w:tblInd w:w="0" w:type="dxa"/>
        <w:tblLayout w:type="fixed"/>
        <w:tblCellMar>
          <w:top w:w="0" w:type="dxa"/>
          <w:left w:w="108" w:type="dxa"/>
          <w:bottom w:w="0" w:type="dxa"/>
          <w:right w:w="108" w:type="dxa"/>
        </w:tblCellMar>
      </w:tblPr>
      <w:tblGrid>
        <w:gridCol w:w="766"/>
        <w:gridCol w:w="5428"/>
        <w:gridCol w:w="4952"/>
        <w:gridCol w:w="1398"/>
        <w:gridCol w:w="1606"/>
      </w:tblGrid>
      <w:tr>
        <w:tblPrEx>
          <w:tblCellMar>
            <w:top w:w="0" w:type="dxa"/>
            <w:left w:w="108" w:type="dxa"/>
            <w:bottom w:w="0" w:type="dxa"/>
            <w:right w:w="108" w:type="dxa"/>
          </w:tblCellMar>
        </w:tblPrEx>
        <w:trPr>
          <w:trHeight w:val="628" w:hRule="exact"/>
        </w:trPr>
        <w:tc>
          <w:tcPr>
            <w:tcW w:w="76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序号</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职权名称</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实施依据</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ascii="s4ARATot+SimHei" w:hAnsi="s4ARATot+SimHei" w:eastAsia="s4ARATot+SimHei"/>
                <w:color w:val="000000"/>
                <w:sz w:val="24"/>
              </w:rPr>
              <w:t>职权类型</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92" w:after="0" w:line="240" w:lineRule="exact"/>
              <w:ind w:left="0" w:right="0" w:firstLine="0"/>
              <w:jc w:val="center"/>
            </w:pPr>
            <w:r>
              <w:rPr>
                <w:rFonts w:hint="eastAsia" w:ascii="s4ARATot+SimHei" w:hAnsi="s4ARATot+SimHei" w:eastAsia="s4ARATot+SimHei"/>
                <w:color w:val="000000"/>
                <w:sz w:val="24"/>
              </w:rPr>
              <w:t>责任部门</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47</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2" w:right="0" w:firstLine="0"/>
              <w:jc w:val="left"/>
            </w:pPr>
            <w:r>
              <w:rPr>
                <w:rFonts w:ascii="Fq4jro3k+FangSong_GB2312" w:hAnsi="Fq4jro3k+FangSong_GB2312" w:eastAsia="Fq4jro3k+FangSong_GB2312"/>
                <w:color w:val="000000"/>
                <w:sz w:val="24"/>
              </w:rPr>
              <w:t>对占用、堵塞、封闭消防车通道的处罚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《中华人民共和国消防法》第六十条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0" w:after="0" w:line="240" w:lineRule="exact"/>
              <w:ind w:left="0" w:right="0" w:firstLine="0"/>
              <w:jc w:val="center"/>
            </w:pPr>
            <w:r>
              <w:rPr>
                <w:rFonts w:hint="eastAsia" w:ascii="Fq4jro3k+FangSong_GB2312" w:hAnsi="Fq4jro3k+FangSong_GB2312" w:eastAsia="Fq4jro3k+FangSong_GB2312"/>
                <w:color w:val="000000"/>
                <w:sz w:val="24"/>
                <w:lang w:eastAsia="zh-CN"/>
              </w:rPr>
              <w:t>消防站、应急办</w:t>
            </w:r>
          </w:p>
        </w:tc>
      </w:tr>
      <w:tr>
        <w:tblPrEx>
          <w:tblCellMar>
            <w:top w:w="0" w:type="dxa"/>
            <w:left w:w="108" w:type="dxa"/>
            <w:bottom w:w="0" w:type="dxa"/>
            <w:right w:w="108" w:type="dxa"/>
          </w:tblCellMar>
        </w:tblPrEx>
        <w:trPr>
          <w:trHeight w:val="996"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48</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0" w:after="0" w:line="240" w:lineRule="exact"/>
              <w:ind w:left="0" w:right="0" w:firstLine="0"/>
              <w:jc w:val="center"/>
            </w:pPr>
            <w:r>
              <w:rPr>
                <w:rFonts w:ascii="Fq4jro3k+FangSong_GB2312" w:hAnsi="Fq4jro3k+FangSong_GB2312" w:eastAsia="Fq4jro3k+FangSong_GB2312"/>
                <w:color w:val="000000"/>
                <w:sz w:val="24"/>
              </w:rPr>
              <w:t>对生产、储存、经营其他物品的场所与居住场所设置</w:t>
            </w:r>
          </w:p>
          <w:p>
            <w:pPr>
              <w:widowControl/>
              <w:autoSpaceDE w:val="0"/>
              <w:autoSpaceDN w:val="0"/>
              <w:spacing w:before="162" w:after="0" w:line="240" w:lineRule="exact"/>
              <w:ind w:left="102" w:right="0" w:firstLine="0"/>
              <w:jc w:val="left"/>
            </w:pPr>
            <w:r>
              <w:rPr>
                <w:rFonts w:ascii="Fq4jro3k+FangSong_GB2312" w:hAnsi="Fq4jro3k+FangSong_GB2312" w:eastAsia="Fq4jro3k+FangSong_GB2312"/>
                <w:color w:val="000000"/>
                <w:sz w:val="24"/>
              </w:rPr>
              <w:t>在同一建筑物内，不符合消防技术标准的处罚</w:t>
            </w:r>
          </w:p>
        </w:tc>
        <w:tc>
          <w:tcPr>
            <w:tcW w:w="4952"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《中华人民共和国消防法》第六十一条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2" w:after="0" w:line="240" w:lineRule="exact"/>
              <w:ind w:left="0" w:right="0" w:firstLine="0"/>
              <w:jc w:val="center"/>
            </w:pPr>
            <w:r>
              <w:rPr>
                <w:rFonts w:hint="eastAsia" w:ascii="Fq4jro3k+FangSong_GB2312" w:hAnsi="Fq4jro3k+FangSong_GB2312" w:eastAsia="Fq4jro3k+FangSong_GB2312"/>
                <w:color w:val="000000"/>
                <w:sz w:val="24"/>
                <w:lang w:eastAsia="zh-CN"/>
              </w:rPr>
              <w:t>消防站、应急办</w:t>
            </w:r>
          </w:p>
        </w:tc>
      </w:tr>
      <w:tr>
        <w:tblPrEx>
          <w:tblCellMar>
            <w:top w:w="0" w:type="dxa"/>
            <w:left w:w="108" w:type="dxa"/>
            <w:bottom w:w="0" w:type="dxa"/>
            <w:right w:w="108" w:type="dxa"/>
          </w:tblCellMar>
        </w:tblPrEx>
        <w:trPr>
          <w:trHeight w:val="810" w:hRule="exact"/>
        </w:trPr>
        <w:tc>
          <w:tcPr>
            <w:tcW w:w="766"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74" w:after="0" w:line="266" w:lineRule="exact"/>
              <w:ind w:left="0" w:right="0" w:firstLine="0"/>
              <w:jc w:val="center"/>
            </w:pPr>
            <w:r>
              <w:rPr>
                <w:rFonts w:ascii="hZLRXykt+TimesNewRomanPSMT" w:hAnsi="hZLRXykt+TimesNewRomanPSMT" w:eastAsia="hZLRXykt+TimesNewRomanPSMT"/>
                <w:color w:val="000000"/>
                <w:sz w:val="24"/>
              </w:rPr>
              <w:t>49</w:t>
            </w:r>
          </w:p>
        </w:tc>
        <w:tc>
          <w:tcPr>
            <w:tcW w:w="542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82" w:after="0" w:line="240" w:lineRule="exact"/>
              <w:ind w:left="0" w:right="0" w:firstLine="0"/>
              <w:jc w:val="center"/>
            </w:pPr>
            <w:r>
              <w:rPr>
                <w:rFonts w:ascii="Fq4jro3k+FangSong_GB2312" w:hAnsi="Fq4jro3k+FangSong_GB2312" w:eastAsia="Fq4jro3k+FangSong_GB2312"/>
                <w:color w:val="000000"/>
                <w:sz w:val="24"/>
              </w:rPr>
              <w:t>对在具有火灾、爆炸危险的场所吸烟、使用明火的</w:t>
            </w:r>
          </w:p>
          <w:p>
            <w:pPr>
              <w:widowControl/>
              <w:autoSpaceDE w:val="0"/>
              <w:autoSpaceDN w:val="0"/>
              <w:spacing w:before="160" w:after="0" w:line="240" w:lineRule="exact"/>
              <w:ind w:left="102" w:right="0" w:firstLine="0"/>
              <w:jc w:val="left"/>
            </w:pPr>
            <w:r>
              <w:rPr>
                <w:rFonts w:ascii="Fq4jro3k+FangSong_GB2312" w:hAnsi="Fq4jro3k+FangSong_GB2312" w:eastAsia="Fq4jro3k+FangSong_GB2312"/>
                <w:color w:val="000000"/>
                <w:sz w:val="24"/>
              </w:rPr>
              <w:t>处罚</w:t>
            </w:r>
          </w:p>
        </w:tc>
        <w:tc>
          <w:tcPr>
            <w:tcW w:w="4952" w:type="dxa"/>
            <w:tcBorders>
              <w:top w:val="single" w:color="000000" w:sz="2" w:space="0"/>
              <w:left w:val="single" w:color="000000" w:sz="2" w:space="0"/>
              <w:bottom w:val="single" w:color="000000" w:sz="2" w:space="0"/>
              <w:right w:val="single" w:color="000000" w:sz="2" w:space="0"/>
            </w:tcBorders>
            <w:shd w:val="clear" w:color="auto" w:fill="FFFFFF"/>
            <w:tcMar>
              <w:left w:w="0" w:type="dxa"/>
              <w:right w:w="0" w:type="dxa"/>
            </w:tcMar>
          </w:tcPr>
          <w:p>
            <w:pPr>
              <w:widowControl/>
              <w:autoSpaceDE w:val="0"/>
              <w:autoSpaceDN w:val="0"/>
              <w:spacing w:before="282" w:after="0" w:line="240" w:lineRule="exact"/>
              <w:ind w:left="106" w:right="0" w:firstLine="0"/>
              <w:jc w:val="left"/>
            </w:pPr>
            <w:r>
              <w:rPr>
                <w:rFonts w:ascii="Fq4jro3k+FangSong_GB2312" w:hAnsi="Fq4jro3k+FangSong_GB2312" w:eastAsia="Fq4jro3k+FangSong_GB2312"/>
                <w:color w:val="000000"/>
                <w:sz w:val="24"/>
              </w:rPr>
              <w:t>《中华人民共和国消防法》第六十三条</w:t>
            </w:r>
          </w:p>
        </w:tc>
        <w:tc>
          <w:tcPr>
            <w:tcW w:w="1398"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282" w:after="0" w:line="240" w:lineRule="exact"/>
              <w:ind w:left="0" w:right="0" w:firstLine="0"/>
              <w:jc w:val="center"/>
            </w:pPr>
            <w:r>
              <w:rPr>
                <w:rFonts w:ascii="Fq4jro3k+FangSong_GB2312" w:hAnsi="Fq4jro3k+FangSong_GB2312" w:eastAsia="Fq4jro3k+FangSong_GB2312"/>
                <w:color w:val="000000"/>
                <w:sz w:val="24"/>
              </w:rPr>
              <w:t>行政处罚</w:t>
            </w:r>
          </w:p>
        </w:tc>
        <w:tc>
          <w:tcPr>
            <w:tcW w:w="1606"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spacing w:before="160" w:after="0" w:line="240" w:lineRule="exact"/>
              <w:ind w:left="0" w:right="0" w:firstLine="0"/>
              <w:jc w:val="center"/>
            </w:pPr>
            <w:r>
              <w:rPr>
                <w:rFonts w:hint="eastAsia" w:ascii="Fq4jro3k+FangSong_GB2312" w:hAnsi="Fq4jro3k+FangSong_GB2312" w:eastAsia="Fq4jro3k+FangSong_GB2312"/>
                <w:color w:val="000000"/>
                <w:sz w:val="24"/>
                <w:lang w:eastAsia="zh-CN"/>
              </w:rPr>
              <w:t>消防站、应急办</w:t>
            </w:r>
          </w:p>
        </w:tc>
      </w:tr>
    </w:tbl>
    <w:p>
      <w:pPr>
        <w:widowControl/>
        <w:autoSpaceDE w:val="0"/>
        <w:autoSpaceDN w:val="0"/>
        <w:spacing w:before="542" w:after="0" w:line="220" w:lineRule="exact"/>
        <w:ind w:left="0" w:right="0"/>
      </w:pPr>
    </w:p>
    <w:p>
      <w:pPr>
        <w:widowControl/>
        <w:autoSpaceDE w:val="0"/>
        <w:autoSpaceDN w:val="0"/>
        <w:spacing w:before="306" w:after="0" w:line="314" w:lineRule="exact"/>
        <w:ind w:left="0" w:right="130" w:firstLine="0"/>
        <w:jc w:val="both"/>
      </w:pPr>
    </w:p>
    <w:sectPr>
      <w:type w:val="continuous"/>
      <w:pgSz w:w="17238" w:h="11906" w:orient="landscape"/>
      <w:pgMar w:top="1440" w:right="1440" w:bottom="1400" w:left="504" w:header="720" w:footer="720" w:gutter="0"/>
      <w:cols w:equalWidth="0" w:num="1">
        <w:col w:w="906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飛白体"/>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s4ARATot+SimHei">
    <w:altName w:val="Microsoft YaHei UI Light"/>
    <w:panose1 w:val="02000500000000000000"/>
    <w:charset w:val="00"/>
    <w:family w:val="auto"/>
    <w:pitch w:val="default"/>
    <w:sig w:usb0="00000000" w:usb1="00000000" w:usb2="00000016" w:usb3="00000000" w:csb0="0004001F" w:csb1="00000000"/>
  </w:font>
  <w:font w:name="hZLRXykt+TimesNewRomanPSMT">
    <w:altName w:val="Times New Roman"/>
    <w:panose1 w:val="02000500000000000000"/>
    <w:charset w:val="00"/>
    <w:family w:val="auto"/>
    <w:pitch w:val="default"/>
    <w:sig w:usb0="00000000" w:usb1="00000000" w:usb2="00000016" w:usb3="00000000" w:csb0="0004001F" w:csb1="00000000"/>
  </w:font>
  <w:font w:name="9aozUJyZ+FZXBSJW">
    <w:altName w:val="Microsoft YaHei UI Light"/>
    <w:panose1 w:val="02000500000000000000"/>
    <w:charset w:val="00"/>
    <w:family w:val="auto"/>
    <w:pitch w:val="default"/>
    <w:sig w:usb0="00000000" w:usb1="00000000" w:usb2="00000016" w:usb3="00000000" w:csb0="0004001F" w:csb1="00000000"/>
  </w:font>
  <w:font w:name="jDuLI3hr+KaiTi_GB2312">
    <w:altName w:val="Microsoft YaHei UI Light"/>
    <w:panose1 w:val="02000500000000000000"/>
    <w:charset w:val="00"/>
    <w:family w:val="auto"/>
    <w:pitch w:val="default"/>
    <w:sig w:usb0="00000000" w:usb1="00000000" w:usb2="00000016" w:usb3="00000000" w:csb0="0004001F" w:csb1="00000000"/>
  </w:font>
  <w:font w:name="Fq4jro3k+FangSong_GB2312">
    <w:altName w:val="Microsoft YaHei UI Light"/>
    <w:panose1 w:val="02000500000000000000"/>
    <w:charset w:val="00"/>
    <w:family w:val="auto"/>
    <w:pitch w:val="default"/>
    <w:sig w:usb0="00000000" w:usb1="00000000" w:usb2="00000016" w:usb3="00000000" w:csb0="0004001F" w:csb1="00000000"/>
  </w:font>
  <w:font w:name="ＭＳ 明朝">
    <w:altName w:val="Billbreak"/>
    <w:panose1 w:val="00000000000000000000"/>
    <w:charset w:val="00"/>
    <w:family w:val="auto"/>
    <w:pitch w:val="default"/>
    <w:sig w:usb0="00000000" w:usb1="00000000" w:usb2="00000000" w:usb3="00000000" w:csb0="00000000" w:csb1="00000000"/>
  </w:font>
  <w:font w:name="Billbreak">
    <w:panose1 w:val="02000500000000000000"/>
    <w:charset w:val="00"/>
    <w:family w:val="auto"/>
    <w:pitch w:val="default"/>
    <w:sig w:usb0="00000007" w:usb1="10000000" w:usb2="00000000" w:usb3="00000000" w:csb0="00000001" w:csb1="00000000"/>
  </w:font>
  <w:font w:name="Microsoft YaHei UI Light">
    <w:panose1 w:val="020B0502040204020203"/>
    <w:charset w:val="86"/>
    <w:family w:val="auto"/>
    <w:pitch w:val="default"/>
    <w:sig w:usb0="80000287" w:usb1="2ACF001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Zjk3YjQ1MzBhMzZlNjdhZDQ0ZDdiNjI3YzBlZjEifQ=="/>
  </w:docVars>
  <w:rsids>
    <w:rsidRoot w:val="00B47730"/>
    <w:rsid w:val="00034616"/>
    <w:rsid w:val="0006063C"/>
    <w:rsid w:val="0015074B"/>
    <w:rsid w:val="0029639D"/>
    <w:rsid w:val="00326F90"/>
    <w:rsid w:val="00AA1D8D"/>
    <w:rsid w:val="00B47730"/>
    <w:rsid w:val="00CB0664"/>
    <w:rsid w:val="00FC693F"/>
    <w:rsid w:val="4C113C20"/>
    <w:rsid w:val="BB6BF4BD"/>
    <w:rsid w:val="BBBE2E59"/>
    <w:rsid w:val="BFFA3C32"/>
    <w:rsid w:val="F6FCEDE3"/>
    <w:rsid w:val="FFE553B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2013-12-25T07:15:00Z</dcterms:created>
  <dc:creator>python-docx</dc:creator>
  <dc:description>generated by python-docx</dc:description>
  <cp:lastModifiedBy>不以物喜</cp:lastModifiedBy>
  <dcterms:modified xsi:type="dcterms:W3CDTF">2026-04-03T00:35:00Z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732A60891992F403BC73B76903B65AFF</vt:lpwstr>
  </property>
</Properties>
</file>