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FD3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right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6"/>
          <w:sz w:val="32"/>
          <w:szCs w:val="32"/>
        </w:rPr>
        <w:t>附</w:t>
      </w:r>
      <w:r>
        <w:rPr>
          <w:rFonts w:hint="eastAsia" w:ascii="黑体" w:hAnsi="黑体" w:eastAsia="黑体" w:cs="黑体"/>
          <w:spacing w:val="-66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pacing w:val="-16"/>
          <w:sz w:val="32"/>
          <w:szCs w:val="32"/>
        </w:rPr>
        <w:t>件</w:t>
      </w:r>
      <w:r>
        <w:rPr>
          <w:rFonts w:hint="eastAsia" w:ascii="Times New Roman" w:hAnsi="Times New Roman" w:eastAsia="黑体" w:cs="黑体"/>
          <w:spacing w:val="-16"/>
          <w:sz w:val="32"/>
          <w:szCs w:val="32"/>
          <w:lang w:val="en-US" w:eastAsia="zh-CN"/>
        </w:rPr>
        <w:t>1</w:t>
      </w:r>
    </w:p>
    <w:p w14:paraId="5D6F5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</w:rPr>
        <w:t>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  <w:lang w:eastAsia="zh-CN"/>
        </w:rPr>
        <w:t>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</w:rPr>
        <w:t>劝导站设置位置</w:t>
      </w:r>
    </w:p>
    <w:tbl>
      <w:tblPr>
        <w:tblStyle w:val="12"/>
        <w:tblpPr w:leftFromText="180" w:rightFromText="180" w:vertAnchor="text" w:horzAnchor="page" w:tblpXSpec="center" w:tblpY="580"/>
        <w:tblOverlap w:val="never"/>
        <w:tblW w:w="84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0"/>
        <w:gridCol w:w="1919"/>
        <w:gridCol w:w="5330"/>
        <w:gridCol w:w="21"/>
      </w:tblGrid>
      <w:tr w14:paraId="14720D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  <w:jc w:val="center"/>
        </w:trPr>
        <w:tc>
          <w:tcPr>
            <w:tcW w:w="1190" w:type="dxa"/>
            <w:noWrap w:val="0"/>
            <w:vAlign w:val="center"/>
          </w:tcPr>
          <w:p w14:paraId="2EDE96E3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sz w:val="32"/>
                <w:szCs w:val="32"/>
              </w:rPr>
            </w:pPr>
            <w:r>
              <w:rPr>
                <w:spacing w:val="5"/>
                <w:sz w:val="32"/>
                <w:szCs w:val="32"/>
              </w:rPr>
              <w:t>乡镇</w:t>
            </w:r>
          </w:p>
        </w:tc>
        <w:tc>
          <w:tcPr>
            <w:tcW w:w="1919" w:type="dxa"/>
            <w:noWrap w:val="0"/>
            <w:vAlign w:val="center"/>
          </w:tcPr>
          <w:p w14:paraId="74AFA797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sz w:val="32"/>
                <w:szCs w:val="32"/>
              </w:rPr>
            </w:pPr>
            <w:r>
              <w:rPr>
                <w:spacing w:val="2"/>
                <w:sz w:val="32"/>
                <w:szCs w:val="32"/>
              </w:rPr>
              <w:t>劝导站标准</w:t>
            </w:r>
          </w:p>
        </w:tc>
        <w:tc>
          <w:tcPr>
            <w:tcW w:w="5351" w:type="dxa"/>
            <w:gridSpan w:val="2"/>
            <w:noWrap w:val="0"/>
            <w:vAlign w:val="center"/>
          </w:tcPr>
          <w:p w14:paraId="42717CD6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 w:firstLine="2528" w:firstLineChars="800"/>
              <w:jc w:val="both"/>
              <w:textAlignment w:val="auto"/>
            </w:pPr>
            <w:r>
              <w:rPr>
                <w:spacing w:val="13"/>
              </w:rPr>
              <w:t>地点</w:t>
            </w:r>
          </w:p>
        </w:tc>
      </w:tr>
      <w:tr w14:paraId="53A7C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907" w:hRule="atLeast"/>
          <w:jc w:val="center"/>
        </w:trPr>
        <w:tc>
          <w:tcPr>
            <w:tcW w:w="1190" w:type="dxa"/>
            <w:vMerge w:val="restart"/>
            <w:tcBorders>
              <w:bottom w:val="nil"/>
            </w:tcBorders>
            <w:noWrap w:val="0"/>
            <w:textDirection w:val="tbRlV"/>
            <w:vAlign w:val="center"/>
          </w:tcPr>
          <w:p w14:paraId="57C098FA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spacing w:val="-10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10"/>
                <w:sz w:val="32"/>
                <w:szCs w:val="32"/>
              </w:rPr>
              <w:t>溪  口</w:t>
            </w:r>
          </w:p>
        </w:tc>
        <w:tc>
          <w:tcPr>
            <w:tcW w:w="1919" w:type="dxa"/>
            <w:noWrap w:val="0"/>
            <w:vAlign w:val="center"/>
          </w:tcPr>
          <w:p w14:paraId="1FBF0218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spacing w:val="-10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10"/>
                <w:sz w:val="32"/>
                <w:szCs w:val="32"/>
              </w:rPr>
              <w:t>一级站</w:t>
            </w:r>
          </w:p>
        </w:tc>
        <w:tc>
          <w:tcPr>
            <w:tcW w:w="5330" w:type="dxa"/>
            <w:noWrap w:val="0"/>
            <w:vAlign w:val="center"/>
          </w:tcPr>
          <w:p w14:paraId="725EF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 w14:paraId="49BC3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494" w:hRule="atLeast"/>
          <w:jc w:val="center"/>
        </w:trPr>
        <w:tc>
          <w:tcPr>
            <w:tcW w:w="119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center"/>
          </w:tcPr>
          <w:p w14:paraId="4EC70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spacing w:val="-10"/>
                <w:kern w:val="2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1919" w:type="dxa"/>
            <w:noWrap w:val="0"/>
            <w:vAlign w:val="center"/>
          </w:tcPr>
          <w:p w14:paraId="6541AAAF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spacing w:val="-10"/>
                <w:kern w:val="2"/>
                <w:sz w:val="32"/>
                <w:szCs w:val="32"/>
                <w:lang w:val="en-US" w:eastAsia="en-US" w:bidi="ar-SA"/>
              </w:rPr>
            </w:pPr>
          </w:p>
          <w:p w14:paraId="7C7988C2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spacing w:val="-10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0"/>
                <w:kern w:val="2"/>
                <w:sz w:val="32"/>
                <w:szCs w:val="32"/>
                <w:lang w:val="en-US" w:eastAsia="en-US" w:bidi="ar-SA"/>
              </w:rPr>
              <w:t>二级站</w:t>
            </w:r>
          </w:p>
        </w:tc>
        <w:tc>
          <w:tcPr>
            <w:tcW w:w="5330" w:type="dxa"/>
            <w:noWrap w:val="0"/>
            <w:vAlign w:val="center"/>
          </w:tcPr>
          <w:p w14:paraId="6DC8AB69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spacing w:val="-10"/>
                <w:sz w:val="23"/>
                <w:szCs w:val="23"/>
              </w:rPr>
            </w:pPr>
          </w:p>
          <w:p w14:paraId="7133F9D0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spacing w:val="-10"/>
                <w:sz w:val="32"/>
                <w:szCs w:val="32"/>
              </w:rPr>
            </w:pPr>
            <w:r>
              <w:rPr>
                <w:spacing w:val="-10"/>
                <w:sz w:val="32"/>
                <w:szCs w:val="32"/>
              </w:rPr>
              <w:t>大厚村、大洋坝、石铭村、</w:t>
            </w:r>
            <w:r>
              <w:rPr>
                <w:rFonts w:hint="eastAsia"/>
                <w:spacing w:val="-10"/>
                <w:sz w:val="32"/>
                <w:szCs w:val="32"/>
                <w:lang w:eastAsia="zh-CN"/>
              </w:rPr>
              <w:t>三</w:t>
            </w:r>
            <w:r>
              <w:rPr>
                <w:spacing w:val="-10"/>
                <w:sz w:val="32"/>
                <w:szCs w:val="32"/>
              </w:rPr>
              <w:t>溪村</w:t>
            </w:r>
          </w:p>
          <w:p w14:paraId="1669CA4F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spacing w:val="-10"/>
                <w:sz w:val="23"/>
                <w:szCs w:val="23"/>
              </w:rPr>
            </w:pPr>
          </w:p>
        </w:tc>
      </w:tr>
      <w:tr w14:paraId="28195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1" w:type="dxa"/>
          <w:trHeight w:val="520" w:hRule="atLeast"/>
          <w:jc w:val="center"/>
        </w:trPr>
        <w:tc>
          <w:tcPr>
            <w:tcW w:w="1190" w:type="dxa"/>
            <w:vMerge w:val="continue"/>
            <w:tcBorders>
              <w:top w:val="nil"/>
            </w:tcBorders>
            <w:noWrap w:val="0"/>
            <w:textDirection w:val="tbRlV"/>
            <w:vAlign w:val="center"/>
          </w:tcPr>
          <w:p w14:paraId="0F023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spacing w:val="-10"/>
                <w:kern w:val="2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1919" w:type="dxa"/>
            <w:noWrap w:val="0"/>
            <w:vAlign w:val="center"/>
          </w:tcPr>
          <w:p w14:paraId="30EDFA0D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spacing w:val="-10"/>
                <w:kern w:val="2"/>
                <w:sz w:val="32"/>
                <w:szCs w:val="32"/>
                <w:lang w:val="en-US" w:eastAsia="en-US" w:bidi="ar-SA"/>
              </w:rPr>
            </w:pPr>
          </w:p>
          <w:p w14:paraId="5CA8485B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spacing w:val="-10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0"/>
                <w:kern w:val="2"/>
                <w:sz w:val="32"/>
                <w:szCs w:val="32"/>
                <w:lang w:val="en-US" w:eastAsia="en-US" w:bidi="ar-SA"/>
              </w:rPr>
              <w:t>三级站</w:t>
            </w:r>
          </w:p>
        </w:tc>
        <w:tc>
          <w:tcPr>
            <w:tcW w:w="5330" w:type="dxa"/>
            <w:noWrap w:val="0"/>
            <w:vAlign w:val="center"/>
          </w:tcPr>
          <w:p w14:paraId="62C104E5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position w:val="5"/>
                <w:sz w:val="23"/>
                <w:szCs w:val="23"/>
              </w:rPr>
            </w:pPr>
          </w:p>
          <w:p w14:paraId="6AEDF414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position w:val="5"/>
                <w:sz w:val="32"/>
                <w:szCs w:val="32"/>
              </w:rPr>
            </w:pPr>
            <w:r>
              <w:rPr>
                <w:position w:val="5"/>
                <w:sz w:val="32"/>
                <w:szCs w:val="32"/>
              </w:rPr>
              <w:t>大连村、大丰村、双华村、云山村</w:t>
            </w:r>
          </w:p>
          <w:p w14:paraId="4E84C294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position w:val="5"/>
                <w:sz w:val="32"/>
                <w:szCs w:val="32"/>
              </w:rPr>
            </w:pPr>
          </w:p>
          <w:p w14:paraId="233F7F7A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陈屋村、当丰村、锦坊村</w:t>
            </w:r>
          </w:p>
          <w:p w14:paraId="71D06C4B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left="0" w:right="0"/>
              <w:jc w:val="center"/>
              <w:textAlignment w:val="auto"/>
              <w:rPr>
                <w:sz w:val="23"/>
                <w:szCs w:val="23"/>
              </w:rPr>
            </w:pPr>
          </w:p>
        </w:tc>
      </w:tr>
    </w:tbl>
    <w:p w14:paraId="0B635A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right="0"/>
        <w:textAlignment w:val="auto"/>
      </w:pPr>
    </w:p>
    <w:p w14:paraId="2DFAF4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right="0"/>
        <w:textAlignment w:val="auto"/>
        <w:rPr>
          <w:rFonts w:ascii="Arial"/>
          <w:sz w:val="21"/>
        </w:rPr>
      </w:pPr>
    </w:p>
    <w:p w14:paraId="50304A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right="0"/>
        <w:textAlignment w:val="auto"/>
        <w:rPr>
          <w:rFonts w:ascii="Arial" w:hAnsi="Arial" w:eastAsia="Arial" w:cs="Arial"/>
          <w:sz w:val="21"/>
          <w:szCs w:val="21"/>
        </w:rPr>
        <w:sectPr>
          <w:headerReference r:id="rId3" w:type="default"/>
          <w:footerReference r:id="rId4" w:type="default"/>
          <w:pgSz w:w="12160" w:h="17010"/>
          <w:pgMar w:top="1445" w:right="1704" w:bottom="1311" w:left="1824" w:header="0" w:footer="1182" w:gutter="0"/>
          <w:pgNumType w:fmt="decimal"/>
          <w:cols w:space="720" w:num="1"/>
        </w:sectPr>
      </w:pPr>
    </w:p>
    <w:p w14:paraId="1AC74E6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textAlignment w:val="auto"/>
        <w:rPr>
          <w:rFonts w:hint="eastAsia" w:ascii="Times New Roman" w:hAnsi="Times New Roman" w:eastAsia="黑体" w:cs="黑体"/>
          <w:spacing w:val="-16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pacing w:val="-16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黑体" w:cs="黑体"/>
          <w:spacing w:val="-16"/>
          <w:kern w:val="2"/>
          <w:sz w:val="32"/>
          <w:szCs w:val="32"/>
          <w:lang w:val="en-US" w:eastAsia="zh-CN" w:bidi="ar-SA"/>
        </w:rPr>
        <w:t>2</w:t>
      </w:r>
    </w:p>
    <w:p w14:paraId="3A2AE0D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textAlignment w:val="auto"/>
        <w:rPr>
          <w:rFonts w:hint="eastAsia" w:ascii="Times New Roman" w:hAnsi="Times New Roman" w:eastAsia="黑体" w:cs="黑体"/>
          <w:spacing w:val="-16"/>
          <w:kern w:val="2"/>
          <w:sz w:val="32"/>
          <w:szCs w:val="32"/>
          <w:lang w:val="en-US" w:eastAsia="zh-CN" w:bidi="ar-SA"/>
        </w:rPr>
      </w:pPr>
    </w:p>
    <w:p w14:paraId="02A79C4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上杭县农村交通安全劝导工作须知</w:t>
      </w:r>
    </w:p>
    <w:p w14:paraId="2D8D8AA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</w:p>
    <w:p w14:paraId="33A7BA7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一、红白喜事打招呼“</w:t>
      </w:r>
      <w:r>
        <w:rPr>
          <w:rFonts w:hint="eastAsia" w:ascii="Times New Roman" w:hAnsi="Times New Roman" w:eastAsia="黑体" w:cs="黑体"/>
          <w:kern w:val="0"/>
          <w:sz w:val="32"/>
          <w:szCs w:val="32"/>
          <w:lang w:val="en-US" w:eastAsia="zh-CN" w:bidi="ar"/>
        </w:rPr>
        <w:t>9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必讲”</w:t>
      </w:r>
    </w:p>
    <w:p w14:paraId="5C35147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、不要酒驾醉驾；</w:t>
      </w:r>
    </w:p>
    <w:p w14:paraId="298B5C0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、不要对驾车人劝酒；</w:t>
      </w:r>
    </w:p>
    <w:p w14:paraId="7852922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、不要将车交由饮酒人驾驶并及时劝阻酒后驾驶行为；</w:t>
      </w:r>
    </w:p>
    <w:p w14:paraId="56B1AF6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、不要一车违法搭载多人；</w:t>
      </w:r>
    </w:p>
    <w:p w14:paraId="04E98AE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、不要疲劳驾驶、开快车；</w:t>
      </w:r>
    </w:p>
    <w:p w14:paraId="2EE3B8A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、不要搭乘农用三轮车、拖拉机、货车、超标电动自行车；</w:t>
      </w:r>
    </w:p>
    <w:p w14:paraId="2884697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、不要骑乘电动自行车、摩托车不戴安全头盔、机动车驾乘人员不系安全带；</w:t>
      </w:r>
    </w:p>
    <w:p w14:paraId="1BD74A5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、不要占道摆设酒席、违法停车阻道；</w:t>
      </w:r>
    </w:p>
    <w:p w14:paraId="31BAFDA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、不要与大货车争道抢行并主动远离避让。</w:t>
      </w:r>
    </w:p>
    <w:p w14:paraId="75C677F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二、红白喜事打招呼“</w:t>
      </w:r>
      <w:r>
        <w:rPr>
          <w:rFonts w:hint="eastAsia" w:ascii="Times New Roman" w:hAnsi="Times New Roman" w:eastAsia="黑体" w:cs="黑体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告知”</w:t>
      </w:r>
    </w:p>
    <w:p w14:paraId="6DAAB6C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、告知主家要提前熟悉路线路况并提醒驾乘人员；</w:t>
      </w:r>
    </w:p>
    <w:p w14:paraId="751CA4A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、告知主家要将“九必讲”张贴在醒目位置；</w:t>
      </w:r>
    </w:p>
    <w:p w14:paraId="026DEDB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、告知主家要将“九必讲”在宴席开始前由管事人进行宣讲；</w:t>
      </w:r>
    </w:p>
    <w:p w14:paraId="26F02E7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、告知主家要合理安排迎送亲驾驶员足够休息时间；</w:t>
      </w:r>
    </w:p>
    <w:p w14:paraId="6906A00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、告知主家在酒席后要将“九必讲”多督促提醒。</w:t>
      </w:r>
    </w:p>
    <w:p w14:paraId="2A95729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三、显见违法“</w:t>
      </w:r>
      <w:r>
        <w:rPr>
          <w:rFonts w:hint="eastAsia" w:ascii="Times New Roman" w:hAnsi="Times New Roman" w:eastAsia="黑体" w:cs="黑体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必劝”</w:t>
      </w:r>
    </w:p>
    <w:p w14:paraId="0E0F276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各乡镇(街道)劝导人员在民俗节点和日常工作中，发现以下明显交通违法行为必须劝导并制止，不听劝导的，立即拨打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110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向所在地派出所或交警中队报警处理。</w:t>
      </w:r>
    </w:p>
    <w:p w14:paraId="5F8C828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、发现超员、超载必劝；</w:t>
      </w:r>
    </w:p>
    <w:p w14:paraId="38F097C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、发现酒后驾车必劝；</w:t>
      </w:r>
    </w:p>
    <w:p w14:paraId="7C00C91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、发现骑乘电动自行车、摩托车不戴头盔、驾驶机动车不系安全带必劝；</w:t>
      </w:r>
    </w:p>
    <w:p w14:paraId="562A02B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、发现农用三轮车、拖拉机、货车、电动三四轮车违法载人必劝；</w:t>
      </w:r>
    </w:p>
    <w:p w14:paraId="7F84023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、发现未成年人驾驶机动车必劝；</w:t>
      </w:r>
    </w:p>
    <w:p w14:paraId="7C934BE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、发现儿童马路边嬉戏玩耍必劝；</w:t>
      </w:r>
    </w:p>
    <w:p w14:paraId="429C9E2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、发现驾驶无牌无证、非法营运、人货混装车辆必劝。</w:t>
      </w:r>
    </w:p>
    <w:p w14:paraId="699F7B1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0F50E53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</w:p>
    <w:p w14:paraId="770944C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</w:p>
    <w:p w14:paraId="7F59826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</w:p>
    <w:p w14:paraId="193C272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</w:p>
    <w:p w14:paraId="52FDF0F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</w:p>
    <w:p w14:paraId="2E298B5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</w:p>
    <w:p w14:paraId="70C6B48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</w:p>
    <w:p w14:paraId="3BA9F43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</w:p>
    <w:p w14:paraId="3033C25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黑体" w:cs="黑体"/>
          <w:kern w:val="0"/>
          <w:sz w:val="32"/>
          <w:szCs w:val="32"/>
          <w:lang w:val="en-US" w:eastAsia="zh-CN" w:bidi="ar"/>
        </w:rPr>
        <w:t>3</w:t>
      </w:r>
    </w:p>
    <w:p w14:paraId="6EEC610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</w:p>
    <w:p w14:paraId="3DB1F18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上杭县农村红白喜事交通安全提示</w:t>
      </w:r>
    </w:p>
    <w:p w14:paraId="6E47FE6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jc w:val="center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大喇叭播放文稿</w:t>
      </w:r>
    </w:p>
    <w:p w14:paraId="51F8AB4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</w:pPr>
    </w:p>
    <w:p w14:paraId="1BDA079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(各村可做参考，结合本村实际进行修改，要念普通话和方言两个版本，切记留档保存)</w:t>
      </w:r>
    </w:p>
    <w:p w14:paraId="2DDA1B9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村民朋友大家好，交通安全事儿不小！今天我来说宣传，希望大家都安全。我是XX本村的交通安全劝导员，今天给大家说说红白喜事交通安全那些事。</w:t>
      </w:r>
    </w:p>
    <w:p w14:paraId="5AE100F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近年来，农村过红白喜事的时候，因为有三轮车塞人走亲戚或者酒后开车造成了许多交通事故，还有的造成人员死亡，有的主家心存侥幸说：“哪有那么多交通事故，我家的酒席放开喝，都有车子送，保没事!”,结果这边娶媳妇那边死了人。今天我给大伙说，这种交通事故就有那么多，有的人员受伤，有的人员死亡，还有的三轮车歪倒了，把一车人扣到底下，造成多人受伤，这就是事实。如果咱不注意，可能还会出事故，那些出事的人，除了司机身体受伤害，也给过世的人家添堵，那些过世的人家因为劝酒造成的交通事故，除了给自己的喜事添堵，更主要的是人家来给咱家庆贺的，结果让人家丢失了性命，这种事，你会心堵一辈子。</w:t>
      </w:r>
    </w:p>
    <w:p w14:paraId="2160AD3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元旦过完年关腊月就近了，临近春节岁末年初，尤其是结婚订婚很多，所以我来给大伙说一说红白喜事的注意事项，希望大家都能注意，让咱们大家都过一个平平安安，快快乐乐的春节。</w:t>
      </w:r>
    </w:p>
    <w:p w14:paraId="59B5752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农村的大事多，红事白事一大摞，结婚订婚、生孩子、盖房开业、搬宅子、升学要办升学宴，老人过世大过天，一家过世帮谁忙，老人孩子齐上场，置桌板凳盘锅头，炒菜熬汤一锅粥，红事儿迎亲唱大戏，白事儿花环挂枝头，忙完事情喝完酒，开着三轮回家走，交通事故频发，受伤住院全家愁。</w:t>
      </w:r>
    </w:p>
    <w:p w14:paraId="6C625D0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大伯大婶公公婆婆们，新时代讲文明弄农村新风貌，红白喜事千万记住“九必讲”,不劝酒不酒驾，主人要把安全挂，超速、超员都不行，三轮载客更不行，摩托车、电动车带上头盔赛汽车，小汽车跑得快，乘车要系安全带。别再道边来聚集，不能路边摆酒席。主事人家更要谨记，别等时候再生气，你家喝酒，你负责；他出事故，你惹祸；他受伤，你赔钱；他没命，你难堪；别侥幸，会出事，人命关天别儿戏!</w:t>
      </w:r>
    </w:p>
    <w:p w14:paraId="773E64F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如果你能多劝导，就是菩萨大罗神仙，积德行善一辈子，一生结得好因果，岁岁平安事事顺利，大家也快说起来，父老兄弟都安全。咱新农村就会更平安、更漂亮、更团圆!</w:t>
      </w:r>
    </w:p>
    <w:p w14:paraId="53DC748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5EB83B0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6CFBDE7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3B33F76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left="0" w:leftChars="0" w:right="0" w:firstLine="0" w:firstLine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sectPr>
      <w:footerReference r:id="rId5" w:type="default"/>
      <w:pgSz w:w="11906" w:h="16838"/>
      <w:pgMar w:top="1928" w:right="1474" w:bottom="1701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8FFFC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ED8D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128845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>7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128845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>7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4B38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YTIwMWY4YzU0YzhlMDM4NmEwY2U2NGFiN2UwYWUifQ=="/>
  </w:docVars>
  <w:rsids>
    <w:rsidRoot w:val="00000000"/>
    <w:rsid w:val="21274FB0"/>
    <w:rsid w:val="29E79089"/>
    <w:rsid w:val="3FD74ADC"/>
    <w:rsid w:val="4F2833EB"/>
    <w:rsid w:val="509067D0"/>
    <w:rsid w:val="5DFEEE1C"/>
    <w:rsid w:val="66A25372"/>
    <w:rsid w:val="6FBFE1F1"/>
    <w:rsid w:val="7EFA52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qFormat/>
    <w:uiPriority w:val="0"/>
    <w:pPr>
      <w:ind w:firstLine="420" w:firstLineChars="200"/>
    </w:pPr>
  </w:style>
  <w:style w:type="character" w:styleId="10">
    <w:name w:val="page number"/>
    <w:basedOn w:val="9"/>
    <w:autoRedefine/>
    <w:qFormat/>
    <w:uiPriority w:val="0"/>
  </w:style>
  <w:style w:type="paragraph" w:customStyle="1" w:styleId="11">
    <w:name w:val="Table Text"/>
    <w:basedOn w:val="1"/>
    <w:autoRedefine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12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3246</Words>
  <Characters>3281</Characters>
  <Lines>0</Lines>
  <Paragraphs>0</Paragraphs>
  <TotalTime>7</TotalTime>
  <ScaleCrop>false</ScaleCrop>
  <LinksUpToDate>false</LinksUpToDate>
  <CharactersWithSpaces>3355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2024-01-17T17:26:00Z</dcterms:created>
  <dc:creator>unis</dc:creator>
  <cp:lastModifiedBy>holilili</cp:lastModifiedBy>
  <cp:lastPrinted>2024-01-22T03:44:00Z</cp:lastPrinted>
  <dcterms:modified xsi:type="dcterms:W3CDTF">2025-01-14T12:45:16Z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09257A351D1C4E7EAB74D4D3A4503AC6_13</vt:lpwstr>
  </property>
  <property fmtid="{D5CDD505-2E9C-101B-9397-08002B2CF9AE}" pid="4" name="KSOTemplateDocerSaveRecord">
    <vt:lpwstr>eyJoZGlkIjoiOTYwZmZmMGQyZTY5ZmE1OWZkNDQ1YWYxYWYyZDYxMTMiLCJ1c2VySWQiOiIzNTcyOTMxNzYifQ==</vt:lpwstr>
  </property>
</Properties>
</file>