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A9517">
      <w:pPr>
        <w:pStyle w:val="30"/>
        <w:widowControl/>
        <w:spacing w:before="100" w:after="100"/>
        <w:ind w:left="0" w:right="0" w:firstLine="0"/>
        <w:jc w:val="left"/>
        <w:outlineLvl w:val="0"/>
        <w:rPr>
          <w:rFonts w:ascii="Times New Roman" w:hAnsi="Times New Roman" w:eastAsia="Times New Roman" w:cs="Times New Roman"/>
          <w:kern w:val="0"/>
          <w:sz w:val="24"/>
        </w:rPr>
      </w:pPr>
      <w:bookmarkStart w:id="0" w:name="_Toc22648"/>
      <w:bookmarkStart w:id="1" w:name="a000"/>
      <w:r>
        <w:rPr>
          <w:rFonts w:ascii="黑体" w:hAnsi="黑体" w:eastAsia="黑体" w:cs="黑体"/>
          <w:spacing w:val="0"/>
          <w:kern w:val="0"/>
          <w:sz w:val="32"/>
          <w:szCs w:val="32"/>
        </w:rPr>
        <w:t>附件2</w:t>
      </w:r>
      <w:bookmarkEnd w:id="0"/>
    </w:p>
    <w:p w14:paraId="1CE3AEC1">
      <w:pPr>
        <w:pStyle w:val="31"/>
        <w:widowControl/>
        <w:spacing w:before="100" w:after="100"/>
        <w:ind w:left="0" w:right="0" w:firstLine="0"/>
        <w:jc w:val="center"/>
        <w:rPr>
          <w:rFonts w:ascii="Times New Roman" w:hAnsi="Times New Roman" w:eastAsia="Times New Roman" w:cs="Times New Roman"/>
          <w:kern w:val="0"/>
          <w:sz w:val="24"/>
        </w:rPr>
      </w:pPr>
      <w:r>
        <w:rPr>
          <w:rFonts w:ascii="Calibri" w:hAnsi="Calibri" w:eastAsia="Calibri" w:cs="Calibri"/>
          <w:spacing w:val="0"/>
          <w:kern w:val="0"/>
          <w:sz w:val="32"/>
          <w:szCs w:val="32"/>
        </w:rPr>
        <w:t> </w:t>
      </w:r>
    </w:p>
    <w:p w14:paraId="118B63E0">
      <w:pPr>
        <w:pStyle w:val="31"/>
        <w:widowControl/>
        <w:spacing w:before="100" w:after="100"/>
        <w:ind w:left="0" w:right="0" w:firstLine="0"/>
        <w:jc w:val="center"/>
        <w:rPr>
          <w:rFonts w:ascii="Times New Roman" w:hAnsi="Times New Roman" w:eastAsia="Times New Roman" w:cs="Times New Roman"/>
          <w:kern w:val="0"/>
          <w:sz w:val="24"/>
        </w:rPr>
      </w:pPr>
      <w:r>
        <w:rPr>
          <w:rFonts w:ascii="Calibri" w:hAnsi="Calibri" w:eastAsia="Calibri" w:cs="Calibri"/>
          <w:spacing w:val="0"/>
          <w:kern w:val="0"/>
          <w:sz w:val="84"/>
          <w:szCs w:val="84"/>
        </w:rPr>
        <w:t> </w:t>
      </w:r>
    </w:p>
    <w:p w14:paraId="47744EF5">
      <w:pPr>
        <w:pStyle w:val="31"/>
        <w:widowControl/>
        <w:spacing w:before="100" w:after="100"/>
        <w:ind w:left="0" w:right="0" w:firstLine="0"/>
        <w:jc w:val="center"/>
        <w:rPr>
          <w:rFonts w:ascii="Times New Roman" w:hAnsi="Times New Roman" w:eastAsia="Times New Roman" w:cs="Times New Roman"/>
          <w:kern w:val="0"/>
          <w:sz w:val="24"/>
        </w:rPr>
      </w:pPr>
      <w:r>
        <w:rPr>
          <w:rFonts w:ascii="Calibri" w:hAnsi="Calibri" w:eastAsia="Calibri" w:cs="Calibri"/>
          <w:spacing w:val="0"/>
          <w:kern w:val="0"/>
          <w:sz w:val="84"/>
          <w:szCs w:val="84"/>
        </w:rPr>
        <w:t> </w:t>
      </w:r>
    </w:p>
    <w:p w14:paraId="601FB8A7">
      <w:pPr>
        <w:pStyle w:val="31"/>
        <w:widowControl/>
        <w:spacing w:before="100" w:after="100"/>
        <w:ind w:left="0" w:right="0" w:firstLine="0"/>
        <w:jc w:val="center"/>
        <w:rPr>
          <w:rFonts w:ascii="Times New Roman" w:hAnsi="Times New Roman" w:eastAsia="Times New Roman" w:cs="Times New Roman"/>
          <w:kern w:val="0"/>
          <w:sz w:val="24"/>
        </w:rPr>
      </w:pPr>
      <w:r>
        <w:rPr>
          <w:rFonts w:ascii="方正小标宋简体" w:hAnsi="方正小标宋简体" w:eastAsia="方正小标宋简体" w:cs="方正小标宋简体"/>
          <w:spacing w:val="0"/>
          <w:kern w:val="0"/>
          <w:sz w:val="84"/>
          <w:szCs w:val="84"/>
        </w:rPr>
        <w:t>2023年度</w:t>
      </w:r>
    </w:p>
    <w:p w14:paraId="69789538">
      <w:pPr>
        <w:pStyle w:val="31"/>
        <w:widowControl/>
        <w:spacing w:before="100" w:after="100"/>
        <w:ind w:left="0" w:right="0" w:firstLine="0"/>
        <w:jc w:val="center"/>
        <w:outlineLvl w:val="0"/>
        <w:rPr>
          <w:rFonts w:hint="eastAsia" w:ascii="方正小标宋简体" w:hAnsi="方正小标宋简体" w:eastAsia="方正小标宋简体" w:cs="方正小标宋简体"/>
          <w:spacing w:val="0"/>
          <w:kern w:val="0"/>
          <w:sz w:val="84"/>
          <w:szCs w:val="84"/>
          <w:lang w:eastAsia="zh-CN"/>
        </w:rPr>
      </w:pPr>
      <w:bookmarkStart w:id="2" w:name="_Toc1592"/>
      <w:r>
        <w:rPr>
          <w:rFonts w:hint="eastAsia" w:ascii="方正小标宋简体" w:hAnsi="方正小标宋简体" w:eastAsia="方正小标宋简体" w:cs="方正小标宋简体"/>
          <w:spacing w:val="0"/>
          <w:kern w:val="0"/>
          <w:sz w:val="84"/>
          <w:szCs w:val="84"/>
          <w:lang w:eastAsia="zh-CN"/>
        </w:rPr>
        <w:t>上杭县珊瑚乡人民政府</w:t>
      </w:r>
      <w:bookmarkEnd w:id="2"/>
    </w:p>
    <w:p w14:paraId="1D0E6B00">
      <w:pPr>
        <w:pStyle w:val="31"/>
        <w:widowControl/>
        <w:spacing w:before="100" w:after="100"/>
        <w:ind w:left="0" w:right="0" w:firstLine="0"/>
        <w:jc w:val="center"/>
        <w:rPr>
          <w:rFonts w:ascii="Times New Roman" w:hAnsi="Times New Roman" w:eastAsia="Times New Roman" w:cs="Times New Roman"/>
          <w:kern w:val="0"/>
          <w:sz w:val="24"/>
        </w:rPr>
      </w:pPr>
      <w:r>
        <w:rPr>
          <w:rFonts w:ascii="方正小标宋简体" w:hAnsi="方正小标宋简体" w:eastAsia="方正小标宋简体" w:cs="方正小标宋简体"/>
          <w:spacing w:val="0"/>
          <w:kern w:val="0"/>
          <w:sz w:val="84"/>
          <w:szCs w:val="84"/>
        </w:rPr>
        <w:t>部门决算</w:t>
      </w:r>
    </w:p>
    <w:p w14:paraId="4A269EE8">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14:paraId="72A6E2DE">
      <w:pPr>
        <w:pStyle w:val="30"/>
        <w:widowControl/>
        <w:spacing w:before="100" w:after="100"/>
        <w:ind w:left="0" w:right="0" w:firstLine="0"/>
        <w:jc w:val="center"/>
        <w:rPr>
          <w:rFonts w:ascii="方正小标宋简体" w:hAnsi="方正小标宋简体" w:eastAsia="方正小标宋简体" w:cs="方正小标宋简体"/>
          <w:spacing w:val="0"/>
          <w:kern w:val="0"/>
          <w:sz w:val="44"/>
          <w:szCs w:val="44"/>
        </w:rPr>
      </w:pPr>
    </w:p>
    <w:p w14:paraId="26800214">
      <w:pPr>
        <w:pStyle w:val="30"/>
        <w:widowControl/>
        <w:spacing w:before="100" w:after="100"/>
        <w:ind w:left="0" w:right="0" w:firstLine="0"/>
        <w:jc w:val="center"/>
        <w:rPr>
          <w:rFonts w:ascii="方正小标宋简体" w:hAnsi="方正小标宋简体" w:eastAsia="方正小标宋简体" w:cs="方正小标宋简体"/>
          <w:spacing w:val="0"/>
          <w:kern w:val="0"/>
          <w:sz w:val="44"/>
          <w:szCs w:val="44"/>
        </w:rPr>
      </w:pPr>
    </w:p>
    <w:p w14:paraId="1EA4B645">
      <w:pPr>
        <w:pStyle w:val="30"/>
        <w:widowControl/>
        <w:spacing w:before="100" w:after="100"/>
        <w:ind w:left="0" w:right="0" w:firstLine="0"/>
        <w:jc w:val="center"/>
        <w:rPr>
          <w:rFonts w:ascii="方正小标宋简体" w:hAnsi="方正小标宋简体" w:eastAsia="方正小标宋简体" w:cs="方正小标宋简体"/>
          <w:spacing w:val="0"/>
          <w:kern w:val="0"/>
          <w:sz w:val="44"/>
          <w:szCs w:val="44"/>
        </w:rPr>
      </w:pPr>
    </w:p>
    <w:p w14:paraId="59FD1222">
      <w:pPr>
        <w:pStyle w:val="30"/>
        <w:widowControl/>
        <w:spacing w:before="100" w:after="100"/>
        <w:ind w:left="0" w:right="0" w:firstLine="0"/>
        <w:jc w:val="center"/>
        <w:rPr>
          <w:rFonts w:ascii="方正小标宋简体" w:hAnsi="方正小标宋简体" w:eastAsia="方正小标宋简体" w:cs="方正小标宋简体"/>
          <w:spacing w:val="0"/>
          <w:kern w:val="0"/>
          <w:sz w:val="44"/>
          <w:szCs w:val="44"/>
        </w:rPr>
      </w:pPr>
    </w:p>
    <w:p w14:paraId="7E1ECB71">
      <w:pPr>
        <w:pStyle w:val="30"/>
        <w:widowControl/>
        <w:spacing w:before="100" w:after="100"/>
        <w:ind w:left="0" w:right="0" w:firstLine="0"/>
        <w:jc w:val="center"/>
        <w:rPr>
          <w:rFonts w:ascii="方正小标宋简体" w:hAnsi="方正小标宋简体" w:eastAsia="方正小标宋简体" w:cs="方正小标宋简体"/>
          <w:spacing w:val="0"/>
          <w:kern w:val="0"/>
          <w:sz w:val="44"/>
          <w:szCs w:val="44"/>
        </w:rPr>
      </w:pPr>
    </w:p>
    <w:p w14:paraId="2D6DD946">
      <w:pPr>
        <w:pStyle w:val="30"/>
        <w:widowControl/>
        <w:spacing w:before="100" w:after="100"/>
        <w:ind w:left="0" w:right="0" w:firstLine="0"/>
        <w:jc w:val="center"/>
        <w:rPr>
          <w:rFonts w:ascii="方正小标宋简体" w:hAnsi="方正小标宋简体" w:eastAsia="方正小标宋简体" w:cs="方正小标宋简体"/>
          <w:spacing w:val="0"/>
          <w:kern w:val="0"/>
          <w:sz w:val="44"/>
          <w:szCs w:val="44"/>
        </w:rPr>
      </w:pPr>
    </w:p>
    <w:p w14:paraId="13097ED9">
      <w:pPr>
        <w:pStyle w:val="30"/>
        <w:widowControl/>
        <w:spacing w:before="100" w:after="100"/>
        <w:ind w:left="0" w:right="0" w:firstLine="0"/>
        <w:jc w:val="center"/>
        <w:rPr>
          <w:rFonts w:ascii="方正小标宋简体" w:hAnsi="方正小标宋简体" w:eastAsia="方正小标宋简体" w:cs="方正小标宋简体"/>
          <w:spacing w:val="0"/>
          <w:kern w:val="0"/>
          <w:sz w:val="44"/>
          <w:szCs w:val="44"/>
        </w:rPr>
        <w:sectPr>
          <w:footerReference r:id="rId3" w:type="default"/>
          <w:pgMar w:top="1440" w:right="720" w:bottom="1440" w:left="720" w:header="720" w:footer="720" w:gutter="0"/>
          <w:cols w:space="720" w:num="1"/>
        </w:sectPr>
      </w:pPr>
    </w:p>
    <w:p w14:paraId="7D99DE16">
      <w:pPr>
        <w:pStyle w:val="30"/>
        <w:widowControl/>
        <w:spacing w:before="100" w:after="100"/>
        <w:ind w:left="0" w:right="0" w:firstLine="0"/>
        <w:jc w:val="center"/>
        <w:rPr>
          <w:rFonts w:ascii="黑体" w:hAnsi="黑体" w:eastAsia="黑体" w:cs="黑体"/>
          <w:spacing w:val="0"/>
          <w:kern w:val="0"/>
          <w:sz w:val="56"/>
          <w:szCs w:val="56"/>
        </w:rPr>
      </w:pPr>
      <w:r>
        <w:rPr>
          <w:rFonts w:ascii="方正小标宋简体" w:hAnsi="方正小标宋简体" w:eastAsia="方正小标宋简体" w:cs="方正小标宋简体"/>
          <w:spacing w:val="0"/>
          <w:kern w:val="0"/>
          <w:sz w:val="44"/>
          <w:szCs w:val="44"/>
        </w:rPr>
        <w:t>目  录</w:t>
      </w:r>
    </w:p>
    <w:sdt>
      <w:sdtPr>
        <w:rPr>
          <w:rFonts w:ascii="宋体" w:hAnsi="宋体" w:eastAsia="宋体" w:cs="Times New Roman"/>
          <w:kern w:val="2"/>
          <w:sz w:val="21"/>
          <w:szCs w:val="24"/>
          <w:lang w:val="en-US" w:eastAsia="zh-CN" w:bidi="ar-SA"/>
        </w:rPr>
        <w:id w:val="147466460"/>
        <w15:color w:val="DBDBDB"/>
        <w:docPartObj>
          <w:docPartGallery w:val="Table of Contents"/>
          <w:docPartUnique/>
        </w:docPartObj>
      </w:sdtPr>
      <w:sdtEndPr>
        <w:rPr>
          <w:rFonts w:ascii="黑体" w:hAnsi="黑体" w:eastAsia="黑体" w:cs="黑体"/>
          <w:b/>
          <w:spacing w:val="0"/>
          <w:kern w:val="0"/>
          <w:sz w:val="21"/>
          <w:szCs w:val="56"/>
          <w:lang w:val="en-US" w:eastAsia="zh-CN" w:bidi="ar-SA"/>
        </w:rPr>
      </w:sdtEndPr>
      <w:sdtContent>
        <w:p w14:paraId="0A76CC80">
          <w:pPr>
            <w:spacing w:before="0" w:beforeLines="0" w:after="0" w:afterLines="0" w:line="240" w:lineRule="auto"/>
            <w:ind w:left="0" w:leftChars="0" w:right="0" w:rightChars="0" w:firstLine="0" w:firstLineChars="0"/>
            <w:jc w:val="center"/>
          </w:pPr>
          <w:r>
            <w:rPr>
              <w:rFonts w:ascii="黑体" w:hAnsi="黑体" w:eastAsia="黑体" w:cs="黑体"/>
              <w:spacing w:val="0"/>
              <w:kern w:val="0"/>
              <w:sz w:val="56"/>
              <w:szCs w:val="56"/>
            </w:rPr>
            <w:fldChar w:fldCharType="begin"/>
          </w:r>
          <w:r>
            <w:rPr>
              <w:rFonts w:ascii="黑体" w:hAnsi="黑体" w:eastAsia="黑体" w:cs="黑体"/>
              <w:spacing w:val="0"/>
              <w:kern w:val="0"/>
              <w:sz w:val="56"/>
              <w:szCs w:val="56"/>
            </w:rPr>
            <w:instrText xml:space="preserve">TOC \o "1-2" \h \u </w:instrText>
          </w:r>
          <w:r>
            <w:rPr>
              <w:rFonts w:ascii="黑体" w:hAnsi="黑体" w:eastAsia="黑体" w:cs="黑体"/>
              <w:spacing w:val="0"/>
              <w:kern w:val="0"/>
              <w:sz w:val="56"/>
              <w:szCs w:val="56"/>
            </w:rPr>
            <w:fldChar w:fldCharType="separate"/>
          </w:r>
        </w:p>
        <w:p w14:paraId="1B617A09">
          <w:pPr>
            <w:pStyle w:val="15"/>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_Toc11806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第一部分 </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_Toc11806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5DEB228F">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_Toc3667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一、部门主要职责</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_Toc3667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33D0CBBE">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_Toc25668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二、部门决算单位基本情况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_Toc25668 \h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66BA89C2">
          <w:pPr>
            <w:pStyle w:val="18"/>
            <w:tabs>
              <w:tab w:val="left" w:pos="1470"/>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_Toc32756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三、部门主要工作总结</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_Toc32756 \h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2D738FB6">
          <w:pPr>
            <w:pStyle w:val="15"/>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_Toc4295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第二部分 </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_Toc4295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71F6405F">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_Toc15701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一、收入支出决算总表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_Toc15701 \h </w:instrText>
          </w:r>
          <w:r>
            <w:rPr>
              <w:rFonts w:hint="eastAsia" w:ascii="仿宋" w:hAnsi="仿宋" w:eastAsia="仿宋" w:cs="仿宋"/>
              <w:sz w:val="32"/>
              <w:szCs w:val="32"/>
            </w:rPr>
            <w:fldChar w:fldCharType="separate"/>
          </w:r>
          <w:r>
            <w:rPr>
              <w:rFonts w:hint="eastAsia" w:ascii="仿宋" w:hAnsi="仿宋" w:eastAsia="仿宋" w:cs="仿宋"/>
              <w:sz w:val="32"/>
              <w:szCs w:val="32"/>
            </w:rPr>
            <w:t>7</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41860705">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_Toc14983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二、收入决算表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_Toc14983 \h </w:instrText>
          </w:r>
          <w:r>
            <w:rPr>
              <w:rFonts w:hint="eastAsia" w:ascii="仿宋" w:hAnsi="仿宋" w:eastAsia="仿宋" w:cs="仿宋"/>
              <w:sz w:val="32"/>
              <w:szCs w:val="32"/>
            </w:rPr>
            <w:fldChar w:fldCharType="separate"/>
          </w:r>
          <w:r>
            <w:rPr>
              <w:rFonts w:hint="eastAsia" w:ascii="仿宋" w:hAnsi="仿宋" w:eastAsia="仿宋" w:cs="仿宋"/>
              <w:sz w:val="32"/>
              <w:szCs w:val="32"/>
            </w:rPr>
            <w:t>10</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4CDCB563">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_Toc6802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三、支出决算表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_Toc6802 \h </w:instrText>
          </w:r>
          <w:r>
            <w:rPr>
              <w:rFonts w:hint="eastAsia" w:ascii="仿宋" w:hAnsi="仿宋" w:eastAsia="仿宋" w:cs="仿宋"/>
              <w:sz w:val="32"/>
              <w:szCs w:val="32"/>
            </w:rPr>
            <w:fldChar w:fldCharType="separate"/>
          </w:r>
          <w:r>
            <w:rPr>
              <w:rFonts w:hint="eastAsia" w:ascii="仿宋" w:hAnsi="仿宋" w:eastAsia="仿宋" w:cs="仿宋"/>
              <w:sz w:val="32"/>
              <w:szCs w:val="32"/>
            </w:rPr>
            <w:t>13</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21D24252">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_Toc4860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四、财政拨款收入支出决算总表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_Toc4860 \h </w:instrText>
          </w:r>
          <w:r>
            <w:rPr>
              <w:rFonts w:hint="eastAsia" w:ascii="仿宋" w:hAnsi="仿宋" w:eastAsia="仿宋" w:cs="仿宋"/>
              <w:sz w:val="32"/>
              <w:szCs w:val="32"/>
            </w:rPr>
            <w:fldChar w:fldCharType="separate"/>
          </w:r>
          <w:r>
            <w:rPr>
              <w:rFonts w:hint="eastAsia" w:ascii="仿宋" w:hAnsi="仿宋" w:eastAsia="仿宋" w:cs="仿宋"/>
              <w:sz w:val="32"/>
              <w:szCs w:val="32"/>
            </w:rPr>
            <w:t>15</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639EBB16">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_Toc16840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五、一般公共预算财政拨款支出决算表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_Toc16840 \h </w:instrText>
          </w:r>
          <w:r>
            <w:rPr>
              <w:rFonts w:hint="eastAsia" w:ascii="仿宋" w:hAnsi="仿宋" w:eastAsia="仿宋" w:cs="仿宋"/>
              <w:sz w:val="32"/>
              <w:szCs w:val="32"/>
            </w:rPr>
            <w:fldChar w:fldCharType="separate"/>
          </w:r>
          <w:r>
            <w:rPr>
              <w:rFonts w:hint="eastAsia" w:ascii="仿宋" w:hAnsi="仿宋" w:eastAsia="仿宋" w:cs="仿宋"/>
              <w:sz w:val="32"/>
              <w:szCs w:val="32"/>
            </w:rPr>
            <w:t>19</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41B060AD">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_Toc2103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六、一般公共预算财政拨款基本支出决算表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_Toc2103 \h </w:instrText>
          </w:r>
          <w:r>
            <w:rPr>
              <w:rFonts w:hint="eastAsia" w:ascii="仿宋" w:hAnsi="仿宋" w:eastAsia="仿宋" w:cs="仿宋"/>
              <w:sz w:val="32"/>
              <w:szCs w:val="32"/>
            </w:rPr>
            <w:fldChar w:fldCharType="separate"/>
          </w:r>
          <w:r>
            <w:rPr>
              <w:rFonts w:hint="eastAsia" w:ascii="仿宋" w:hAnsi="仿宋" w:eastAsia="仿宋" w:cs="仿宋"/>
              <w:sz w:val="32"/>
              <w:szCs w:val="32"/>
            </w:rPr>
            <w:t>22</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3738653B">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_Toc11171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九、国有资本经营预算财政拨款支出决算表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_Toc11171 \h </w:instrText>
          </w:r>
          <w:r>
            <w:rPr>
              <w:rFonts w:hint="eastAsia" w:ascii="仿宋" w:hAnsi="仿宋" w:eastAsia="仿宋" w:cs="仿宋"/>
              <w:sz w:val="32"/>
              <w:szCs w:val="32"/>
            </w:rPr>
            <w:fldChar w:fldCharType="separate"/>
          </w:r>
          <w:r>
            <w:rPr>
              <w:rFonts w:hint="eastAsia" w:ascii="仿宋" w:hAnsi="仿宋" w:eastAsia="仿宋" w:cs="仿宋"/>
              <w:sz w:val="32"/>
              <w:szCs w:val="32"/>
            </w:rPr>
            <w:t>27</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3C4CA929">
          <w:pPr>
            <w:pStyle w:val="15"/>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_Toc20386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第三部分 </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_Toc20386 \h </w:instrText>
          </w:r>
          <w:r>
            <w:rPr>
              <w:rFonts w:hint="eastAsia" w:ascii="仿宋" w:hAnsi="仿宋" w:eastAsia="仿宋" w:cs="仿宋"/>
              <w:sz w:val="32"/>
              <w:szCs w:val="32"/>
            </w:rPr>
            <w:fldChar w:fldCharType="separate"/>
          </w:r>
          <w:r>
            <w:rPr>
              <w:rFonts w:hint="eastAsia" w:ascii="仿宋" w:hAnsi="仿宋" w:eastAsia="仿宋" w:cs="仿宋"/>
              <w:sz w:val="32"/>
              <w:szCs w:val="32"/>
            </w:rPr>
            <w:t>29</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5E961883">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_Toc8591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一、收入支出决算总体情况说明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_Toc8591 \h </w:instrText>
          </w:r>
          <w:r>
            <w:rPr>
              <w:rFonts w:hint="eastAsia" w:ascii="仿宋" w:hAnsi="仿宋" w:eastAsia="仿宋" w:cs="仿宋"/>
              <w:sz w:val="32"/>
              <w:szCs w:val="32"/>
            </w:rPr>
            <w:fldChar w:fldCharType="separate"/>
          </w:r>
          <w:r>
            <w:rPr>
              <w:rFonts w:hint="eastAsia" w:ascii="仿宋" w:hAnsi="仿宋" w:eastAsia="仿宋" w:cs="仿宋"/>
              <w:sz w:val="32"/>
              <w:szCs w:val="32"/>
            </w:rPr>
            <w:t>29</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0EA8C727">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_Toc30717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二、财政拨款收入支出决算总体情况说明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_Toc30717 \h </w:instrText>
          </w:r>
          <w:r>
            <w:rPr>
              <w:rFonts w:hint="eastAsia" w:ascii="仿宋" w:hAnsi="仿宋" w:eastAsia="仿宋" w:cs="仿宋"/>
              <w:sz w:val="32"/>
              <w:szCs w:val="32"/>
            </w:rPr>
            <w:fldChar w:fldCharType="separate"/>
          </w:r>
          <w:r>
            <w:rPr>
              <w:rFonts w:hint="eastAsia" w:ascii="仿宋" w:hAnsi="仿宋" w:eastAsia="仿宋" w:cs="仿宋"/>
              <w:sz w:val="32"/>
              <w:szCs w:val="32"/>
            </w:rPr>
            <w:t>30</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245B2D0D">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_Toc15937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三、一般公共预算财政拨款支出决算情况说明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_Toc15937 \h </w:instrText>
          </w:r>
          <w:r>
            <w:rPr>
              <w:rFonts w:hint="eastAsia" w:ascii="仿宋" w:hAnsi="仿宋" w:eastAsia="仿宋" w:cs="仿宋"/>
              <w:sz w:val="32"/>
              <w:szCs w:val="32"/>
            </w:rPr>
            <w:fldChar w:fldCharType="separate"/>
          </w:r>
          <w:r>
            <w:rPr>
              <w:rFonts w:hint="eastAsia" w:ascii="仿宋" w:hAnsi="仿宋" w:eastAsia="仿宋" w:cs="仿宋"/>
              <w:sz w:val="32"/>
              <w:szCs w:val="32"/>
            </w:rPr>
            <w:t>30</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25D07E69">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_Toc17467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四、政府性基金预算财政拨款支出决算情况说明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_Toc17467 \h </w:instrText>
          </w:r>
          <w:r>
            <w:rPr>
              <w:rFonts w:hint="eastAsia" w:ascii="仿宋" w:hAnsi="仿宋" w:eastAsia="仿宋" w:cs="仿宋"/>
              <w:sz w:val="32"/>
              <w:szCs w:val="32"/>
            </w:rPr>
            <w:fldChar w:fldCharType="separate"/>
          </w:r>
          <w:r>
            <w:rPr>
              <w:rFonts w:hint="eastAsia" w:ascii="仿宋" w:hAnsi="仿宋" w:eastAsia="仿宋" w:cs="仿宋"/>
              <w:sz w:val="32"/>
              <w:szCs w:val="32"/>
            </w:rPr>
            <w:t>31</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1FA42F0E">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_Toc18351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五、国有资本经营预算财政拨款支出决算情况说明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_Toc18351 \h </w:instrText>
          </w:r>
          <w:r>
            <w:rPr>
              <w:rFonts w:hint="eastAsia" w:ascii="仿宋" w:hAnsi="仿宋" w:eastAsia="仿宋" w:cs="仿宋"/>
              <w:sz w:val="32"/>
              <w:szCs w:val="32"/>
            </w:rPr>
            <w:fldChar w:fldCharType="separate"/>
          </w:r>
          <w:r>
            <w:rPr>
              <w:rFonts w:hint="eastAsia" w:ascii="仿宋" w:hAnsi="仿宋" w:eastAsia="仿宋" w:cs="仿宋"/>
              <w:sz w:val="32"/>
              <w:szCs w:val="32"/>
            </w:rPr>
            <w:t>31</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3B43819D">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_Toc24090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六、一般公共预算财政拨款基本支出决算情况说明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_Toc24090 \h </w:instrText>
          </w:r>
          <w:r>
            <w:rPr>
              <w:rFonts w:hint="eastAsia" w:ascii="仿宋" w:hAnsi="仿宋" w:eastAsia="仿宋" w:cs="仿宋"/>
              <w:sz w:val="32"/>
              <w:szCs w:val="32"/>
            </w:rPr>
            <w:fldChar w:fldCharType="separate"/>
          </w:r>
          <w:r>
            <w:rPr>
              <w:rFonts w:hint="eastAsia" w:ascii="仿宋" w:hAnsi="仿宋" w:eastAsia="仿宋" w:cs="仿宋"/>
              <w:sz w:val="32"/>
              <w:szCs w:val="32"/>
            </w:rPr>
            <w:t>31</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2C4FBB36">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_Toc21944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七、一般公共预算拨款“三公”经费支出决算情况说明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_Toc21944 \h </w:instrText>
          </w:r>
          <w:r>
            <w:rPr>
              <w:rFonts w:hint="eastAsia" w:ascii="仿宋" w:hAnsi="仿宋" w:eastAsia="仿宋" w:cs="仿宋"/>
              <w:sz w:val="32"/>
              <w:szCs w:val="32"/>
            </w:rPr>
            <w:fldChar w:fldCharType="separate"/>
          </w:r>
          <w:r>
            <w:rPr>
              <w:rFonts w:hint="eastAsia" w:ascii="仿宋" w:hAnsi="仿宋" w:eastAsia="仿宋" w:cs="仿宋"/>
              <w:sz w:val="32"/>
              <w:szCs w:val="32"/>
            </w:rPr>
            <w:t>32</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089DC890">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_Toc9904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八、预算绩效情况说明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_Toc9904 \h </w:instrText>
          </w:r>
          <w:r>
            <w:rPr>
              <w:rFonts w:hint="eastAsia" w:ascii="仿宋" w:hAnsi="仿宋" w:eastAsia="仿宋" w:cs="仿宋"/>
              <w:sz w:val="32"/>
              <w:szCs w:val="32"/>
            </w:rPr>
            <w:fldChar w:fldCharType="separate"/>
          </w:r>
          <w:r>
            <w:rPr>
              <w:rFonts w:hint="eastAsia" w:ascii="仿宋" w:hAnsi="仿宋" w:eastAsia="仿宋" w:cs="仿宋"/>
              <w:sz w:val="32"/>
              <w:szCs w:val="32"/>
            </w:rPr>
            <w:t>33</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42B39C3A">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_Toc4867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九、其他重要事项说明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_Toc4867 \h </w:instrText>
          </w:r>
          <w:r>
            <w:rPr>
              <w:rFonts w:hint="eastAsia" w:ascii="仿宋" w:hAnsi="仿宋" w:eastAsia="仿宋" w:cs="仿宋"/>
              <w:sz w:val="32"/>
              <w:szCs w:val="32"/>
            </w:rPr>
            <w:fldChar w:fldCharType="separate"/>
          </w:r>
          <w:r>
            <w:rPr>
              <w:rFonts w:hint="eastAsia" w:ascii="仿宋" w:hAnsi="仿宋" w:eastAsia="仿宋" w:cs="仿宋"/>
              <w:sz w:val="32"/>
              <w:szCs w:val="32"/>
            </w:rPr>
            <w:t>33</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2B11A4AE">
          <w:pPr>
            <w:pStyle w:val="15"/>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_Toc23627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第四部分 </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_Toc23627 \h </w:instrText>
          </w:r>
          <w:r>
            <w:rPr>
              <w:rFonts w:hint="eastAsia" w:ascii="仿宋" w:hAnsi="仿宋" w:eastAsia="仿宋" w:cs="仿宋"/>
              <w:sz w:val="32"/>
              <w:szCs w:val="32"/>
            </w:rPr>
            <w:fldChar w:fldCharType="separate"/>
          </w:r>
          <w:r>
            <w:rPr>
              <w:rFonts w:hint="eastAsia" w:ascii="仿宋" w:hAnsi="仿宋" w:eastAsia="仿宋" w:cs="仿宋"/>
              <w:sz w:val="32"/>
              <w:szCs w:val="32"/>
            </w:rPr>
            <w:t>35</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2AEDB550">
          <w:pPr>
            <w:pStyle w:val="15"/>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_Toc4575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第五部分 </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_Toc4575 \h </w:instrText>
          </w:r>
          <w:r>
            <w:rPr>
              <w:rFonts w:hint="eastAsia" w:ascii="仿宋" w:hAnsi="仿宋" w:eastAsia="仿宋" w:cs="仿宋"/>
              <w:sz w:val="32"/>
              <w:szCs w:val="32"/>
            </w:rPr>
            <w:fldChar w:fldCharType="separate"/>
          </w:r>
          <w:r>
            <w:rPr>
              <w:rFonts w:hint="eastAsia" w:ascii="仿宋" w:hAnsi="仿宋" w:eastAsia="仿宋" w:cs="仿宋"/>
              <w:sz w:val="32"/>
              <w:szCs w:val="32"/>
            </w:rPr>
            <w:t>38</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3A94F46F">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_Toc18509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附件</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_Toc18509 \h </w:instrText>
          </w:r>
          <w:r>
            <w:rPr>
              <w:rFonts w:hint="eastAsia" w:ascii="仿宋" w:hAnsi="仿宋" w:eastAsia="仿宋" w:cs="仿宋"/>
              <w:sz w:val="32"/>
              <w:szCs w:val="32"/>
            </w:rPr>
            <w:fldChar w:fldCharType="separate"/>
          </w:r>
          <w:r>
            <w:rPr>
              <w:rFonts w:hint="eastAsia" w:ascii="仿宋" w:hAnsi="仿宋" w:eastAsia="仿宋" w:cs="仿宋"/>
              <w:sz w:val="32"/>
              <w:szCs w:val="32"/>
            </w:rPr>
            <w:t>38</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280507CE">
          <w:pPr>
            <w:pStyle w:val="18"/>
            <w:tabs>
              <w:tab w:val="right" w:leader="dot" w:pos="10800"/>
            </w:tabs>
            <w:rPr>
              <w:rFonts w:hint="eastAsia" w:ascii="仿宋" w:hAnsi="仿宋" w:eastAsia="仿宋" w:cs="仿宋"/>
              <w:sz w:val="32"/>
              <w:szCs w:val="32"/>
            </w:rPr>
          </w:pPr>
          <w:r>
            <w:rPr>
              <w:rFonts w:hint="eastAsia" w:ascii="仿宋" w:hAnsi="仿宋" w:eastAsia="仿宋" w:cs="仿宋"/>
              <w:spacing w:val="0"/>
              <w:kern w:val="0"/>
              <w:sz w:val="32"/>
              <w:szCs w:val="32"/>
            </w:rPr>
            <w:fldChar w:fldCharType="begin"/>
          </w:r>
          <w:r>
            <w:rPr>
              <w:rFonts w:hint="eastAsia" w:ascii="仿宋" w:hAnsi="仿宋" w:eastAsia="仿宋" w:cs="仿宋"/>
              <w:spacing w:val="0"/>
              <w:kern w:val="0"/>
              <w:sz w:val="32"/>
              <w:szCs w:val="32"/>
            </w:rPr>
            <w:instrText xml:space="preserve"> HYPERLINK \l _Toc15665 </w:instrText>
          </w:r>
          <w:r>
            <w:rPr>
              <w:rFonts w:hint="eastAsia" w:ascii="仿宋" w:hAnsi="仿宋" w:eastAsia="仿宋" w:cs="仿宋"/>
              <w:spacing w:val="0"/>
              <w:kern w:val="0"/>
              <w:sz w:val="32"/>
              <w:szCs w:val="32"/>
            </w:rPr>
            <w:fldChar w:fldCharType="separate"/>
          </w:r>
          <w:r>
            <w:rPr>
              <w:rFonts w:hint="eastAsia" w:ascii="仿宋" w:hAnsi="仿宋" w:eastAsia="仿宋" w:cs="仿宋"/>
              <w:spacing w:val="0"/>
              <w:kern w:val="0"/>
              <w:sz w:val="32"/>
              <w:szCs w:val="32"/>
            </w:rPr>
            <w:t>三、部门整体支出绩效自评表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_Toc15665 \h </w:instrText>
          </w:r>
          <w:r>
            <w:rPr>
              <w:rFonts w:hint="eastAsia" w:ascii="仿宋" w:hAnsi="仿宋" w:eastAsia="仿宋" w:cs="仿宋"/>
              <w:sz w:val="32"/>
              <w:szCs w:val="32"/>
            </w:rPr>
            <w:fldChar w:fldCharType="separate"/>
          </w:r>
          <w:r>
            <w:rPr>
              <w:rFonts w:hint="eastAsia" w:ascii="仿宋" w:hAnsi="仿宋" w:eastAsia="仿宋" w:cs="仿宋"/>
              <w:sz w:val="32"/>
              <w:szCs w:val="32"/>
            </w:rPr>
            <w:t>39</w:t>
          </w:r>
          <w:r>
            <w:rPr>
              <w:rFonts w:hint="eastAsia" w:ascii="仿宋" w:hAnsi="仿宋" w:eastAsia="仿宋" w:cs="仿宋"/>
              <w:sz w:val="32"/>
              <w:szCs w:val="32"/>
            </w:rPr>
            <w:fldChar w:fldCharType="end"/>
          </w:r>
          <w:r>
            <w:rPr>
              <w:rFonts w:hint="eastAsia" w:ascii="仿宋" w:hAnsi="仿宋" w:eastAsia="仿宋" w:cs="仿宋"/>
              <w:spacing w:val="0"/>
              <w:kern w:val="0"/>
              <w:sz w:val="32"/>
              <w:szCs w:val="32"/>
            </w:rPr>
            <w:fldChar w:fldCharType="end"/>
          </w:r>
        </w:p>
        <w:p w14:paraId="2A68A440">
          <w:pPr>
            <w:pStyle w:val="30"/>
            <w:widowControl/>
            <w:spacing w:before="100" w:after="100"/>
            <w:ind w:left="0" w:right="0" w:firstLine="0"/>
            <w:jc w:val="left"/>
            <w:rPr>
              <w:rFonts w:ascii="黑体" w:hAnsi="黑体" w:eastAsia="黑体" w:cs="黑体"/>
              <w:b/>
              <w:spacing w:val="0"/>
              <w:kern w:val="0"/>
              <w:sz w:val="21"/>
              <w:szCs w:val="56"/>
              <w:lang w:val="en-US" w:eastAsia="zh-CN" w:bidi="ar-SA"/>
            </w:rPr>
          </w:pPr>
          <w:r>
            <w:rPr>
              <w:rFonts w:ascii="黑体" w:hAnsi="黑体" w:eastAsia="黑体" w:cs="黑体"/>
              <w:spacing w:val="0"/>
              <w:kern w:val="0"/>
              <w:szCs w:val="56"/>
            </w:rPr>
            <w:fldChar w:fldCharType="end"/>
          </w:r>
        </w:p>
      </w:sdtContent>
    </w:sdt>
    <w:p w14:paraId="59763F28">
      <w:pPr>
        <w:pStyle w:val="30"/>
        <w:widowControl/>
        <w:spacing w:before="100" w:after="100"/>
        <w:ind w:left="0" w:right="0" w:firstLine="0"/>
        <w:jc w:val="left"/>
        <w:rPr>
          <w:rFonts w:ascii="黑体" w:hAnsi="黑体" w:eastAsia="黑体" w:cs="黑体"/>
          <w:b/>
          <w:spacing w:val="0"/>
          <w:kern w:val="0"/>
          <w:sz w:val="21"/>
          <w:szCs w:val="56"/>
          <w:lang w:val="en-US" w:eastAsia="zh-CN" w:bidi="ar-SA"/>
        </w:rPr>
      </w:pPr>
    </w:p>
    <w:p w14:paraId="044DEB35">
      <w:pPr>
        <w:pStyle w:val="30"/>
        <w:widowControl/>
        <w:spacing w:before="100" w:after="100"/>
        <w:ind w:left="0" w:right="0" w:firstLine="0"/>
        <w:jc w:val="left"/>
        <w:rPr>
          <w:rFonts w:ascii="黑体" w:hAnsi="黑体" w:eastAsia="黑体" w:cs="黑体"/>
          <w:spacing w:val="0"/>
          <w:kern w:val="0"/>
          <w:sz w:val="56"/>
          <w:szCs w:val="56"/>
        </w:rPr>
      </w:pPr>
    </w:p>
    <w:p w14:paraId="61ED5FC6">
      <w:pPr>
        <w:pStyle w:val="30"/>
        <w:widowControl/>
        <w:spacing w:before="100" w:after="100"/>
        <w:ind w:left="0" w:right="0" w:firstLine="0"/>
        <w:jc w:val="left"/>
        <w:rPr>
          <w:rFonts w:ascii="黑体" w:hAnsi="黑体" w:eastAsia="黑体" w:cs="黑体"/>
          <w:spacing w:val="0"/>
          <w:kern w:val="0"/>
          <w:sz w:val="56"/>
          <w:szCs w:val="56"/>
        </w:rPr>
      </w:pPr>
    </w:p>
    <w:p w14:paraId="7F01E4E4">
      <w:pPr>
        <w:pStyle w:val="30"/>
        <w:widowControl/>
        <w:spacing w:before="100" w:after="100"/>
        <w:ind w:left="0" w:right="0" w:firstLine="0"/>
        <w:jc w:val="left"/>
        <w:rPr>
          <w:rFonts w:ascii="黑体" w:hAnsi="黑体" w:eastAsia="黑体" w:cs="黑体"/>
          <w:spacing w:val="0"/>
          <w:kern w:val="0"/>
          <w:sz w:val="56"/>
          <w:szCs w:val="56"/>
        </w:rPr>
      </w:pPr>
    </w:p>
    <w:p w14:paraId="7836C5E2">
      <w:pPr>
        <w:pStyle w:val="30"/>
        <w:widowControl/>
        <w:spacing w:before="100" w:after="100"/>
        <w:ind w:left="0" w:right="0" w:firstLine="0"/>
        <w:jc w:val="left"/>
        <w:rPr>
          <w:rFonts w:ascii="黑体" w:hAnsi="黑体" w:eastAsia="黑体" w:cs="黑体"/>
          <w:spacing w:val="0"/>
          <w:kern w:val="0"/>
          <w:sz w:val="56"/>
          <w:szCs w:val="56"/>
        </w:rPr>
      </w:pPr>
    </w:p>
    <w:p w14:paraId="33906793">
      <w:pPr>
        <w:pStyle w:val="30"/>
        <w:widowControl/>
        <w:spacing w:before="100" w:after="100"/>
        <w:ind w:left="0" w:right="0" w:firstLine="0"/>
        <w:jc w:val="left"/>
        <w:rPr>
          <w:rFonts w:ascii="黑体" w:hAnsi="黑体" w:eastAsia="黑体" w:cs="黑体"/>
          <w:spacing w:val="0"/>
          <w:kern w:val="0"/>
          <w:sz w:val="56"/>
          <w:szCs w:val="56"/>
        </w:rPr>
      </w:pPr>
    </w:p>
    <w:p w14:paraId="6BDFB7FC">
      <w:pPr>
        <w:pStyle w:val="30"/>
        <w:widowControl/>
        <w:spacing w:before="100" w:after="100"/>
        <w:ind w:left="0" w:right="0" w:firstLine="0"/>
        <w:jc w:val="left"/>
        <w:rPr>
          <w:rFonts w:ascii="黑体" w:hAnsi="黑体" w:eastAsia="黑体" w:cs="黑体"/>
          <w:spacing w:val="0"/>
          <w:kern w:val="0"/>
          <w:sz w:val="56"/>
          <w:szCs w:val="56"/>
        </w:rPr>
        <w:sectPr>
          <w:footerReference r:id="rId4" w:type="default"/>
          <w:pgMar w:top="1440" w:right="720" w:bottom="1440" w:left="720" w:header="720" w:footer="720" w:gutter="0"/>
          <w:cols w:space="720" w:num="1"/>
        </w:sectPr>
      </w:pPr>
    </w:p>
    <w:p w14:paraId="7635035D">
      <w:pPr>
        <w:pStyle w:val="30"/>
        <w:widowControl/>
        <w:spacing w:before="100" w:after="100"/>
        <w:ind w:left="0" w:right="0" w:firstLine="0"/>
        <w:jc w:val="left"/>
        <w:outlineLvl w:val="0"/>
        <w:rPr>
          <w:rFonts w:ascii="Times New Roman" w:hAnsi="Times New Roman" w:eastAsia="Times New Roman" w:cs="Times New Roman"/>
          <w:kern w:val="0"/>
          <w:sz w:val="24"/>
        </w:rPr>
      </w:pPr>
      <w:bookmarkStart w:id="3" w:name="_Toc11806"/>
      <w:r>
        <w:rPr>
          <w:rFonts w:ascii="黑体" w:hAnsi="黑体" w:eastAsia="黑体" w:cs="黑体"/>
          <w:spacing w:val="0"/>
          <w:kern w:val="0"/>
          <w:sz w:val="56"/>
          <w:szCs w:val="56"/>
        </w:rPr>
        <w:t>第一部分</w:t>
      </w:r>
      <w:r>
        <w:rPr>
          <w:rFonts w:ascii="宋体" w:hAnsi="宋体" w:cs="宋体"/>
          <w:spacing w:val="0"/>
          <w:kern w:val="0"/>
          <w:sz w:val="56"/>
          <w:szCs w:val="56"/>
        </w:rPr>
        <w:t> </w:t>
      </w:r>
      <w:bookmarkEnd w:id="3"/>
    </w:p>
    <w:p w14:paraId="0EFC3209">
      <w:pPr>
        <w:pStyle w:val="30"/>
        <w:widowControl/>
        <w:spacing w:before="100" w:after="100"/>
        <w:ind w:left="0" w:right="0" w:firstLine="0"/>
        <w:jc w:val="center"/>
        <w:rPr>
          <w:rFonts w:ascii="Times New Roman" w:hAnsi="Times New Roman" w:eastAsia="Times New Roman" w:cs="Times New Roman"/>
          <w:kern w:val="0"/>
          <w:sz w:val="24"/>
        </w:rPr>
      </w:pPr>
      <w:r>
        <w:rPr>
          <w:rFonts w:ascii="黑体" w:hAnsi="黑体" w:eastAsia="黑体" w:cs="黑体"/>
          <w:spacing w:val="0"/>
          <w:kern w:val="0"/>
          <w:sz w:val="56"/>
          <w:szCs w:val="56"/>
        </w:rPr>
        <w:t>部门概况</w:t>
      </w:r>
    </w:p>
    <w:p w14:paraId="6462F759">
      <w:pPr>
        <w:pStyle w:val="31"/>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4E97DE59">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14:paraId="5735B897">
      <w:pPr>
        <w:pStyle w:val="31"/>
        <w:widowControl/>
        <w:spacing w:before="100" w:after="100" w:line="600" w:lineRule="atLeast"/>
        <w:ind w:left="0" w:right="0" w:firstLine="640"/>
        <w:jc w:val="left"/>
        <w:outlineLvl w:val="1"/>
        <w:rPr>
          <w:rFonts w:ascii="Times New Roman" w:hAnsi="Times New Roman" w:eastAsia="Times New Roman" w:cs="Times New Roman"/>
          <w:kern w:val="0"/>
          <w:sz w:val="24"/>
        </w:rPr>
      </w:pPr>
      <w:bookmarkStart w:id="4" w:name="_Toc3667"/>
      <w:r>
        <w:rPr>
          <w:rFonts w:ascii="黑体" w:hAnsi="黑体" w:eastAsia="黑体" w:cs="黑体"/>
          <w:spacing w:val="0"/>
          <w:kern w:val="0"/>
          <w:sz w:val="32"/>
          <w:szCs w:val="32"/>
        </w:rPr>
        <w:t>一、部门主要职责</w:t>
      </w:r>
      <w:bookmarkEnd w:id="4"/>
    </w:p>
    <w:p w14:paraId="243A6D5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上杭县珊瑚乡党委、政府是管理全乡政治、经济、文化、教育、卫生、村镇建设、社会治安等物质文明和精神文明建设的一级基层政权组织。其主要职责是：</w:t>
      </w:r>
    </w:p>
    <w:p w14:paraId="3924122A">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（一）贯彻执行党和国家的有关方针、政策、法律和法规，调查研究并拟订适合本乡实际的具体政策措施。</w:t>
      </w:r>
    </w:p>
    <w:p w14:paraId="5A4F772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（二）组织制订全乡经济和社会发展的中长期规划，搞好经济发展的总体布局和产业布局，制订并组织实施全乡社会主义现代化新农村建设的规划和措施。</w:t>
      </w:r>
    </w:p>
    <w:p w14:paraId="205735C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（三）完善统分结合的双层经营体制工作，巩固发展壮大村级集体经济，加强农村社会化服务体系建设，指导、协调农业生产和农村多种经营及贸易工作。</w:t>
      </w:r>
    </w:p>
    <w:p w14:paraId="2C7DB04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（四）编制乡级财政预决算计划，做好经费的划拨和核算工作；指导、协调、监督农村村级集体经济的财务、会计、审计工作。</w:t>
      </w:r>
    </w:p>
    <w:p w14:paraId="5FEECD7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（五）贯彻社会治安综合治理方针政策，落实社会治安综合治理目标责任制，加强法制宣传教育，做好人民调解、治安保卫和法律服务工作，维护全乡的社会稳定。</w:t>
      </w:r>
    </w:p>
    <w:p w14:paraId="7602A59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（六）负责做好全乡党的建设、宣传、教育、精神文明建设及指导工、青、妇群团工作。</w:t>
      </w:r>
    </w:p>
    <w:p w14:paraId="2A49889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（七）负责做好兵员征集、现役军人家庭优抚、退伍军人的安置、救灾救济、农村社会保险和推进殡葬改革的工作。</w:t>
      </w:r>
    </w:p>
    <w:p w14:paraId="61071DAA">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2"/>
        <w:rPr>
          <w:rFonts w:ascii="仿宋" w:hAnsi="仿宋" w:eastAsia="仿宋"/>
          <w:sz w:val="32"/>
          <w:szCs w:val="32"/>
        </w:rPr>
      </w:pPr>
      <w:r>
        <w:rPr>
          <w:rFonts w:hint="eastAsia" w:ascii="仿宋" w:hAnsi="仿宋" w:eastAsia="仿宋"/>
          <w:sz w:val="32"/>
          <w:szCs w:val="32"/>
        </w:rPr>
        <w:t>（八）承办县委、县政府及其工作部门交办的其他事项。</w:t>
      </w:r>
    </w:p>
    <w:p w14:paraId="69090C04">
      <w:pPr>
        <w:pStyle w:val="31"/>
        <w:widowControl/>
        <w:spacing w:before="100" w:after="100" w:line="600" w:lineRule="atLeast"/>
        <w:ind w:left="0" w:right="0" w:firstLine="640"/>
        <w:jc w:val="left"/>
        <w:outlineLvl w:val="1"/>
        <w:rPr>
          <w:rFonts w:ascii="Times New Roman" w:hAnsi="Times New Roman" w:eastAsia="Times New Roman" w:cs="Times New Roman"/>
          <w:kern w:val="0"/>
          <w:sz w:val="24"/>
        </w:rPr>
      </w:pPr>
      <w:bookmarkStart w:id="5" w:name="_Toc25668"/>
      <w:r>
        <w:rPr>
          <w:rFonts w:ascii="黑体" w:hAnsi="黑体" w:eastAsia="黑体" w:cs="黑体"/>
          <w:spacing w:val="0"/>
          <w:kern w:val="0"/>
          <w:sz w:val="32"/>
          <w:szCs w:val="32"/>
        </w:rPr>
        <w:t>二、部门决算单位基本情况</w:t>
      </w:r>
      <w:bookmarkEnd w:id="5"/>
    </w:p>
    <w:p w14:paraId="6B305BBC">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从决算单位构成看，</w:t>
      </w:r>
      <w:r>
        <w:rPr>
          <w:rFonts w:hint="eastAsia" w:ascii="仿宋" w:hAnsi="仿宋" w:eastAsia="仿宋" w:cs="仿宋_GB2312"/>
          <w:sz w:val="32"/>
          <w:szCs w:val="32"/>
          <w:lang w:eastAsia="zh-CN"/>
        </w:rPr>
        <w:t>上杭县珊瑚乡</w:t>
      </w:r>
      <w:r>
        <w:rPr>
          <w:rFonts w:ascii="仿宋" w:hAnsi="仿宋" w:eastAsia="仿宋" w:cs="仿宋"/>
          <w:spacing w:val="0"/>
          <w:kern w:val="0"/>
          <w:sz w:val="32"/>
          <w:szCs w:val="32"/>
        </w:rPr>
        <w:t>包括</w:t>
      </w:r>
      <w:r>
        <w:rPr>
          <w:rFonts w:hint="eastAsia" w:ascii="仿宋" w:hAnsi="仿宋" w:eastAsia="仿宋" w:cs="仿宋"/>
          <w:spacing w:val="0"/>
          <w:kern w:val="0"/>
          <w:sz w:val="32"/>
          <w:szCs w:val="32"/>
          <w:lang w:val="en-US" w:eastAsia="zh-CN"/>
        </w:rPr>
        <w:t>1</w:t>
      </w:r>
      <w:r>
        <w:rPr>
          <w:rFonts w:ascii="仿宋" w:hAnsi="仿宋" w:eastAsia="仿宋" w:cs="仿宋"/>
          <w:spacing w:val="0"/>
          <w:kern w:val="0"/>
          <w:sz w:val="32"/>
          <w:szCs w:val="32"/>
        </w:rPr>
        <w:t>个机关行政处（科、股）室及</w:t>
      </w:r>
      <w:r>
        <w:rPr>
          <w:rFonts w:hint="eastAsia" w:ascii="仿宋" w:hAnsi="仿宋" w:eastAsia="仿宋" w:cs="仿宋"/>
          <w:spacing w:val="0"/>
          <w:kern w:val="0"/>
          <w:sz w:val="32"/>
          <w:szCs w:val="32"/>
          <w:lang w:val="en-US" w:eastAsia="zh-CN"/>
        </w:rPr>
        <w:t>4</w:t>
      </w:r>
      <w:r>
        <w:rPr>
          <w:rFonts w:ascii="仿宋" w:hAnsi="仿宋" w:eastAsia="仿宋" w:cs="仿宋"/>
          <w:spacing w:val="0"/>
          <w:kern w:val="0"/>
          <w:sz w:val="32"/>
          <w:szCs w:val="32"/>
        </w:rPr>
        <w:t>个下属单位，其中：列入</w:t>
      </w:r>
      <w:r>
        <w:rPr>
          <w:rFonts w:hint="eastAsia" w:ascii="仿宋" w:hAnsi="仿宋" w:eastAsia="仿宋" w:cs="仿宋"/>
          <w:spacing w:val="0"/>
          <w:kern w:val="0"/>
          <w:sz w:val="32"/>
          <w:szCs w:val="32"/>
          <w:lang w:val="en-US" w:eastAsia="zh-CN"/>
        </w:rPr>
        <w:t>2023</w:t>
      </w:r>
      <w:r>
        <w:rPr>
          <w:rFonts w:ascii="仿宋" w:hAnsi="仿宋" w:eastAsia="仿宋" w:cs="仿宋"/>
          <w:spacing w:val="0"/>
          <w:kern w:val="0"/>
          <w:sz w:val="32"/>
          <w:szCs w:val="32"/>
        </w:rPr>
        <w:t>年部门决算编制范围的单位详细情况见下表:</w:t>
      </w:r>
    </w:p>
    <w:tbl>
      <w:tblPr>
        <w:tblStyle w:val="32"/>
        <w:tblW w:w="0" w:type="auto"/>
        <w:jc w:val="center"/>
        <w:tblCellSpacing w:w="0" w:type="dxa"/>
        <w:tblLayout w:type="fixed"/>
        <w:tblCellMar>
          <w:top w:w="15" w:type="dxa"/>
          <w:left w:w="15" w:type="dxa"/>
          <w:bottom w:w="15" w:type="dxa"/>
          <w:right w:w="15" w:type="dxa"/>
        </w:tblCellMar>
      </w:tblPr>
      <w:tblGrid>
        <w:gridCol w:w="1970"/>
        <w:gridCol w:w="6588"/>
      </w:tblGrid>
      <w:tr w14:paraId="2EF666F6">
        <w:tblPrEx>
          <w:tblCellMar>
            <w:top w:w="15" w:type="dxa"/>
            <w:left w:w="15" w:type="dxa"/>
            <w:bottom w:w="15" w:type="dxa"/>
            <w:right w:w="15" w:type="dxa"/>
          </w:tblCellMar>
        </w:tblPrEx>
        <w:trPr>
          <w:trHeight w:val="664" w:hRule="atLeast"/>
          <w:tblHeader/>
          <w:tblCellSpacing w:w="0" w:type="dxa"/>
          <w:jc w:val="center"/>
        </w:trPr>
        <w:tc>
          <w:tcPr>
            <w:tcW w:w="1664" w:type="dxa"/>
            <w:tcBorders>
              <w:top w:val="single" w:color="000000" w:sz="8" w:space="0"/>
              <w:left w:val="single" w:color="000000" w:sz="8" w:space="0"/>
              <w:bottom w:val="single" w:color="000000" w:sz="8" w:space="0"/>
              <w:right w:val="single" w:color="000000" w:sz="8" w:space="0"/>
            </w:tcBorders>
            <w:noWrap w:val="0"/>
            <w:tcMar>
              <w:top w:w="10" w:type="dxa"/>
              <w:left w:w="118" w:type="dxa"/>
              <w:bottom w:w="10" w:type="dxa"/>
              <w:right w:w="118" w:type="dxa"/>
            </w:tcMar>
            <w:vAlign w:val="center"/>
          </w:tcPr>
          <w:p w14:paraId="7FA9E487">
            <w:pPr>
              <w:pStyle w:val="31"/>
              <w:widowControl/>
              <w:spacing w:before="100" w:after="100" w:line="60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32"/>
                <w:szCs w:val="32"/>
              </w:rPr>
              <w:t>序号</w:t>
            </w:r>
          </w:p>
        </w:tc>
        <w:tc>
          <w:tcPr>
            <w:tcW w:w="6362"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1CCA3BDA">
            <w:pPr>
              <w:pStyle w:val="31"/>
              <w:widowControl/>
              <w:spacing w:before="100" w:after="100" w:line="60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仿宋" w:hAnsi="仿宋" w:eastAsia="仿宋" w:cs="仿宋"/>
                <w:b w:val="0"/>
                <w:bCs w:val="0"/>
                <w:i w:val="0"/>
                <w:iCs w:val="0"/>
                <w:smallCaps w:val="0"/>
                <w:color w:val="000000"/>
                <w:kern w:val="0"/>
                <w:sz w:val="32"/>
                <w:szCs w:val="32"/>
              </w:rPr>
              <w:t>单位名称</w:t>
            </w:r>
          </w:p>
        </w:tc>
      </w:tr>
      <w:tr w14:paraId="14097319">
        <w:tblPrEx>
          <w:tblCellMar>
            <w:top w:w="15" w:type="dxa"/>
            <w:left w:w="15" w:type="dxa"/>
            <w:bottom w:w="15" w:type="dxa"/>
            <w:right w:w="15" w:type="dxa"/>
          </w:tblCellMar>
        </w:tblPrEx>
        <w:trPr>
          <w:tblCellSpacing w:w="0" w:type="dxa"/>
          <w:jc w:val="center"/>
        </w:trPr>
        <w:tc>
          <w:tcPr>
            <w:tcW w:w="1664" w:type="dxa"/>
            <w:tcBorders>
              <w:left w:val="single" w:color="000000" w:sz="8" w:space="0"/>
              <w:bottom w:val="single" w:color="000000" w:sz="8" w:space="0"/>
              <w:right w:val="single" w:color="000000" w:sz="8" w:space="0"/>
            </w:tcBorders>
            <w:noWrap w:val="0"/>
            <w:tcMar>
              <w:top w:w="0" w:type="dxa"/>
              <w:left w:w="118" w:type="dxa"/>
              <w:bottom w:w="10" w:type="dxa"/>
              <w:right w:w="118" w:type="dxa"/>
            </w:tcMar>
            <w:vAlign w:val="top"/>
          </w:tcPr>
          <w:p w14:paraId="18DC20E2">
            <w:pPr>
              <w:pStyle w:val="31"/>
              <w:widowControl/>
              <w:spacing w:before="100" w:after="100" w:line="600" w:lineRule="atLeast"/>
              <w:ind w:left="0" w:right="0"/>
              <w:jc w:val="center"/>
              <w:rPr>
                <w:rFonts w:hint="eastAsia" w:ascii="Times New Roman" w:hAnsi="Times New Roman" w:eastAsia="仿宋" w:cs="Times New Roman"/>
                <w:b w:val="0"/>
                <w:bCs w:val="0"/>
                <w:i w:val="0"/>
                <w:iCs w:val="0"/>
                <w:smallCaps w:val="0"/>
                <w:color w:val="000000"/>
                <w:kern w:val="0"/>
                <w:sz w:val="24"/>
                <w:lang w:val="en-US" w:eastAsia="zh-CN"/>
              </w:rPr>
            </w:pPr>
            <w:r>
              <w:rPr>
                <w:rFonts w:hint="eastAsia" w:ascii="仿宋" w:hAnsi="仿宋" w:eastAsia="仿宋" w:cs="仿宋"/>
                <w:b w:val="0"/>
                <w:bCs w:val="0"/>
                <w:i w:val="0"/>
                <w:iCs w:val="0"/>
                <w:smallCaps w:val="0"/>
                <w:color w:val="000000"/>
                <w:kern w:val="0"/>
                <w:sz w:val="32"/>
                <w:szCs w:val="32"/>
                <w:lang w:val="en-US" w:eastAsia="zh-CN"/>
              </w:rPr>
              <w:t>1</w:t>
            </w:r>
          </w:p>
        </w:tc>
        <w:tc>
          <w:tcPr>
            <w:tcW w:w="6362" w:type="dxa"/>
            <w:tcBorders>
              <w:bottom w:val="single" w:color="000000" w:sz="8" w:space="0"/>
              <w:right w:val="single" w:color="000000" w:sz="8" w:space="0"/>
            </w:tcBorders>
            <w:noWrap w:val="0"/>
            <w:tcMar>
              <w:top w:w="0" w:type="dxa"/>
              <w:left w:w="108" w:type="dxa"/>
              <w:bottom w:w="10" w:type="dxa"/>
              <w:right w:w="118" w:type="dxa"/>
            </w:tcMar>
            <w:vAlign w:val="center"/>
          </w:tcPr>
          <w:p w14:paraId="1600558A">
            <w:pPr>
              <w:keepNext w:val="0"/>
              <w:keepLines w:val="0"/>
              <w:pageBreakBefore w:val="0"/>
              <w:widowControl w:val="0"/>
              <w:tabs>
                <w:tab w:val="left" w:pos="7513"/>
              </w:tabs>
              <w:kinsoku/>
              <w:wordWrap/>
              <w:overflowPunct/>
              <w:topLinePunct w:val="0"/>
              <w:autoSpaceDE/>
              <w:autoSpaceDN/>
              <w:bidi w:val="0"/>
              <w:adjustRightInd w:val="0"/>
              <w:snapToGrid w:val="0"/>
              <w:spacing w:line="440" w:lineRule="exact"/>
              <w:jc w:val="both"/>
              <w:textAlignment w:val="auto"/>
              <w:rPr>
                <w:rFonts w:ascii="Times New Roman" w:hAnsi="Times New Roman" w:eastAsia="Times New Roman" w:cs="Times New Roman"/>
                <w:b w:val="0"/>
                <w:bCs w:val="0"/>
                <w:i w:val="0"/>
                <w:iCs w:val="0"/>
                <w:smallCaps w:val="0"/>
                <w:color w:val="000000"/>
                <w:kern w:val="0"/>
                <w:sz w:val="24"/>
              </w:rPr>
            </w:pPr>
            <w:r>
              <w:rPr>
                <w:rFonts w:hint="eastAsia" w:ascii="仿宋" w:hAnsi="仿宋" w:eastAsia="仿宋"/>
                <w:sz w:val="32"/>
                <w:szCs w:val="32"/>
                <w:lang w:eastAsia="zh-CN"/>
              </w:rPr>
              <w:t>上杭县珊瑚乡人民政府本级</w:t>
            </w:r>
          </w:p>
        </w:tc>
      </w:tr>
      <w:tr w14:paraId="32A7F4FC">
        <w:tblPrEx>
          <w:tblCellMar>
            <w:top w:w="15" w:type="dxa"/>
            <w:left w:w="15" w:type="dxa"/>
            <w:bottom w:w="15" w:type="dxa"/>
            <w:right w:w="15" w:type="dxa"/>
          </w:tblCellMar>
        </w:tblPrEx>
        <w:trPr>
          <w:tblCellSpacing w:w="0" w:type="dxa"/>
          <w:jc w:val="center"/>
        </w:trPr>
        <w:tc>
          <w:tcPr>
            <w:tcW w:w="1664" w:type="dxa"/>
            <w:tcBorders>
              <w:left w:val="single" w:color="000000" w:sz="8" w:space="0"/>
              <w:bottom w:val="single" w:color="000000" w:sz="8" w:space="0"/>
              <w:right w:val="single" w:color="000000" w:sz="8" w:space="0"/>
            </w:tcBorders>
            <w:noWrap w:val="0"/>
            <w:tcMar>
              <w:top w:w="0" w:type="dxa"/>
              <w:left w:w="118" w:type="dxa"/>
              <w:bottom w:w="10" w:type="dxa"/>
              <w:right w:w="118" w:type="dxa"/>
            </w:tcMar>
            <w:vAlign w:val="top"/>
          </w:tcPr>
          <w:p w14:paraId="24CC967A">
            <w:pPr>
              <w:pStyle w:val="31"/>
              <w:widowControl/>
              <w:spacing w:before="100" w:after="100" w:line="600" w:lineRule="atLeast"/>
              <w:ind w:left="0" w:right="0"/>
              <w:jc w:val="center"/>
              <w:rPr>
                <w:rFonts w:hint="eastAsia" w:ascii="Times New Roman" w:hAnsi="Times New Roman" w:eastAsia="仿宋" w:cs="Times New Roman"/>
                <w:b w:val="0"/>
                <w:bCs w:val="0"/>
                <w:i w:val="0"/>
                <w:iCs w:val="0"/>
                <w:smallCaps w:val="0"/>
                <w:color w:val="000000"/>
                <w:kern w:val="0"/>
                <w:sz w:val="24"/>
                <w:lang w:val="en-US" w:eastAsia="zh-CN"/>
              </w:rPr>
            </w:pPr>
            <w:r>
              <w:rPr>
                <w:rFonts w:hint="eastAsia" w:ascii="仿宋" w:hAnsi="仿宋" w:eastAsia="仿宋" w:cs="仿宋"/>
                <w:b w:val="0"/>
                <w:bCs w:val="0"/>
                <w:i w:val="0"/>
                <w:iCs w:val="0"/>
                <w:smallCaps w:val="0"/>
                <w:color w:val="000000"/>
                <w:kern w:val="0"/>
                <w:sz w:val="32"/>
                <w:szCs w:val="32"/>
                <w:lang w:val="en-US" w:eastAsia="zh-CN"/>
              </w:rPr>
              <w:t>2</w:t>
            </w:r>
          </w:p>
        </w:tc>
        <w:tc>
          <w:tcPr>
            <w:tcW w:w="6362" w:type="dxa"/>
            <w:tcBorders>
              <w:bottom w:val="single" w:color="000000" w:sz="8" w:space="0"/>
              <w:right w:val="single" w:color="000000" w:sz="8" w:space="0"/>
            </w:tcBorders>
            <w:noWrap w:val="0"/>
            <w:tcMar>
              <w:top w:w="0" w:type="dxa"/>
              <w:left w:w="108" w:type="dxa"/>
              <w:bottom w:w="10" w:type="dxa"/>
              <w:right w:w="118" w:type="dxa"/>
            </w:tcMar>
            <w:vAlign w:val="center"/>
          </w:tcPr>
          <w:p w14:paraId="773A9619">
            <w:pPr>
              <w:tabs>
                <w:tab w:val="left" w:pos="7513"/>
              </w:tabs>
              <w:adjustRightInd w:val="0"/>
              <w:snapToGrid w:val="0"/>
              <w:spacing w:line="600" w:lineRule="exact"/>
              <w:jc w:val="both"/>
              <w:rPr>
                <w:rFonts w:ascii="Times New Roman" w:hAnsi="Times New Roman" w:eastAsia="Times New Roman" w:cs="Times New Roman"/>
                <w:b w:val="0"/>
                <w:bCs w:val="0"/>
                <w:i w:val="0"/>
                <w:iCs w:val="0"/>
                <w:smallCaps w:val="0"/>
                <w:color w:val="000000"/>
                <w:kern w:val="0"/>
                <w:sz w:val="24"/>
              </w:rPr>
            </w:pPr>
            <w:r>
              <w:rPr>
                <w:rFonts w:hint="eastAsia" w:ascii="仿宋" w:hAnsi="仿宋" w:eastAsia="仿宋"/>
                <w:sz w:val="32"/>
                <w:szCs w:val="32"/>
                <w:lang w:eastAsia="zh-CN"/>
              </w:rPr>
              <w:t>综合便民服务中心</w:t>
            </w:r>
          </w:p>
        </w:tc>
      </w:tr>
      <w:tr w14:paraId="633E504A">
        <w:tblPrEx>
          <w:tblCellMar>
            <w:top w:w="15" w:type="dxa"/>
            <w:left w:w="15" w:type="dxa"/>
            <w:bottom w:w="15" w:type="dxa"/>
            <w:right w:w="15" w:type="dxa"/>
          </w:tblCellMar>
        </w:tblPrEx>
        <w:trPr>
          <w:tblCellSpacing w:w="0" w:type="dxa"/>
          <w:jc w:val="center"/>
        </w:trPr>
        <w:tc>
          <w:tcPr>
            <w:tcW w:w="1664" w:type="dxa"/>
            <w:tcBorders>
              <w:top w:val="single" w:color="auto" w:sz="4" w:space="0"/>
              <w:left w:val="single" w:color="auto" w:sz="4" w:space="0"/>
              <w:bottom w:val="single" w:color="auto" w:sz="4" w:space="0"/>
              <w:right w:val="single" w:color="auto" w:sz="4" w:space="0"/>
            </w:tcBorders>
            <w:noWrap w:val="0"/>
            <w:tcMar>
              <w:top w:w="0" w:type="dxa"/>
              <w:left w:w="118" w:type="dxa"/>
              <w:bottom w:w="10" w:type="dxa"/>
              <w:right w:w="118" w:type="dxa"/>
            </w:tcMar>
            <w:vAlign w:val="top"/>
          </w:tcPr>
          <w:p w14:paraId="70AD570D">
            <w:pPr>
              <w:pStyle w:val="31"/>
              <w:widowControl/>
              <w:spacing w:before="100" w:after="100" w:line="600" w:lineRule="atLeast"/>
              <w:ind w:left="0" w:right="0"/>
              <w:jc w:val="center"/>
              <w:rPr>
                <w:rFonts w:hint="eastAsia" w:ascii="Times New Roman" w:hAnsi="Times New Roman" w:eastAsia="仿宋" w:cs="Times New Roman"/>
                <w:b w:val="0"/>
                <w:bCs w:val="0"/>
                <w:i w:val="0"/>
                <w:iCs w:val="0"/>
                <w:smallCaps w:val="0"/>
                <w:color w:val="000000"/>
                <w:kern w:val="0"/>
                <w:sz w:val="24"/>
                <w:lang w:val="en-US" w:eastAsia="zh-CN"/>
              </w:rPr>
            </w:pPr>
            <w:r>
              <w:rPr>
                <w:rFonts w:hint="eastAsia" w:ascii="仿宋" w:hAnsi="仿宋" w:eastAsia="仿宋" w:cs="仿宋"/>
                <w:b w:val="0"/>
                <w:bCs w:val="0"/>
                <w:i w:val="0"/>
                <w:iCs w:val="0"/>
                <w:smallCaps w:val="0"/>
                <w:color w:val="000000"/>
                <w:kern w:val="0"/>
                <w:sz w:val="32"/>
                <w:szCs w:val="32"/>
                <w:lang w:val="en-US" w:eastAsia="zh-CN"/>
              </w:rPr>
              <w:t>3</w:t>
            </w:r>
          </w:p>
        </w:tc>
        <w:tc>
          <w:tcPr>
            <w:tcW w:w="6362" w:type="dxa"/>
            <w:tcBorders>
              <w:top w:val="single" w:color="auto" w:sz="4" w:space="0"/>
              <w:left w:val="single" w:color="auto" w:sz="4" w:space="0"/>
              <w:bottom w:val="single" w:color="auto" w:sz="4" w:space="0"/>
              <w:right w:val="single" w:color="auto" w:sz="4" w:space="0"/>
            </w:tcBorders>
            <w:noWrap w:val="0"/>
            <w:tcMar>
              <w:top w:w="0" w:type="dxa"/>
              <w:left w:w="108" w:type="dxa"/>
              <w:bottom w:w="10" w:type="dxa"/>
              <w:right w:w="118" w:type="dxa"/>
            </w:tcMar>
            <w:vAlign w:val="center"/>
          </w:tcPr>
          <w:p w14:paraId="505C98BB">
            <w:pPr>
              <w:tabs>
                <w:tab w:val="left" w:pos="7513"/>
              </w:tabs>
              <w:adjustRightInd w:val="0"/>
              <w:snapToGrid w:val="0"/>
              <w:spacing w:line="600" w:lineRule="exact"/>
              <w:jc w:val="both"/>
              <w:rPr>
                <w:rFonts w:ascii="Times New Roman" w:hAnsi="Times New Roman" w:eastAsia="Times New Roman" w:cs="Times New Roman"/>
                <w:b w:val="0"/>
                <w:bCs w:val="0"/>
                <w:i w:val="0"/>
                <w:iCs w:val="0"/>
                <w:smallCaps w:val="0"/>
                <w:color w:val="000000"/>
                <w:kern w:val="0"/>
                <w:sz w:val="24"/>
              </w:rPr>
            </w:pPr>
            <w:r>
              <w:rPr>
                <w:rFonts w:hint="eastAsia" w:ascii="仿宋" w:hAnsi="仿宋" w:eastAsia="仿宋"/>
                <w:sz w:val="32"/>
                <w:szCs w:val="32"/>
                <w:lang w:eastAsia="zh-CN"/>
              </w:rPr>
              <w:t>综合执法队伍</w:t>
            </w:r>
          </w:p>
        </w:tc>
      </w:tr>
      <w:tr w14:paraId="5066819A">
        <w:tblPrEx>
          <w:tblCellMar>
            <w:top w:w="15" w:type="dxa"/>
            <w:left w:w="15" w:type="dxa"/>
            <w:bottom w:w="15" w:type="dxa"/>
            <w:right w:w="15" w:type="dxa"/>
          </w:tblCellMar>
        </w:tblPrEx>
        <w:trPr>
          <w:tblCellSpacing w:w="0" w:type="dxa"/>
          <w:jc w:val="center"/>
        </w:trPr>
        <w:tc>
          <w:tcPr>
            <w:tcW w:w="1664" w:type="dxa"/>
            <w:tcBorders>
              <w:left w:val="single" w:color="000000" w:sz="8" w:space="0"/>
              <w:bottom w:val="single" w:color="000000" w:sz="8" w:space="0"/>
              <w:right w:val="single" w:color="000000" w:sz="8" w:space="0"/>
            </w:tcBorders>
            <w:noWrap w:val="0"/>
            <w:tcMar>
              <w:top w:w="0" w:type="dxa"/>
              <w:left w:w="118" w:type="dxa"/>
              <w:bottom w:w="10" w:type="dxa"/>
              <w:right w:w="118" w:type="dxa"/>
            </w:tcMar>
            <w:vAlign w:val="top"/>
          </w:tcPr>
          <w:p w14:paraId="1437A085">
            <w:pPr>
              <w:pStyle w:val="31"/>
              <w:widowControl/>
              <w:spacing w:before="100" w:after="100" w:line="600" w:lineRule="atLeast"/>
              <w:ind w:left="0" w:right="0"/>
              <w:jc w:val="center"/>
              <w:rPr>
                <w:rFonts w:hint="eastAsia" w:ascii="仿宋" w:hAnsi="仿宋" w:eastAsia="仿宋" w:cs="仿宋"/>
                <w:b w:val="0"/>
                <w:bCs w:val="0"/>
                <w:i w:val="0"/>
                <w:iCs w:val="0"/>
                <w:smallCaps w:val="0"/>
                <w:color w:val="000000"/>
                <w:kern w:val="0"/>
                <w:sz w:val="32"/>
                <w:szCs w:val="32"/>
                <w:lang w:val="en-US" w:eastAsia="zh-CN"/>
              </w:rPr>
            </w:pPr>
            <w:r>
              <w:rPr>
                <w:rFonts w:hint="eastAsia" w:ascii="仿宋" w:hAnsi="仿宋" w:eastAsia="仿宋" w:cs="仿宋"/>
                <w:b w:val="0"/>
                <w:bCs w:val="0"/>
                <w:i w:val="0"/>
                <w:iCs w:val="0"/>
                <w:smallCaps w:val="0"/>
                <w:color w:val="000000"/>
                <w:kern w:val="0"/>
                <w:sz w:val="32"/>
                <w:szCs w:val="32"/>
                <w:lang w:val="en-US" w:eastAsia="zh-CN"/>
              </w:rPr>
              <w:t>4</w:t>
            </w:r>
          </w:p>
        </w:tc>
        <w:tc>
          <w:tcPr>
            <w:tcW w:w="6362" w:type="dxa"/>
            <w:tcBorders>
              <w:bottom w:val="single" w:color="000000" w:sz="8" w:space="0"/>
              <w:right w:val="single" w:color="000000" w:sz="8" w:space="0"/>
            </w:tcBorders>
            <w:noWrap w:val="0"/>
            <w:tcMar>
              <w:top w:w="0" w:type="dxa"/>
              <w:left w:w="108" w:type="dxa"/>
              <w:bottom w:w="10" w:type="dxa"/>
              <w:right w:w="118" w:type="dxa"/>
            </w:tcMar>
            <w:vAlign w:val="center"/>
          </w:tcPr>
          <w:p w14:paraId="29CB010E">
            <w:pPr>
              <w:tabs>
                <w:tab w:val="left" w:pos="7513"/>
              </w:tabs>
              <w:adjustRightInd w:val="0"/>
              <w:snapToGrid w:val="0"/>
              <w:spacing w:line="600" w:lineRule="exact"/>
              <w:jc w:val="both"/>
              <w:rPr>
                <w:rFonts w:ascii="仿宋" w:hAnsi="仿宋" w:eastAsia="仿宋" w:cs="仿宋"/>
                <w:b w:val="0"/>
                <w:bCs w:val="0"/>
                <w:i w:val="0"/>
                <w:iCs w:val="0"/>
                <w:smallCaps w:val="0"/>
                <w:color w:val="000000"/>
                <w:kern w:val="0"/>
                <w:sz w:val="32"/>
                <w:szCs w:val="32"/>
              </w:rPr>
            </w:pPr>
            <w:r>
              <w:rPr>
                <w:rFonts w:hint="eastAsia" w:ascii="仿宋" w:hAnsi="仿宋" w:eastAsia="仿宋"/>
                <w:sz w:val="32"/>
                <w:szCs w:val="32"/>
                <w:lang w:eastAsia="zh-CN"/>
              </w:rPr>
              <w:t>乡村振兴服务中心</w:t>
            </w:r>
          </w:p>
        </w:tc>
      </w:tr>
    </w:tbl>
    <w:p w14:paraId="474234EB">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楷体" w:hAnsi="楷体" w:eastAsia="楷体" w:cs="楷体"/>
          <w:spacing w:val="0"/>
          <w:kern w:val="0"/>
          <w:sz w:val="32"/>
          <w:szCs w:val="32"/>
        </w:rPr>
        <w:t>（注：没有下属单位的部门或单位，可说明“本部门无下属单位”。）</w:t>
      </w:r>
    </w:p>
    <w:p w14:paraId="5ECD5A4E">
      <w:pPr>
        <w:pStyle w:val="31"/>
        <w:widowControl/>
        <w:spacing w:before="100" w:after="100" w:line="600" w:lineRule="atLeast"/>
        <w:ind w:left="0" w:right="0" w:firstLine="640"/>
        <w:jc w:val="left"/>
        <w:outlineLvl w:val="1"/>
        <w:rPr>
          <w:rFonts w:ascii="Times New Roman" w:hAnsi="Times New Roman" w:eastAsia="Times New Roman" w:cs="Times New Roman"/>
          <w:kern w:val="0"/>
          <w:sz w:val="24"/>
        </w:rPr>
      </w:pPr>
      <w:bookmarkStart w:id="6" w:name="_Toc32756"/>
      <w:r>
        <w:rPr>
          <w:rFonts w:ascii="黑体" w:hAnsi="黑体" w:eastAsia="黑体" w:cs="黑体"/>
          <w:spacing w:val="0"/>
          <w:kern w:val="0"/>
          <w:sz w:val="32"/>
          <w:szCs w:val="32"/>
        </w:rPr>
        <w:t>三、部门主要工作总结</w:t>
      </w:r>
      <w:bookmarkEnd w:id="6"/>
    </w:p>
    <w:p w14:paraId="36B2889C">
      <w:pPr>
        <w:pStyle w:val="31"/>
        <w:widowControl/>
        <w:spacing w:before="100" w:after="100" w:line="600" w:lineRule="atLeast"/>
        <w:ind w:right="0" w:firstLine="640" w:firstLineChars="200"/>
        <w:jc w:val="left"/>
        <w:rPr>
          <w:rFonts w:ascii="仿宋" w:hAnsi="仿宋" w:eastAsia="仿宋" w:cs="仿宋"/>
          <w:spacing w:val="0"/>
          <w:kern w:val="0"/>
          <w:sz w:val="32"/>
          <w:szCs w:val="32"/>
        </w:rPr>
      </w:pPr>
      <w:r>
        <w:rPr>
          <w:rFonts w:hint="eastAsia" w:ascii="仿宋" w:hAnsi="仿宋" w:eastAsia="仿宋" w:cs="仿宋"/>
          <w:spacing w:val="0"/>
          <w:kern w:val="0"/>
          <w:sz w:val="32"/>
          <w:szCs w:val="32"/>
        </w:rPr>
        <w:t>2023年是全面贯彻落实党的二十大精神的开局之年，</w:t>
      </w:r>
      <w:r>
        <w:rPr>
          <w:rFonts w:hint="default" w:ascii="仿宋" w:hAnsi="仿宋" w:eastAsia="仿宋" w:cs="仿宋"/>
          <w:spacing w:val="0"/>
          <w:kern w:val="0"/>
          <w:sz w:val="32"/>
          <w:szCs w:val="32"/>
        </w:rPr>
        <w:t>是</w:t>
      </w:r>
      <w:r>
        <w:rPr>
          <w:rFonts w:hint="eastAsia" w:ascii="仿宋" w:hAnsi="仿宋" w:eastAsia="仿宋" w:cs="仿宋"/>
          <w:spacing w:val="0"/>
          <w:kern w:val="0"/>
          <w:sz w:val="32"/>
          <w:szCs w:val="32"/>
        </w:rPr>
        <w:t>“</w:t>
      </w:r>
      <w:r>
        <w:rPr>
          <w:rFonts w:hint="default" w:ascii="仿宋" w:hAnsi="仿宋" w:eastAsia="仿宋" w:cs="仿宋"/>
          <w:spacing w:val="0"/>
          <w:kern w:val="0"/>
          <w:sz w:val="32"/>
          <w:szCs w:val="32"/>
        </w:rPr>
        <w:t>十四五</w:t>
      </w:r>
      <w:r>
        <w:rPr>
          <w:rFonts w:hint="eastAsia" w:ascii="仿宋" w:hAnsi="仿宋" w:eastAsia="仿宋" w:cs="仿宋"/>
          <w:spacing w:val="0"/>
          <w:kern w:val="0"/>
          <w:sz w:val="32"/>
          <w:szCs w:val="32"/>
        </w:rPr>
        <w:t>”</w:t>
      </w:r>
      <w:r>
        <w:rPr>
          <w:rFonts w:hint="default" w:ascii="仿宋" w:hAnsi="仿宋" w:eastAsia="仿宋" w:cs="仿宋"/>
          <w:spacing w:val="0"/>
          <w:kern w:val="0"/>
          <w:sz w:val="32"/>
          <w:szCs w:val="32"/>
        </w:rPr>
        <w:t>规划承上启下的关键之年</w:t>
      </w:r>
      <w:r>
        <w:rPr>
          <w:rFonts w:hint="eastAsia" w:ascii="仿宋" w:hAnsi="仿宋" w:eastAsia="仿宋" w:cs="仿宋"/>
          <w:spacing w:val="0"/>
          <w:kern w:val="0"/>
          <w:sz w:val="32"/>
          <w:szCs w:val="32"/>
          <w:lang w:eastAsia="zh-CN"/>
        </w:rPr>
        <w:t>。</w:t>
      </w:r>
      <w:r>
        <w:rPr>
          <w:rFonts w:hint="eastAsia" w:ascii="仿宋" w:hAnsi="仿宋" w:eastAsia="仿宋" w:cs="仿宋"/>
          <w:spacing w:val="0"/>
          <w:kern w:val="0"/>
          <w:sz w:val="32"/>
          <w:szCs w:val="32"/>
        </w:rPr>
        <w:t>做好全年工作意义重大、责任重大。上杭县珊瑚乡人民政府主要任务是：坚持以习近平新时代中国特色社会主义思想为指导，深入贯彻落实党的十九届历次全会精神，推进国家治理体系和治理能力现代化</w:t>
      </w:r>
      <w:bookmarkStart w:id="29" w:name="_GoBack"/>
      <w:bookmarkEnd w:id="29"/>
      <w:r>
        <w:rPr>
          <w:rFonts w:hint="eastAsia" w:ascii="仿宋" w:hAnsi="仿宋" w:eastAsia="仿宋" w:cs="仿宋"/>
          <w:spacing w:val="0"/>
          <w:kern w:val="0"/>
          <w:sz w:val="32"/>
          <w:szCs w:val="32"/>
        </w:rPr>
        <w:t>，按照县委建设“四个上杭”发展思路，顺势而为、乘势而上，进一步加快高质量发展落实赶超、建设红色、生态、宜居、平安、幸福的“五彩珊瑚”。围绕上述任务，重点抓好以下工作：</w:t>
      </w:r>
    </w:p>
    <w:p w14:paraId="2C68492C">
      <w:pPr>
        <w:pStyle w:val="31"/>
        <w:widowControl/>
        <w:spacing w:before="100" w:after="100" w:line="600" w:lineRule="atLeast"/>
        <w:ind w:left="0" w:right="0" w:firstLine="640" w:firstLineChars="200"/>
        <w:jc w:val="left"/>
        <w:outlineLvl w:val="2"/>
        <w:rPr>
          <w:rFonts w:hint="eastAsia" w:ascii="仿宋" w:hAnsi="仿宋" w:eastAsia="仿宋" w:cs="仿宋"/>
          <w:spacing w:val="0"/>
          <w:kern w:val="0"/>
          <w:sz w:val="32"/>
          <w:szCs w:val="32"/>
          <w:lang w:eastAsia="zh-CN"/>
        </w:rPr>
      </w:pPr>
      <w:r>
        <w:rPr>
          <w:rFonts w:hint="eastAsia" w:ascii="仿宋" w:hAnsi="仿宋" w:eastAsia="仿宋" w:cs="仿宋"/>
          <w:spacing w:val="0"/>
          <w:kern w:val="0"/>
          <w:sz w:val="32"/>
          <w:szCs w:val="32"/>
        </w:rPr>
        <w:t>（一）坚持传承红色基因，着力打造“红色”珊瑚</w:t>
      </w:r>
    </w:p>
    <w:p w14:paraId="1C8188BB">
      <w:pPr>
        <w:pStyle w:val="31"/>
        <w:widowControl/>
        <w:spacing w:before="100" w:after="100" w:line="600" w:lineRule="atLeast"/>
        <w:ind w:left="0" w:right="0" w:firstLine="640" w:firstLineChars="200"/>
        <w:jc w:val="left"/>
        <w:rPr>
          <w:rFonts w:hint="eastAsia" w:ascii="仿宋" w:hAnsi="仿宋" w:eastAsia="仿宋" w:cs="仿宋"/>
          <w:spacing w:val="0"/>
          <w:kern w:val="0"/>
          <w:sz w:val="32"/>
          <w:szCs w:val="32"/>
        </w:rPr>
      </w:pPr>
      <w:r>
        <w:rPr>
          <w:rFonts w:hint="eastAsia" w:ascii="仿宋" w:hAnsi="仿宋" w:eastAsia="仿宋" w:cs="仿宋"/>
          <w:spacing w:val="0"/>
          <w:kern w:val="0"/>
          <w:sz w:val="32"/>
          <w:szCs w:val="32"/>
          <w:lang w:val="en-US" w:eastAsia="zh-CN"/>
        </w:rPr>
        <w:t>1.</w:t>
      </w:r>
      <w:r>
        <w:rPr>
          <w:rFonts w:hint="eastAsia" w:ascii="仿宋" w:hAnsi="仿宋" w:eastAsia="仿宋" w:cs="仿宋"/>
          <w:spacing w:val="0"/>
          <w:kern w:val="0"/>
          <w:sz w:val="32"/>
          <w:szCs w:val="32"/>
        </w:rPr>
        <w:t>深刻挖掘红色资源。以党史学习教育为契机，深度发掘“梦宏居”红军随营学校的创建发展及历史贡献，整理保护现存红军标语。围绕“栗子湖”红军渡口，规划实施眺望平台打造、亲水台阶修建、道路拓宽硬化等周边沿线景观改造项目。组织文史专家实地考察征集革命史料，有序推进《红色珊瑚》编纂工作。</w:t>
      </w:r>
    </w:p>
    <w:p w14:paraId="3554C90D">
      <w:pPr>
        <w:pStyle w:val="31"/>
        <w:widowControl/>
        <w:spacing w:before="100" w:after="100" w:line="600" w:lineRule="atLeast"/>
        <w:ind w:left="0" w:right="0" w:firstLine="640" w:firstLineChars="200"/>
        <w:jc w:val="left"/>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2.精心保护红色遗迹。加快“梦宏居”、“思龙堂”、烈士纪念碑、烈士墓等红色文化载体的修缮加固。积极将新时代文明实践志愿服务理念与红色遗迹保护有机结合，收集流传的红军故事和红色歌谣，全面营造红色遗迹保护的良好氛围。</w:t>
      </w:r>
    </w:p>
    <w:p w14:paraId="5645909F">
      <w:pPr>
        <w:pStyle w:val="31"/>
        <w:widowControl/>
        <w:spacing w:before="100" w:after="100" w:line="600" w:lineRule="atLeast"/>
        <w:ind w:left="0" w:right="0" w:firstLine="640" w:firstLineChars="200"/>
        <w:jc w:val="left"/>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3.切实办好红色教育。依托“梦宏居”红军随营学校等红色旧址，将“梦宏居-思龙堂-革命烈士纪念广场-栗子湖红军渡口”串点成线打造成集红色课堂讲授、红色劳动体验、红色行军拉练等为一体的知名红色文化研学基地。坚持因地制宜，切实把古民居“围屋”客家文化、汀韩航道古驿站渡口文化、圆通山“知青楼”历史文化等优秀传统文化融入新时期红色血脉，实现红色教育常学常新。</w:t>
      </w:r>
    </w:p>
    <w:p w14:paraId="26F02EE6">
      <w:pPr>
        <w:pStyle w:val="31"/>
        <w:widowControl/>
        <w:spacing w:before="100" w:after="100" w:line="600" w:lineRule="atLeast"/>
        <w:ind w:left="0" w:right="0" w:firstLine="640" w:firstLineChars="200"/>
        <w:jc w:val="left"/>
        <w:outlineLvl w:val="2"/>
        <w:rPr>
          <w:rFonts w:hint="eastAsia" w:ascii="仿宋" w:hAnsi="仿宋" w:eastAsia="仿宋" w:cs="仿宋"/>
          <w:spacing w:val="0"/>
          <w:kern w:val="0"/>
          <w:sz w:val="32"/>
          <w:szCs w:val="32"/>
          <w:lang w:eastAsia="zh-CN"/>
        </w:rPr>
      </w:pPr>
      <w:r>
        <w:rPr>
          <w:rFonts w:hint="eastAsia" w:ascii="仿宋" w:hAnsi="仿宋" w:eastAsia="仿宋" w:cs="仿宋"/>
          <w:spacing w:val="0"/>
          <w:kern w:val="0"/>
          <w:sz w:val="32"/>
          <w:szCs w:val="32"/>
        </w:rPr>
        <w:t>（二）坚持绿色科学发展，着力打造“生态”珊瑚</w:t>
      </w:r>
    </w:p>
    <w:p w14:paraId="787B117B">
      <w:pPr>
        <w:pStyle w:val="31"/>
        <w:widowControl/>
        <w:spacing w:before="100" w:after="100" w:line="600" w:lineRule="atLeast"/>
        <w:ind w:left="0" w:right="0" w:firstLine="640" w:firstLineChars="200"/>
        <w:jc w:val="left"/>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1.做好“田”文章，促进生态农业发展。积极引导土地流转1000余亩。大力引进现代休闲农业、乡村旅游等产业融合项目，促进传统农业向现代农业转变。有效管控槟榔芋种植，有序扩大烤烟、山油茶、黑皮鸡枞等种植规模，努力培育珊瑚特色农业品牌。规划种植丰产油茶林，推进油茶基地标准化建设和产业化经营。</w:t>
      </w:r>
    </w:p>
    <w:p w14:paraId="5C27F7FE">
      <w:pPr>
        <w:pStyle w:val="31"/>
        <w:widowControl/>
        <w:spacing w:before="100" w:after="100" w:line="600" w:lineRule="atLeast"/>
        <w:ind w:left="0" w:right="0" w:firstLine="640" w:firstLineChars="200"/>
        <w:jc w:val="left"/>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2.做好“林”文章，共筑生态保护屏障。牢固树立绿色发展理念，倡导践行绿色生活方式。深化养殖业污染防治，严禁新扩建生猪养殖场，防止关闭养殖场复养反弹。坚持“打早、打小、打了”，全力做好森林防灭火工作。深入推行“林长制”，加大造林护林力度，提高森林质量。</w:t>
      </w:r>
    </w:p>
    <w:p w14:paraId="78F21955">
      <w:pPr>
        <w:pStyle w:val="31"/>
        <w:widowControl/>
        <w:spacing w:before="100" w:after="100" w:line="600" w:lineRule="atLeast"/>
        <w:ind w:left="0" w:right="0" w:firstLine="640" w:firstLineChars="200"/>
        <w:jc w:val="left"/>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3.做好“水”文章，提升生态水源质量。深化落实“河湖长”工作责任制，以污水治理、生态修复和环境巡查监管为重点，加强辖区水流域治理，提升河道水环境质量。深入推进横滩水源地一级保护区水环境综合整治提升项目，重点做好合水口、栗子湖交接断面水质管理监测,确保出境水质常年达标。</w:t>
      </w:r>
    </w:p>
    <w:p w14:paraId="355584B1">
      <w:pPr>
        <w:pStyle w:val="31"/>
        <w:widowControl/>
        <w:spacing w:before="100" w:after="100" w:line="600" w:lineRule="atLeast"/>
        <w:ind w:left="0" w:right="0" w:firstLine="640" w:firstLineChars="200"/>
        <w:jc w:val="left"/>
        <w:outlineLvl w:val="2"/>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（三）坚持乡村全面振兴，着力打造“宜居”珊瑚</w:t>
      </w:r>
    </w:p>
    <w:p w14:paraId="2D7FF15A">
      <w:pPr>
        <w:pStyle w:val="31"/>
        <w:widowControl/>
        <w:spacing w:before="100" w:after="100" w:line="600" w:lineRule="atLeast"/>
        <w:ind w:left="0" w:right="0" w:firstLine="640" w:firstLineChars="200"/>
        <w:jc w:val="left"/>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1.人居环境大幅提升。在总结去年“零补偿”拆除空心房、废弃烤烟房、旱厕等经验基础上，制订“裸房专项整治”实施方案，网格化进村入户做好群众工作，对全乡既有裸房存量进行摸底、测量、登记、造册，通过“专题会议鼓干劲、成立专班压担子、一线督查抓落实、示范引领见成效”四举措，持续推进裸房专项整治工作，切实巩固农村人居环境整治三年行动成果，截至目前，全乡已完成裸房专项整治面积21592平方米，完成率达141%。</w:t>
      </w:r>
    </w:p>
    <w:p w14:paraId="431C69EB">
      <w:pPr>
        <w:pStyle w:val="31"/>
        <w:widowControl/>
        <w:spacing w:before="100" w:after="100" w:line="600" w:lineRule="atLeast"/>
        <w:ind w:left="0" w:right="0" w:firstLine="640" w:firstLineChars="200"/>
        <w:jc w:val="left"/>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2.长效机制逐步建立。进一步巩固人居环境整治成果，持续推行农村安全饮水“政府主导、群众参与、网格管理、村民自治、智能收费、阶梯水价”机制和农村生活垃圾“户分类、村收集、乡转运、县处理”机制，确保农村饮水专业化管理、农村垃圾规范化处置。全面完善村规民约和村民议事制度，着力健全美丽乡村建设长效管理机制。</w:t>
      </w:r>
    </w:p>
    <w:p w14:paraId="56CE170A">
      <w:pPr>
        <w:pStyle w:val="31"/>
        <w:widowControl/>
        <w:spacing w:before="100" w:after="100" w:line="600" w:lineRule="atLeast"/>
        <w:ind w:left="0" w:right="0" w:firstLine="640" w:firstLineChars="200"/>
        <w:jc w:val="left"/>
        <w:outlineLvl w:val="2"/>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（四）坚持社会综合治理，着力打造“平安”珊瑚</w:t>
      </w:r>
    </w:p>
    <w:p w14:paraId="5F9542E5">
      <w:pPr>
        <w:pStyle w:val="31"/>
        <w:widowControl/>
        <w:spacing w:before="100" w:after="100" w:line="600" w:lineRule="atLeast"/>
        <w:ind w:left="0" w:right="0" w:firstLine="640" w:firstLineChars="200"/>
        <w:jc w:val="left"/>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1.推进治安防控不松懈。全面推进平安智慧乡村建设，推进“雪亮工程”升级版打造，构建“多网融合、一网统筹”的综治网格化监管责任体系。持续争创市级平安乡镇，做好宗教领域风险隐患点排查、推动扫黑除恶专项斗争常态化，持续开展电信网络诈骗犯罪、涉麻制毒、非法集资等专项治理，确保社会安定稳定。</w:t>
      </w:r>
    </w:p>
    <w:p w14:paraId="18D507D1">
      <w:pPr>
        <w:pStyle w:val="31"/>
        <w:widowControl/>
        <w:spacing w:before="100" w:after="100" w:line="600" w:lineRule="atLeast"/>
        <w:ind w:left="0" w:right="0" w:firstLine="640" w:firstLineChars="200"/>
        <w:jc w:val="left"/>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2.推进信访维稳不动摇。健全乡村治理体系，建好用活“红土先锋信访评理室”，持续推进社会矛盾源头预防、排查预警、多元化解。强化领导干部接访下访督访，重点抓好信访维稳和民情收集处理工作，确保群众利益表达、协调机制更加健全，涉法涉诉信访依法终结。</w:t>
      </w:r>
    </w:p>
    <w:p w14:paraId="5106CE71">
      <w:pPr>
        <w:pStyle w:val="31"/>
        <w:widowControl/>
        <w:spacing w:before="100" w:after="100" w:line="600" w:lineRule="atLeast"/>
        <w:ind w:left="0" w:right="0" w:firstLine="640" w:firstLineChars="200"/>
        <w:jc w:val="left"/>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3.推进安全生产不麻痹。严格落实“党政同责、一岗双责、齐抓共管”的要求，深化安全生产专项整治三年行动，确保安全生产形势持续稳定。深入开展校园周边、商店超市、农贸市场等重点区域的安全隐患排查整治。建立珊瑚乡农村聚集性活动安全监管工作领导小组，加强应急队伍和物资储备管理，全面提升综合防灾减灾救灾能力。</w:t>
      </w:r>
    </w:p>
    <w:p w14:paraId="10093099">
      <w:pPr>
        <w:pStyle w:val="31"/>
        <w:widowControl/>
        <w:spacing w:before="100" w:after="100" w:line="600" w:lineRule="atLeast"/>
        <w:ind w:left="0" w:right="0" w:firstLine="640" w:firstLineChars="200"/>
        <w:jc w:val="left"/>
        <w:outlineLvl w:val="2"/>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（五）坚持民生福祉共享，着力打造“幸福”珊瑚</w:t>
      </w:r>
    </w:p>
    <w:p w14:paraId="6A0FF91A">
      <w:pPr>
        <w:pStyle w:val="31"/>
        <w:widowControl/>
        <w:spacing w:before="100" w:after="100" w:line="600" w:lineRule="atLeast"/>
        <w:ind w:left="0" w:right="0" w:firstLine="640" w:firstLineChars="200"/>
        <w:jc w:val="left"/>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1.推动产业发展增收。农业发展提质增效，引进龙岩市佳农生态农业发展有限公司在我乡建设山油茶及脐橙种植基地，已完成文旅康养项目总体规划，种植油茶850亩、脐橙200亩。成功引进绿合环保年产10万吨新型水处理净化剂（废酸利用）项目、艾斯芸防伪包装生产项目、上杭县皮西珂鞋业有限公司年产500万双鞋项目。引进福建杭大建设、福建杭投建设、福建顺森建设、华雄建设、杭川水利建设、大嵩建设等6家资质建筑企业注册落户珊瑚，实现建筑企业税源回归“零”的突破。</w:t>
      </w:r>
    </w:p>
    <w:p w14:paraId="40495F80">
      <w:pPr>
        <w:pStyle w:val="31"/>
        <w:widowControl/>
        <w:spacing w:before="100" w:after="100" w:line="600" w:lineRule="atLeast"/>
        <w:ind w:left="0" w:right="0" w:firstLine="640" w:firstLineChars="200"/>
        <w:jc w:val="left"/>
        <w:rPr>
          <w:rFonts w:ascii="仿宋" w:hAnsi="仿宋" w:eastAsia="仿宋" w:cs="仿宋"/>
          <w:spacing w:val="0"/>
          <w:kern w:val="0"/>
          <w:sz w:val="32"/>
          <w:szCs w:val="32"/>
        </w:rPr>
      </w:pPr>
      <w:r>
        <w:rPr>
          <w:rFonts w:hint="eastAsia" w:ascii="仿宋" w:hAnsi="仿宋" w:eastAsia="仿宋" w:cs="仿宋"/>
          <w:spacing w:val="0"/>
          <w:kern w:val="0"/>
          <w:sz w:val="32"/>
          <w:szCs w:val="32"/>
        </w:rPr>
        <w:t>2.推动社会事业发展。保持脱贫帮扶政策，加快建立防止返贫监测和帮扶机制，实现巩固拓展脱贫攻坚成果同乡村振兴有效衔接。全面落实社保征缴制度，不断扩大参保覆盖面。加强低保动态管理工作，切实保障困难群体利益。持续抓好殡葬管理改革工作，完善天子地公墓配套设施，健全日常管理机制。积极做好常态化疫情防控工作，提升农村医疗服务水平。巩固市级文明乡镇、文明村创建成果，持续抓好爱溪书屋新时代文明实践所和各村文明实践站建设，弘扬传递珊瑚正能量。</w:t>
      </w:r>
    </w:p>
    <w:p w14:paraId="5246EC07">
      <w:pPr>
        <w:pStyle w:val="31"/>
        <w:widowControl/>
        <w:spacing w:before="100" w:after="100" w:line="600" w:lineRule="atLeast"/>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14:paraId="3CD9EE23">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14:paraId="37AB9973">
      <w:pPr>
        <w:pStyle w:val="30"/>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1BA79BBC">
      <w:pPr>
        <w:pStyle w:val="30"/>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20AA1BD2">
      <w:pPr>
        <w:pStyle w:val="30"/>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0DE50B62">
      <w:pPr>
        <w:pStyle w:val="30"/>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75B141C3">
      <w:pPr>
        <w:pStyle w:val="30"/>
        <w:widowControl/>
        <w:spacing w:before="100" w:after="100"/>
        <w:ind w:left="0" w:right="0" w:firstLine="0"/>
        <w:jc w:val="left"/>
        <w:outlineLvl w:val="0"/>
        <w:rPr>
          <w:rFonts w:ascii="Times New Roman" w:hAnsi="Times New Roman" w:eastAsia="Times New Roman" w:cs="Times New Roman"/>
          <w:kern w:val="0"/>
          <w:sz w:val="24"/>
        </w:rPr>
      </w:pPr>
      <w:bookmarkStart w:id="7" w:name="_Toc4295"/>
      <w:r>
        <w:rPr>
          <w:rFonts w:ascii="黑体" w:hAnsi="黑体" w:eastAsia="黑体" w:cs="黑体"/>
          <w:spacing w:val="0"/>
          <w:kern w:val="0"/>
          <w:sz w:val="56"/>
          <w:szCs w:val="56"/>
        </w:rPr>
        <w:t>第二部分</w:t>
      </w:r>
      <w:r>
        <w:rPr>
          <w:rFonts w:ascii="宋体" w:hAnsi="宋体" w:cs="宋体"/>
          <w:spacing w:val="0"/>
          <w:kern w:val="0"/>
          <w:sz w:val="56"/>
          <w:szCs w:val="56"/>
        </w:rPr>
        <w:t> </w:t>
      </w:r>
      <w:bookmarkEnd w:id="7"/>
    </w:p>
    <w:p w14:paraId="49145655">
      <w:pPr>
        <w:pStyle w:val="30"/>
        <w:widowControl/>
        <w:spacing w:before="100" w:after="100"/>
        <w:ind w:left="0" w:right="0" w:firstLine="0"/>
        <w:jc w:val="center"/>
        <w:rPr>
          <w:rFonts w:ascii="Times New Roman" w:hAnsi="Times New Roman" w:eastAsia="Times New Roman" w:cs="Times New Roman"/>
          <w:kern w:val="0"/>
          <w:sz w:val="24"/>
        </w:rPr>
      </w:pPr>
      <w:r>
        <w:rPr>
          <w:rFonts w:ascii="黑体" w:hAnsi="黑体" w:eastAsia="黑体" w:cs="黑体"/>
          <w:spacing w:val="0"/>
          <w:kern w:val="0"/>
          <w:sz w:val="56"/>
          <w:szCs w:val="56"/>
        </w:rPr>
        <w:t>2023年度部门决算表</w:t>
      </w:r>
    </w:p>
    <w:p w14:paraId="5FB1C822">
      <w:pPr>
        <w:pStyle w:val="31"/>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 </w:t>
      </w:r>
    </w:p>
    <w:p w14:paraId="1224B336">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14:paraId="52B92B77">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14:paraId="1D861B0A">
      <w:pPr>
        <w:pStyle w:val="31"/>
        <w:widowControl/>
        <w:spacing w:before="100" w:after="100"/>
        <w:ind w:left="0" w:right="0" w:firstLine="0"/>
        <w:jc w:val="left"/>
        <w:outlineLvl w:val="1"/>
        <w:rPr>
          <w:rFonts w:ascii="Times New Roman" w:hAnsi="Times New Roman" w:eastAsia="Times New Roman" w:cs="Times New Roman"/>
          <w:kern w:val="0"/>
          <w:sz w:val="24"/>
        </w:rPr>
      </w:pPr>
      <w:bookmarkStart w:id="8" w:name="_Toc15701"/>
      <w:r>
        <w:rPr>
          <w:rFonts w:ascii="黑体" w:hAnsi="黑体" w:eastAsia="黑体" w:cs="黑体"/>
          <w:spacing w:val="0"/>
          <w:kern w:val="0"/>
          <w:sz w:val="32"/>
          <w:szCs w:val="32"/>
        </w:rPr>
        <w:t>一、收入支出决算总表</w:t>
      </w:r>
      <w:bookmarkEnd w:id="8"/>
    </w:p>
    <w:p w14:paraId="5195561C">
      <w:pPr>
        <w:sectPr>
          <w:footerReference r:id="rId5" w:type="default"/>
          <w:pgMar w:top="1440" w:right="720" w:bottom="1440" w:left="720" w:header="720" w:footer="720" w:gutter="0"/>
          <w:pgNumType w:fmt="decimal" w:start="1"/>
          <w:cols w:space="720" w:num="1"/>
        </w:sectPr>
      </w:pPr>
    </w:p>
    <w:p w14:paraId="792FDCF7">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5050"/>
        <w:gridCol w:w="2441"/>
        <w:gridCol w:w="4833"/>
        <w:gridCol w:w="2658"/>
      </w:tblGrid>
      <w:tr w14:paraId="46D6CC49">
        <w:tblPrEx>
          <w:tblCellMar>
            <w:top w:w="15" w:type="dxa"/>
            <w:left w:w="15" w:type="dxa"/>
            <w:bottom w:w="15" w:type="dxa"/>
            <w:right w:w="15" w:type="dxa"/>
          </w:tblCellMar>
        </w:tblPrEx>
        <w:trPr>
          <w:tblHeader/>
        </w:trPr>
        <w:tc>
          <w:tcPr>
            <w:gridSpan w:val="4"/>
            <w:noWrap w:val="0"/>
            <w:tcMar>
              <w:top w:w="20" w:type="dxa"/>
              <w:left w:w="20" w:type="dxa"/>
              <w:bottom w:w="20" w:type="dxa"/>
              <w:right w:w="20" w:type="dxa"/>
            </w:tcMar>
            <w:vAlign w:val="center"/>
          </w:tcPr>
          <w:p w14:paraId="228F48D1">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收入支出决算总表</w:t>
            </w:r>
          </w:p>
        </w:tc>
      </w:tr>
      <w:tr w14:paraId="69940E44">
        <w:tblPrEx>
          <w:tblCellMar>
            <w:top w:w="15" w:type="dxa"/>
            <w:left w:w="15" w:type="dxa"/>
            <w:bottom w:w="15" w:type="dxa"/>
            <w:right w:w="15" w:type="dxa"/>
          </w:tblCellMar>
        </w:tblPrEx>
        <w:trPr>
          <w:tblHeader/>
        </w:trPr>
        <w:tc>
          <w:tcPr>
            <w:tcW w:w="21600"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3D0529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23A1E0C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0E6C11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公开01表</w:t>
            </w:r>
          </w:p>
        </w:tc>
      </w:tr>
      <w:tr w14:paraId="079F5E18">
        <w:tblPrEx>
          <w:tblCellMar>
            <w:top w:w="15" w:type="dxa"/>
            <w:left w:w="15" w:type="dxa"/>
            <w:bottom w:w="15" w:type="dxa"/>
            <w:right w:w="15" w:type="dxa"/>
          </w:tblCellMar>
        </w:tblPrEx>
        <w:trPr>
          <w:tblHeader/>
        </w:trPr>
        <w:tc>
          <w:tcPr>
            <w:tcW w:w="21600" w:type="dxa"/>
            <w:gridSpan w:val="3"/>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4869220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编制单位：上杭县珊瑚乡人民政府（本级）</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44D4D07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14:paraId="78BC3BCD">
        <w:tblPrEx>
          <w:tblCellMar>
            <w:top w:w="15" w:type="dxa"/>
            <w:left w:w="15" w:type="dxa"/>
            <w:bottom w:w="15" w:type="dxa"/>
            <w:right w:w="15" w:type="dxa"/>
          </w:tblCellMar>
        </w:tblPrEx>
        <w:trPr>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B87B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收入</w:t>
            </w:r>
          </w:p>
        </w:tc>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F354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w:t>
            </w:r>
          </w:p>
        </w:tc>
      </w:tr>
      <w:tr w14:paraId="47D3BC77">
        <w:tblPrEx>
          <w:tblCellMar>
            <w:top w:w="15" w:type="dxa"/>
            <w:left w:w="15" w:type="dxa"/>
            <w:bottom w:w="15" w:type="dxa"/>
            <w:right w:w="15" w:type="dxa"/>
          </w:tblCellMar>
        </w:tblPrEx>
        <w:trPr>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177E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54F4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决算数</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42662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项目(按支出功能分类)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3E42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决算数</w:t>
            </w:r>
          </w:p>
        </w:tc>
      </w:tr>
      <w:tr w14:paraId="49493C2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7EA60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一、一般公共预算财政拨款收入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F38D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1,532.21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0C8AF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D59D4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876.45</w:t>
            </w:r>
          </w:p>
        </w:tc>
      </w:tr>
      <w:tr w14:paraId="7EDE120A">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61463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二、政府性基金预算财政拨款收入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DC9F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62D29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二、外交支出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A74E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488CA94">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DD1FD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三、国有资本经营预算财政拨款收入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218E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5E4FF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B0CB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C3A5575">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4A6CA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四、上级补助收入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2679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7747D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D619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772A7EB">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E3EDB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五、事业收入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3DE3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997B0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7D36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854429B">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9A2A6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六、经营收入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16B4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64743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9507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EFDCEBB">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E8940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七、附属单位上缴收入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84EC8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25855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6C490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AB6076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F6DF4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八、其他收入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57446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9F37B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44CE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7644F0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7646E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DD26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31967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3EBD8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F58BF85">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12679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55087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1EDA0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F7C8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r>
      <w:tr w14:paraId="7288AA8D">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12E97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CE2A8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E1721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210E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r>
      <w:tr w14:paraId="447D30D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B9E9B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F08A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6DCC8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747C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51.8</w:t>
            </w:r>
          </w:p>
        </w:tc>
      </w:tr>
      <w:tr w14:paraId="0FCA565C">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1F298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365B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72955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83FE1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r>
      <w:tr w14:paraId="1C60AE8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4D6EE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B231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9232B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E5536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1E91C24">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BE43F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3BD02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2F8A6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DBD2A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r>
      <w:tr w14:paraId="1BFDB1C6">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62F6C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DE740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C7605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B963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9D67F41">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E530A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CFFF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29FAC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29340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22D5A88">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23596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A2E0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A46B1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BDA4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2D2CA39">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9C8E6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0F1B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233B8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FCCE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B12F0D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E5A40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4C62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0F4E9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35886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489C456">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69171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5E3C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32740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B5C7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BD13A29">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CB9B9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0FAAA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67A64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8116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r>
      <w:tr w14:paraId="769E5B13">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22A7A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EBC2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637FB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9BE0C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r>
      <w:tr w14:paraId="780A5F71">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2FBAE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0FB2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EFB50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3474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3C1DB00">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8CF8A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4FD80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3A2AB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0507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4ECD9E3">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29A93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C5E30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0A1A2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0940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900B6E0">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773F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F6759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1,532.21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84B8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BC54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1,532.21</w:t>
            </w:r>
          </w:p>
        </w:tc>
      </w:tr>
      <w:tr w14:paraId="0C737145">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2FE93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使用非财政拨款结余（含专用结余）</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F5BD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9471B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结余分配</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9241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7738B34">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2EC78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年初结转和结余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C5AB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0.73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F2575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年末结转和结余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68CE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0.73</w:t>
            </w:r>
          </w:p>
        </w:tc>
      </w:tr>
      <w:tr w14:paraId="2E94AD89">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3BDF2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6DDB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F4FF9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C04E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37872CC">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08F0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62D0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1,532.94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D2B0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1D30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1,532.94</w:t>
            </w:r>
          </w:p>
        </w:tc>
      </w:tr>
    </w:tbl>
    <w:p w14:paraId="2551F5C0">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0E499662">
      <w:pPr>
        <w:pStyle w:val="30"/>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w:t>
      </w:r>
      <w:r>
        <w:rPr>
          <w:rFonts w:eastAsia="Times New Roman"/>
          <w:spacing w:val="0"/>
          <w:kern w:val="0"/>
          <w:sz w:val="32"/>
          <w:szCs w:val="32"/>
        </w:rPr>
        <w:t>1. </w:t>
      </w:r>
      <w:r>
        <w:rPr>
          <w:rFonts w:ascii="宋体" w:hAnsi="宋体" w:cs="宋体"/>
          <w:spacing w:val="0"/>
          <w:kern w:val="0"/>
          <w:sz w:val="32"/>
          <w:szCs w:val="32"/>
        </w:rPr>
        <w:t>本表反映部门本年度的总收支和年末结转结余情况。</w:t>
      </w:r>
    </w:p>
    <w:p w14:paraId="7F809547">
      <w:pPr>
        <w:pStyle w:val="30"/>
        <w:widowControl/>
        <w:spacing w:before="100" w:after="100"/>
        <w:ind w:left="0" w:right="0" w:firstLine="480"/>
        <w:jc w:val="left"/>
        <w:outlineLvl w:val="2"/>
        <w:rPr>
          <w:rFonts w:ascii="Times New Roman" w:hAnsi="Times New Roman" w:eastAsia="Times New Roman" w:cs="Times New Roman"/>
          <w:kern w:val="0"/>
          <w:sz w:val="24"/>
        </w:rPr>
      </w:pPr>
      <w:r>
        <w:rPr>
          <w:rFonts w:eastAsia="Times New Roman"/>
          <w:spacing w:val="0"/>
          <w:kern w:val="0"/>
          <w:sz w:val="32"/>
          <w:szCs w:val="32"/>
        </w:rPr>
        <w:t>2.</w:t>
      </w:r>
      <w:r>
        <w:rPr>
          <w:rFonts w:ascii="Calibri" w:hAnsi="Calibri" w:eastAsia="Calibri" w:cs="Calibri"/>
          <w:spacing w:val="0"/>
          <w:kern w:val="0"/>
          <w:sz w:val="32"/>
          <w:szCs w:val="32"/>
        </w:rPr>
        <w:t> </w:t>
      </w:r>
      <w:r>
        <w:rPr>
          <w:rFonts w:ascii="宋体" w:hAnsi="宋体" w:cs="宋体"/>
          <w:spacing w:val="0"/>
          <w:kern w:val="0"/>
          <w:sz w:val="32"/>
          <w:szCs w:val="32"/>
        </w:rPr>
        <w:t>本套报表金额单位转换时可能存在尾数误差。</w:t>
      </w:r>
    </w:p>
    <w:p w14:paraId="5EBE90C5">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14:paraId="1FA00AEB">
      <w:pPr>
        <w:pStyle w:val="31"/>
        <w:widowControl/>
        <w:spacing w:before="100" w:after="100"/>
        <w:ind w:left="0" w:right="0" w:firstLine="0"/>
        <w:jc w:val="left"/>
        <w:rPr>
          <w:rFonts w:ascii="黑体" w:hAnsi="黑体" w:eastAsia="黑体" w:cs="黑体"/>
          <w:spacing w:val="0"/>
          <w:kern w:val="0"/>
          <w:sz w:val="32"/>
          <w:szCs w:val="32"/>
        </w:rPr>
      </w:pPr>
    </w:p>
    <w:p w14:paraId="586216FB">
      <w:pPr>
        <w:pStyle w:val="31"/>
        <w:widowControl/>
        <w:spacing w:before="100" w:after="100"/>
        <w:ind w:left="0" w:right="0" w:firstLine="0"/>
        <w:jc w:val="left"/>
        <w:outlineLvl w:val="1"/>
        <w:rPr>
          <w:rFonts w:ascii="Times New Roman" w:hAnsi="Times New Roman" w:eastAsia="Times New Roman" w:cs="Times New Roman"/>
          <w:kern w:val="0"/>
          <w:sz w:val="24"/>
        </w:rPr>
      </w:pPr>
      <w:bookmarkStart w:id="9" w:name="_Toc14983"/>
      <w:r>
        <w:rPr>
          <w:rFonts w:ascii="黑体" w:hAnsi="黑体" w:eastAsia="黑体" w:cs="黑体"/>
          <w:spacing w:val="0"/>
          <w:kern w:val="0"/>
          <w:sz w:val="32"/>
          <w:szCs w:val="32"/>
        </w:rPr>
        <w:t>二、收入决算表</w:t>
      </w:r>
      <w:bookmarkEnd w:id="9"/>
    </w:p>
    <w:p w14:paraId="444CB078">
      <w:pPr>
        <w:sectPr>
          <w:pgSz w:w="16383" w:h="11906" w:orient="landscape"/>
          <w:pgMar w:top="1440" w:right="720" w:bottom="1440" w:left="720" w:header="720" w:footer="720" w:gutter="0"/>
          <w:pgNumType w:fmt="decimal"/>
          <w:cols w:space="720" w:num="1"/>
        </w:sectPr>
      </w:pPr>
    </w:p>
    <w:p w14:paraId="2DBD4D47">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983"/>
        <w:gridCol w:w="983"/>
        <w:gridCol w:w="983"/>
        <w:gridCol w:w="2994"/>
        <w:gridCol w:w="1346"/>
        <w:gridCol w:w="1346"/>
        <w:gridCol w:w="1346"/>
        <w:gridCol w:w="1092"/>
        <w:gridCol w:w="1092"/>
        <w:gridCol w:w="1599"/>
        <w:gridCol w:w="1219"/>
      </w:tblGrid>
      <w:tr w14:paraId="268FE194">
        <w:tblPrEx>
          <w:tblCellMar>
            <w:top w:w="15" w:type="dxa"/>
            <w:left w:w="15" w:type="dxa"/>
            <w:bottom w:w="15" w:type="dxa"/>
            <w:right w:w="15" w:type="dxa"/>
          </w:tblCellMar>
        </w:tblPrEx>
        <w:trPr>
          <w:tblHeader/>
        </w:trPr>
        <w:tc>
          <w:tcPr>
            <w:gridSpan w:val="11"/>
            <w:noWrap w:val="0"/>
            <w:tcMar>
              <w:top w:w="20" w:type="dxa"/>
              <w:left w:w="20" w:type="dxa"/>
              <w:bottom w:w="20" w:type="dxa"/>
              <w:right w:w="20" w:type="dxa"/>
            </w:tcMar>
            <w:vAlign w:val="center"/>
          </w:tcPr>
          <w:p w14:paraId="42945109">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收入决算表</w:t>
            </w:r>
          </w:p>
        </w:tc>
      </w:tr>
      <w:tr w14:paraId="564247EC">
        <w:tblPrEx>
          <w:tblCellMar>
            <w:top w:w="15" w:type="dxa"/>
            <w:left w:w="15" w:type="dxa"/>
            <w:bottom w:w="15" w:type="dxa"/>
            <w:right w:w="15" w:type="dxa"/>
          </w:tblCellMar>
        </w:tblPrEx>
        <w:trPr>
          <w:tblHeader/>
        </w:trPr>
        <w:tc>
          <w:tcPr>
            <w:tcW w:w="5295"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619038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9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1500E4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07A4886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6F4E70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2656C21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211F0E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9F09CA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27DD6C5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0DC3F65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382DD0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公开02表</w:t>
            </w:r>
          </w:p>
        </w:tc>
      </w:tr>
      <w:tr w14:paraId="169A5EB5">
        <w:tblPrEx>
          <w:tblCellMar>
            <w:top w:w="15" w:type="dxa"/>
            <w:left w:w="15" w:type="dxa"/>
            <w:bottom w:w="15" w:type="dxa"/>
            <w:right w:w="15" w:type="dxa"/>
          </w:tblCellMar>
        </w:tblPrEx>
        <w:trPr>
          <w:tblHeader/>
        </w:trPr>
        <w:tc>
          <w:tcPr>
            <w:tcW w:w="5295"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267DF97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编制单位：上杭县珊瑚乡人民政府（本级）</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7D1F501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7718AC4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73DA97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5E7E8E8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E025F1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1FFECF4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4570F2C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14:paraId="18B0F4F9">
        <w:tblPrEx>
          <w:tblCellMar>
            <w:top w:w="15" w:type="dxa"/>
            <w:left w:w="15" w:type="dxa"/>
            <w:bottom w:w="15" w:type="dxa"/>
            <w:right w:w="15" w:type="dxa"/>
          </w:tblCellMar>
        </w:tblPrEx>
        <w:trPr>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D2962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C7C4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本年收入合计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93AC5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财政拨款收入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130D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上级补助收入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EAD9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事业收入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E901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经营收入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52D89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附属单位上缴收入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997E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其他收入</w:t>
            </w:r>
          </w:p>
        </w:tc>
      </w:tr>
      <w:tr w14:paraId="5316D052">
        <w:tblPrEx>
          <w:tblCellMar>
            <w:top w:w="15" w:type="dxa"/>
            <w:left w:w="15" w:type="dxa"/>
            <w:bottom w:w="15" w:type="dxa"/>
            <w:right w:w="15" w:type="dxa"/>
          </w:tblCellMar>
        </w:tblPrEx>
        <w:trPr>
          <w:tblHeader/>
        </w:trPr>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A545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6545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vMerge w:val="continue"/>
            <w:tcBorders>
              <w:top w:val="single" w:color="000000" w:sz="6" w:space="0"/>
              <w:left w:val="single" w:color="000000" w:sz="6" w:space="0"/>
              <w:bottom w:val="single" w:color="000000" w:sz="6" w:space="0"/>
              <w:right w:val="single" w:color="000000" w:sz="6" w:space="0"/>
            </w:tcBorders>
            <w:vAlign w:val="center"/>
          </w:tcPr>
          <w:p w14:paraId="1524367E">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7DB52CF8">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6C2C8AC7">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11B23AB1">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57A86944">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5F30E3F7">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4AEF9DB2">
            <w:pPr>
              <w:rPr>
                <w:rFonts w:ascii="Times New Roman" w:hAnsi="Times New Roman" w:eastAsia="Times New Roman" w:cs="Times New Roman"/>
                <w:b w:val="0"/>
                <w:bCs w:val="0"/>
                <w:i w:val="0"/>
                <w:iCs w:val="0"/>
                <w:smallCaps w:val="0"/>
                <w:color w:val="000000"/>
                <w:kern w:val="0"/>
                <w:sz w:val="26"/>
                <w:szCs w:val="26"/>
              </w:rPr>
            </w:pPr>
          </w:p>
        </w:tc>
      </w:tr>
      <w:tr w14:paraId="2DD7BB1B">
        <w:tblPrEx>
          <w:tblCellMar>
            <w:top w:w="15" w:type="dxa"/>
            <w:left w:w="15" w:type="dxa"/>
            <w:bottom w:w="15" w:type="dxa"/>
            <w:right w:w="15" w:type="dxa"/>
          </w:tblCellMar>
        </w:tblPrEx>
        <w:trPr>
          <w:tblHeader/>
        </w:trPr>
        <w:tc>
          <w:tcPr>
            <w:gridSpan w:val="3"/>
            <w:vMerge w:val="continue"/>
            <w:tcBorders>
              <w:top w:val="single" w:color="000000" w:sz="6" w:space="0"/>
              <w:left w:val="single" w:color="000000" w:sz="6" w:space="0"/>
              <w:bottom w:val="single" w:color="000000" w:sz="6" w:space="0"/>
              <w:right w:val="single" w:color="000000" w:sz="6" w:space="0"/>
            </w:tcBorders>
            <w:vAlign w:val="center"/>
          </w:tcPr>
          <w:p w14:paraId="71418698">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67E8E59D">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0F6236D1">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67831E1D">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7CCB6DA9">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2FD2EFC4">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36923D5D">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7AFB94B7">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766234E2">
            <w:pPr>
              <w:rPr>
                <w:rFonts w:ascii="Times New Roman" w:hAnsi="Times New Roman" w:eastAsia="Times New Roman" w:cs="Times New Roman"/>
                <w:b w:val="0"/>
                <w:bCs w:val="0"/>
                <w:i w:val="0"/>
                <w:iCs w:val="0"/>
                <w:smallCaps w:val="0"/>
                <w:color w:val="000000"/>
                <w:kern w:val="0"/>
                <w:sz w:val="26"/>
                <w:szCs w:val="26"/>
              </w:rPr>
            </w:pPr>
          </w:p>
        </w:tc>
      </w:tr>
      <w:tr w14:paraId="6B6F2FD4">
        <w:tblPrEx>
          <w:tblCellMar>
            <w:top w:w="15" w:type="dxa"/>
            <w:left w:w="15" w:type="dxa"/>
            <w:bottom w:w="15" w:type="dxa"/>
            <w:right w:w="15" w:type="dxa"/>
          </w:tblCellMar>
        </w:tblPrEx>
        <w:trPr>
          <w:tblHeader/>
        </w:trPr>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DFF75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529C4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4B60C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A4DA7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998E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1,532.21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F063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1,532.21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5771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9D8A5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7C44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9064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7E6C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C525707">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45F33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B08E8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DF36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876.45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0665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876.45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D020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28AE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6A41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33725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3CE1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87A4C25">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25858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17B69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3C3D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876.45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D0F1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876.45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93FE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74E4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D5A9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9E86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6F407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F648350">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07F51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61C95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2DD0F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547.51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86F1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547.51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4C33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5DDC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29E8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D81C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F0FA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35DA82B">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8B11E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1B7E6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事业运行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1B83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302.64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A0CA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302.64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6C80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E3F6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A92D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49EE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149A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3ED1CB7">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DF1A4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4BEE4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其他政府办公厅（室）及相关机构事务支出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7D51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75A9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FF45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4AFC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29A3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F126A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27BB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668036A">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3FA64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92D2B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43EA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8356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A60C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9AC5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5F9A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718C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8896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FEEDD76">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7DD8C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3CE14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污染防治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D3FD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27C90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C24F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09E2F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8C20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76AD0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DA8D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57C6522">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F339A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2110302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DAF04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B946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0A08A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EC1FD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F12B1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7B9A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7F32B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946A1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3307900">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122B8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F74A3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A820C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3D11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27C46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E533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9888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A3C9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B6D4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36BC088">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982D7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A9C1A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城乡社区公共设施</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E5B0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39E3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09B9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E55D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906A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CFB0C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FE54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7C0207B">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82C79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D76DF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其他城乡社区公共设施支出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383E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1F0C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3620D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7A1E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F663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5100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4D5C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2EE13AF">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2BF78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B9795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F1C6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A2680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C0E6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7D5F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23AA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FADA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39E1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F7F8848">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8532C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251C1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农业农村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45505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F5F6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80C9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23263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C607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A8E0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91F1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BCBF5B5">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F90EF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6E62C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其他农业农村支出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21D0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F407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42982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5FAE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2152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9628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5E702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0C35241">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8FE7C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9EF62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农村综合改革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D83A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F316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D336D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060D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3541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2231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8B18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A29A3C6">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90973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95BC6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对村级公益事业建设的补助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A08A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6EDC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EDAC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62C4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1BA9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5F97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8D39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220A9FD">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AB7BF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84CA5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对村民委员会和村党支部的补助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49D2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D8FD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7541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B8C1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F27CA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7CD2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065D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292AD25">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A9715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CE62B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F3EC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D14B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70DC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AA4F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281A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5C1D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6549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A14AED9">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5F7AE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21401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D9925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公路水路运输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C4C9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146A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9E40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8C59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779C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A767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6813A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B615882">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5522F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2140106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2C239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公路养护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F983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E6D08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7ADF7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FEE77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41BFD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A099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DC47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EFC1D69">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83C87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A744B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EB8A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91CE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4816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F84A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FB17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6FD4F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7FC1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1BE20DD">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B5C2C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21699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5A7B4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E0C2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9D331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EBFB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372E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12D5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5BDE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FAE3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8961F2B">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709D3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2169999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B732B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71AD7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6CED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5424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D4CF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0256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08D65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A60B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96F632C">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06BAF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47869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24D3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37EB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AC03A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99A1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6682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B5B7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2AA1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FF3AC75">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BE1EA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27926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AD62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3373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DD6B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0893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70FF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F461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7EC7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E350981">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B8D60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DEEB8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自然灾害救灾补助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8348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6902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2976A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936C9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73D7A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7834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6F28F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004F7C6">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F5669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B55D3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7F2F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2C02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141FC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8B35A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9CB4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3FA5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A635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F4135F7">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E0261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84378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8E4D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EE7B4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D5F4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92A4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9824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E5C0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687C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DEE32D8">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CB3CF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DC625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3F82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D9BC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DDDAD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16D67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7DB22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D7580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88A3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14:paraId="34281956">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4154AD20">
      <w:pPr>
        <w:pStyle w:val="30"/>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注：本表反映部门本年度取得的各项收入情况。</w:t>
      </w:r>
    </w:p>
    <w:p w14:paraId="09396AD0">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14:paraId="6ADDCDCA">
      <w:pPr>
        <w:pStyle w:val="31"/>
        <w:widowControl/>
        <w:spacing w:before="100" w:after="100"/>
        <w:ind w:left="0" w:right="0" w:firstLine="0"/>
        <w:jc w:val="left"/>
        <w:rPr>
          <w:rFonts w:ascii="黑体" w:hAnsi="黑体" w:eastAsia="黑体" w:cs="黑体"/>
          <w:spacing w:val="0"/>
          <w:kern w:val="0"/>
          <w:sz w:val="32"/>
          <w:szCs w:val="32"/>
        </w:rPr>
      </w:pPr>
    </w:p>
    <w:p w14:paraId="2DD05A3C">
      <w:pPr>
        <w:pStyle w:val="31"/>
        <w:widowControl/>
        <w:spacing w:before="100" w:after="100"/>
        <w:ind w:left="0" w:right="0" w:firstLine="0"/>
        <w:jc w:val="left"/>
        <w:outlineLvl w:val="1"/>
        <w:rPr>
          <w:rFonts w:ascii="Times New Roman" w:hAnsi="Times New Roman" w:eastAsia="Times New Roman" w:cs="Times New Roman"/>
          <w:kern w:val="0"/>
          <w:sz w:val="24"/>
        </w:rPr>
      </w:pPr>
      <w:bookmarkStart w:id="10" w:name="_Toc6802"/>
      <w:r>
        <w:rPr>
          <w:rFonts w:ascii="黑体" w:hAnsi="黑体" w:eastAsia="黑体" w:cs="黑体"/>
          <w:spacing w:val="0"/>
          <w:kern w:val="0"/>
          <w:sz w:val="32"/>
          <w:szCs w:val="32"/>
        </w:rPr>
        <w:t>三、支出决算表</w:t>
      </w:r>
      <w:bookmarkEnd w:id="10"/>
    </w:p>
    <w:p w14:paraId="06C4BFA8">
      <w:pPr>
        <w:sectPr>
          <w:pgSz w:w="16383" w:h="11906" w:orient="landscape"/>
          <w:pgMar w:top="1440" w:right="720" w:bottom="1440" w:left="720" w:header="720" w:footer="720" w:gutter="0"/>
          <w:pgNumType w:fmt="decimal"/>
          <w:cols w:space="720" w:num="1"/>
        </w:sectPr>
      </w:pPr>
    </w:p>
    <w:p w14:paraId="20120BEF">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1025"/>
        <w:gridCol w:w="1025"/>
        <w:gridCol w:w="1025"/>
        <w:gridCol w:w="3233"/>
        <w:gridCol w:w="1972"/>
        <w:gridCol w:w="1145"/>
        <w:gridCol w:w="1145"/>
        <w:gridCol w:w="1423"/>
        <w:gridCol w:w="1145"/>
        <w:gridCol w:w="1843"/>
      </w:tblGrid>
      <w:tr w14:paraId="01EAF3D0">
        <w:tblPrEx>
          <w:tblCellMar>
            <w:top w:w="15" w:type="dxa"/>
            <w:left w:w="15" w:type="dxa"/>
            <w:bottom w:w="15" w:type="dxa"/>
            <w:right w:w="15" w:type="dxa"/>
          </w:tblCellMar>
        </w:tblPrEx>
        <w:trPr>
          <w:tblHeader/>
        </w:trPr>
        <w:tc>
          <w:tcPr>
            <w:gridSpan w:val="10"/>
            <w:noWrap w:val="0"/>
            <w:tcMar>
              <w:top w:w="20" w:type="dxa"/>
              <w:left w:w="20" w:type="dxa"/>
              <w:bottom w:w="20" w:type="dxa"/>
              <w:right w:w="20" w:type="dxa"/>
            </w:tcMar>
            <w:vAlign w:val="center"/>
          </w:tcPr>
          <w:p w14:paraId="4838E0F4">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支出决算表</w:t>
            </w:r>
          </w:p>
        </w:tc>
      </w:tr>
      <w:tr w14:paraId="3C229E63">
        <w:tblPrEx>
          <w:tblCellMar>
            <w:top w:w="15" w:type="dxa"/>
            <w:left w:w="15" w:type="dxa"/>
            <w:bottom w:w="15" w:type="dxa"/>
            <w:right w:w="15" w:type="dxa"/>
          </w:tblCellMar>
        </w:tblPrEx>
        <w:trPr>
          <w:tblHeader/>
        </w:trPr>
        <w:tc>
          <w:tcPr>
            <w:tcW w:w="5295"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AA661B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ED1F04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B0E2F5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71D2C5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3868EA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E0516F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01B2AF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公开03表</w:t>
            </w:r>
          </w:p>
        </w:tc>
      </w:tr>
      <w:tr w14:paraId="5FA86B82">
        <w:tblPrEx>
          <w:tblCellMar>
            <w:top w:w="15" w:type="dxa"/>
            <w:left w:w="15" w:type="dxa"/>
            <w:bottom w:w="15" w:type="dxa"/>
            <w:right w:w="15" w:type="dxa"/>
          </w:tblCellMar>
        </w:tblPrEx>
        <w:trPr>
          <w:tblHeader/>
        </w:trPr>
        <w:tc>
          <w:tcPr>
            <w:tcW w:w="5295"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5FCB524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编制单位：上杭县珊瑚乡人民政府（本级）</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F18A85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7F2E1D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13273F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E81BED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5CFA87E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64EAA7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14:paraId="362A5805">
        <w:tblPrEx>
          <w:tblCellMar>
            <w:top w:w="15" w:type="dxa"/>
            <w:left w:w="15" w:type="dxa"/>
            <w:bottom w:w="15" w:type="dxa"/>
            <w:right w:w="15" w:type="dxa"/>
          </w:tblCellMar>
        </w:tblPrEx>
        <w:trPr>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880C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3076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D0CB5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CAF8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1D1EB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上缴上级支出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C6922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经营支出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8280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对附属单位补助支出</w:t>
            </w:r>
          </w:p>
        </w:tc>
      </w:tr>
      <w:tr w14:paraId="51CF9374">
        <w:tblPrEx>
          <w:tblCellMar>
            <w:top w:w="15" w:type="dxa"/>
            <w:left w:w="15" w:type="dxa"/>
            <w:bottom w:w="15" w:type="dxa"/>
            <w:right w:w="15" w:type="dxa"/>
          </w:tblCellMar>
        </w:tblPrEx>
        <w:trPr>
          <w:tblHeader/>
        </w:trPr>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63D2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1BE4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vMerge w:val="restart"/>
            <w:tcBorders>
              <w:top w:val="single" w:color="000000" w:sz="6" w:space="0"/>
              <w:left w:val="single" w:color="000000" w:sz="6" w:space="0"/>
              <w:bottom w:val="single" w:color="000000" w:sz="6" w:space="0"/>
              <w:right w:val="single" w:color="000000" w:sz="6" w:space="0"/>
            </w:tcBorders>
            <w:vAlign w:val="center"/>
          </w:tcPr>
          <w:p w14:paraId="17DF7799">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4F4E773F">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5F04B0E6">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1F4D9E03">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11207C69">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19531B69">
            <w:pPr>
              <w:rPr>
                <w:rFonts w:ascii="Times New Roman" w:hAnsi="Times New Roman" w:eastAsia="Times New Roman" w:cs="Times New Roman"/>
                <w:b w:val="0"/>
                <w:bCs w:val="0"/>
                <w:i w:val="0"/>
                <w:iCs w:val="0"/>
                <w:smallCaps w:val="0"/>
                <w:color w:val="000000"/>
                <w:kern w:val="0"/>
                <w:sz w:val="26"/>
                <w:szCs w:val="26"/>
              </w:rPr>
            </w:pPr>
          </w:p>
        </w:tc>
      </w:tr>
      <w:tr w14:paraId="6EEE1C82">
        <w:tblPrEx>
          <w:tblCellMar>
            <w:top w:w="15" w:type="dxa"/>
            <w:left w:w="15" w:type="dxa"/>
            <w:bottom w:w="15" w:type="dxa"/>
            <w:right w:w="15" w:type="dxa"/>
          </w:tblCellMar>
        </w:tblPrEx>
        <w:trPr>
          <w:tblHeader/>
        </w:trPr>
        <w:tc>
          <w:tcPr>
            <w:gridSpan w:val="3"/>
            <w:vMerge w:val="continue"/>
            <w:tcBorders>
              <w:top w:val="single" w:color="000000" w:sz="6" w:space="0"/>
              <w:left w:val="single" w:color="000000" w:sz="6" w:space="0"/>
              <w:bottom w:val="single" w:color="000000" w:sz="6" w:space="0"/>
              <w:right w:val="single" w:color="000000" w:sz="6" w:space="0"/>
            </w:tcBorders>
            <w:vAlign w:val="center"/>
          </w:tcPr>
          <w:p w14:paraId="1DD0C362">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33DFB470">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14042A06">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13B9BFAC">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3541936F">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25BC4FEB">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4E2B9973">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0FF30AEC">
            <w:pPr>
              <w:rPr>
                <w:rFonts w:ascii="Times New Roman" w:hAnsi="Times New Roman" w:eastAsia="Times New Roman" w:cs="Times New Roman"/>
                <w:b w:val="0"/>
                <w:bCs w:val="0"/>
                <w:i w:val="0"/>
                <w:iCs w:val="0"/>
                <w:smallCaps w:val="0"/>
                <w:color w:val="000000"/>
                <w:kern w:val="0"/>
                <w:sz w:val="26"/>
                <w:szCs w:val="26"/>
              </w:rPr>
            </w:pPr>
          </w:p>
        </w:tc>
      </w:tr>
      <w:tr w14:paraId="00553CC8">
        <w:tblPrEx>
          <w:tblCellMar>
            <w:top w:w="15" w:type="dxa"/>
            <w:left w:w="15" w:type="dxa"/>
            <w:bottom w:w="15" w:type="dxa"/>
            <w:right w:w="15" w:type="dxa"/>
          </w:tblCellMar>
        </w:tblPrEx>
        <w:trPr>
          <w:tblHeader/>
        </w:trPr>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9F90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A74D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C958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3942E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E8DE7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1,532.21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31F6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1,032.04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262B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500.17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5D5C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84D1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9D5B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37C9131">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159E0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AEB9A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D836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876.45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339D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876.45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408D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8077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F92F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CE88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5FB176E">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0D254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FDB4B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5BB5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876.45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24110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876.45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4CC6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E831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E139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D845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BD5AAD0">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AB88E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0C2EC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8226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547.51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3D98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547.51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3610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C158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FB76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F738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479CA31">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37688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0B4A1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事业运行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FCBD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302.64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6B1D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302.64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24E7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8949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A871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82C8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2979BE3">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C8BF5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F8CD4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其他政府办公厅（室）及相关机构事务支出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C817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63FB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2E0F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2AF51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1022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9FD5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6F6D44B">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95212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B2A29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2336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0B45A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00DE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1C83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90D1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C7EF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037D914">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7BC6E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D4D9C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污染防治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64CF3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EFE6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DDD3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F83C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290B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467E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1052BA3">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7899E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2110302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5F955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52BA6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A530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AEC0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997D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258C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E6D7C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B528397">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566A4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D155B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0B5E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23A8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FF91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0184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AFDE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2D82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0BBF988">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FF1D8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5668B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城乡社区公共设施</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CB69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7C71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AC19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7B42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8C17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7750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AFDF731">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2F975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17F31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其他城乡社区公共设施支出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21D2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1E66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ADEE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2A26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F63F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763C8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1B09FD7">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42997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7DBBF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9DE7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7AC2D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6592D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A430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CE6F0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B14E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E171403">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5F3C2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48F94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农业农村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F077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A8C1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B8CC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1863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53FD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8059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BDCDAA8">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29AEC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6BCA1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其他农业农村支出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00B1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8550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3864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AFCF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2E87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2106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ED7F04A">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B5C3A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B1904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农村综合改革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6B27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2A35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7C2E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5414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8D0B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94B8C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BC55563">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E4F0C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4B4F2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对村级公益事业建设的补助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A74A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498C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117B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DEA8D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84A2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0C60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1B8D2EC">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01549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99EC7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对村民委员会和村党支部的补助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1115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1DB8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7A36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D939B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70AB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DB39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3F50BC5">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2D682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363C4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8349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BB77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4420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F01A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831F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84B7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F567998">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CC432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21401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4DFFF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公路水路运输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65014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9E99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B3DA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6377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35D5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AAFD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D9DD68A">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0C16B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2140106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09EDC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公路养护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C938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E941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35A5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DEE4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7FF4B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EF56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CB40B26">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F7C85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57432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85A1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3EFF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B473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3EC1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73DA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68A2C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AE76212">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F80D5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21699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54C11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1860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7C0D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B106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794F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669E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9D79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98E0AA7">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188EA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2169999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77DB6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F519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4BE84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661C3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6891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1933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DF8F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5D75A91">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A5F66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D0662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0F92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736F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9FA4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CB77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5DF1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8B976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CD6AFB9">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CEA86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6901E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565D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6E4C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280D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28D0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983B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F8A9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97FD771">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81E82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CEC80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自然灾害救灾补助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5A38A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9003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52C2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5881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6D9F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69D26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4CF3ED9">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0DF99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3CE7F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D8D2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E22F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5EFE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8666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21B0C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6CD4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B4D7CD6">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18642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D8033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D4C2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AA86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E50D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45CEB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133E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54F10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2D4357A">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EC839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4F77C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C8B1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3B0B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0FDA3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C495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6EEE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7514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14:paraId="34738865">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1B95DB9D">
      <w:pPr>
        <w:pStyle w:val="30"/>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注：本表反映部门本年度各项支出情况。</w:t>
      </w:r>
    </w:p>
    <w:p w14:paraId="57FD1EAD">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14:paraId="33EF8864">
      <w:pPr>
        <w:pStyle w:val="31"/>
        <w:widowControl/>
        <w:spacing w:before="100" w:after="100"/>
        <w:ind w:left="0" w:right="0" w:firstLine="0"/>
        <w:jc w:val="left"/>
        <w:outlineLvl w:val="1"/>
        <w:rPr>
          <w:rFonts w:ascii="Times New Roman" w:hAnsi="Times New Roman" w:eastAsia="Times New Roman" w:cs="Times New Roman"/>
          <w:kern w:val="0"/>
          <w:sz w:val="24"/>
        </w:rPr>
      </w:pPr>
      <w:bookmarkStart w:id="11" w:name="_Toc4860"/>
      <w:r>
        <w:rPr>
          <w:rFonts w:ascii="黑体" w:hAnsi="黑体" w:eastAsia="黑体" w:cs="黑体"/>
          <w:spacing w:val="0"/>
          <w:kern w:val="0"/>
          <w:sz w:val="32"/>
          <w:szCs w:val="32"/>
        </w:rPr>
        <w:t>四、财政拨款收入支出决算总表</w:t>
      </w:r>
      <w:bookmarkEnd w:id="11"/>
    </w:p>
    <w:p w14:paraId="72CD32F1">
      <w:pPr>
        <w:sectPr>
          <w:pgSz w:w="16383" w:h="11906" w:orient="landscape"/>
          <w:pgMar w:top="1440" w:right="720" w:bottom="1440" w:left="720" w:header="720" w:footer="720" w:gutter="0"/>
          <w:pgNumType w:fmt="decimal"/>
          <w:cols w:space="720" w:num="1"/>
        </w:sectPr>
      </w:pPr>
    </w:p>
    <w:p w14:paraId="64ADC6E0">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2638"/>
        <w:gridCol w:w="1395"/>
        <w:gridCol w:w="2761"/>
        <w:gridCol w:w="1395"/>
        <w:gridCol w:w="2140"/>
        <w:gridCol w:w="2265"/>
        <w:gridCol w:w="2389"/>
      </w:tblGrid>
      <w:tr w14:paraId="479858B9">
        <w:tblPrEx>
          <w:tblCellMar>
            <w:top w:w="15" w:type="dxa"/>
            <w:left w:w="15" w:type="dxa"/>
            <w:bottom w:w="15" w:type="dxa"/>
            <w:right w:w="15" w:type="dxa"/>
          </w:tblCellMar>
        </w:tblPrEx>
        <w:trPr>
          <w:tblHeader/>
        </w:trPr>
        <w:tc>
          <w:tcPr>
            <w:gridSpan w:val="7"/>
            <w:noWrap w:val="0"/>
            <w:tcMar>
              <w:top w:w="20" w:type="dxa"/>
              <w:left w:w="20" w:type="dxa"/>
              <w:bottom w:w="20" w:type="dxa"/>
              <w:right w:w="20" w:type="dxa"/>
            </w:tcMar>
            <w:vAlign w:val="center"/>
          </w:tcPr>
          <w:p w14:paraId="0E3C2345">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财政拨款收入支出决算总表</w:t>
            </w:r>
          </w:p>
        </w:tc>
      </w:tr>
      <w:tr w14:paraId="7C652808">
        <w:tblPrEx>
          <w:tblCellMar>
            <w:top w:w="15" w:type="dxa"/>
            <w:left w:w="15" w:type="dxa"/>
            <w:bottom w:w="15" w:type="dxa"/>
            <w:right w:w="15" w:type="dxa"/>
          </w:tblCellMar>
        </w:tblPrEx>
        <w:trPr>
          <w:tblHeader/>
        </w:trPr>
        <w:tc>
          <w:tcPr>
            <w:tcW w:w="21600"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2DADC72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E61D1F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14A6CA3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4BC50E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公开04表</w:t>
            </w:r>
          </w:p>
        </w:tc>
      </w:tr>
      <w:tr w14:paraId="5A8A3C7A">
        <w:tblPrEx>
          <w:tblCellMar>
            <w:top w:w="15" w:type="dxa"/>
            <w:left w:w="15" w:type="dxa"/>
            <w:bottom w:w="15" w:type="dxa"/>
            <w:right w:w="15" w:type="dxa"/>
          </w:tblCellMar>
        </w:tblPrEx>
        <w:trPr>
          <w:tblHeader/>
        </w:trPr>
        <w:tc>
          <w:tcPr>
            <w:tcW w:w="21600"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18BEAAA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编制单位：上杭县珊瑚乡人民政府（本级）</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C34F5A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96C283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5519003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14:paraId="1D839CA6">
        <w:tblPrEx>
          <w:tblCellMar>
            <w:top w:w="15" w:type="dxa"/>
            <w:left w:w="15" w:type="dxa"/>
            <w:bottom w:w="15" w:type="dxa"/>
            <w:right w:w="15" w:type="dxa"/>
          </w:tblCellMar>
        </w:tblPrEx>
        <w:trPr>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ACB3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收入</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4ACE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w:t>
            </w:r>
          </w:p>
        </w:tc>
      </w:tr>
      <w:tr w14:paraId="61B37700">
        <w:tblPrEx>
          <w:tblCellMar>
            <w:top w:w="15" w:type="dxa"/>
            <w:left w:w="15" w:type="dxa"/>
            <w:bottom w:w="15" w:type="dxa"/>
            <w:right w:w="15" w:type="dxa"/>
          </w:tblCellMar>
        </w:tblPrEx>
        <w:trPr>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E4AE4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项目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42C9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金额</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404E9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项目（按功能分类）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2EB5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6941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E676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E5D8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国有资本经营预算财政拨款</w:t>
            </w:r>
          </w:p>
        </w:tc>
      </w:tr>
      <w:tr w14:paraId="070361C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313F2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一、一般公共预算财政拨款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D5FE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1,532.21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B69E7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9287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876.45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8B52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876.45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4DD2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9B21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10B140B">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50D85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3F9A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31AF9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二、外交支出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94E9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DEB8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11DE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257BF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1093230">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DA843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BBD3D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15B83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484C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4C6B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95F2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2308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C2E478C">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A38B4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CF111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BFCDA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D6C2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D229B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CD67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1A69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4237707">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3AFCE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0968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5AB07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BF1B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412F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E6A1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E685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106C610">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3B105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C1FD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1138D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2498A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43BAA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F124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8FA15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70FFA53">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C3BF1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A6D7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FC1C5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FED0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13079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D2B7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D1E8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E8AF1F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3C7DA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8DC9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26795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C357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BE384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A47D3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1850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C8B5DCE">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4FB29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786C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2E466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44CD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0D60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7DF04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8E94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1991C17">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E20E2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2E7CC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AF918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6176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0928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4532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0CA1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F3FC0DA">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9DF00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F6747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B2130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0B40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D5AF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08B2E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AFCE6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AE8468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228C0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1FC1C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54D6D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EEAA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A6F4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0A06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9EB4A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7D6EC5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81465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40E73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B7F1F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7B89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DC70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C936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AE1C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4D27BF0">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5897B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066B9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33CF2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19477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3373B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57EC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A665C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AEAEE7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E38CB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56DF7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57E5B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4379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A962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5025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9592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47CE6C4">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C7CD4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28B03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C9177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84DD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DE582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A73D2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FC7A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58D5A1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5F78D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FDDCE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C3367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E169C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3F5B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C65EB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7E4E3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597DE34">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8771B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8ECEC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01464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B056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62F77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72BA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B5CF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09CBE36">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8E609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5F5FE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4364F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2F80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8E15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039B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1932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5CD6D39">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1FFB7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5CC8B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549EC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2F9A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073E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F1296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B85C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CB0DA1A">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64A49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6909C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E8CA4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D33E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55EAC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7399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ABE0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FE6E41A">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8FD67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76D5A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72AAA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0EE2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3C9D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DE26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8EF2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702A335">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A868D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2DC22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1C8B7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C8602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EB9A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DC1F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82F2D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820A9B0">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305D8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18DFA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D1F12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0221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E89D7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7CF9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CB7E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87F19E8">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5C1D3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CC3A8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6779C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170E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3290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A2AA2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61AC4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2555D4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989B3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494E4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61023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F3DEF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B2D9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26F2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D31F0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5D0225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E789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FC5E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1,532.21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A0F7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DBD9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1,532.21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E1646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1,532.21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316B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EB2F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B8E79E9">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33E27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年初财政拨款结转和结余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815E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D1189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年末财政拨款结转和结余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48AFB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BB2C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69C4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8F5B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FB3F84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45757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C3CC5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98A3B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AB135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2DB37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AAE8B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80628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AC7E284">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BF39E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81DF2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D5F29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D403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378F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13BD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48965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19F628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EE704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E93C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EFD59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7FD67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4AC14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79F64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B23D6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3DD99A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EF88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829B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8577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A4B2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334C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6665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FAF8B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14:paraId="6C87B0B5">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570A1E9E">
      <w:pPr>
        <w:pStyle w:val="30"/>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注：本表反映部门本年度一般公共预算财政拨款、政府性基金预算财政拨款和国有资本经营预算财政拨款的总收支和年末结转结余情况。</w:t>
      </w:r>
    </w:p>
    <w:p w14:paraId="5A7BDF73">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14:paraId="584395B9">
      <w:pPr>
        <w:pStyle w:val="31"/>
        <w:widowControl/>
        <w:spacing w:before="100" w:after="100"/>
        <w:ind w:left="0" w:right="0" w:firstLine="0"/>
        <w:jc w:val="left"/>
        <w:rPr>
          <w:rFonts w:ascii="黑体" w:hAnsi="黑体" w:eastAsia="黑体" w:cs="黑体"/>
          <w:spacing w:val="0"/>
          <w:kern w:val="0"/>
          <w:sz w:val="32"/>
          <w:szCs w:val="32"/>
        </w:rPr>
      </w:pPr>
    </w:p>
    <w:p w14:paraId="602B929C">
      <w:pPr>
        <w:pStyle w:val="31"/>
        <w:widowControl/>
        <w:spacing w:before="100" w:after="100"/>
        <w:ind w:left="0" w:right="0" w:firstLine="0"/>
        <w:jc w:val="left"/>
        <w:rPr>
          <w:rFonts w:ascii="黑体" w:hAnsi="黑体" w:eastAsia="黑体" w:cs="黑体"/>
          <w:spacing w:val="0"/>
          <w:kern w:val="0"/>
          <w:sz w:val="32"/>
          <w:szCs w:val="32"/>
        </w:rPr>
      </w:pPr>
    </w:p>
    <w:p w14:paraId="1F61FF8C">
      <w:pPr>
        <w:pStyle w:val="31"/>
        <w:widowControl/>
        <w:spacing w:before="100" w:after="100"/>
        <w:ind w:left="0" w:right="0" w:firstLine="0"/>
        <w:jc w:val="left"/>
        <w:outlineLvl w:val="1"/>
        <w:rPr>
          <w:rFonts w:ascii="Times New Roman" w:hAnsi="Times New Roman" w:eastAsia="Times New Roman" w:cs="Times New Roman"/>
          <w:kern w:val="0"/>
          <w:sz w:val="24"/>
        </w:rPr>
      </w:pPr>
      <w:bookmarkStart w:id="12" w:name="_Toc16840"/>
      <w:r>
        <w:rPr>
          <w:rFonts w:ascii="黑体" w:hAnsi="黑体" w:eastAsia="黑体" w:cs="黑体"/>
          <w:spacing w:val="0"/>
          <w:kern w:val="0"/>
          <w:sz w:val="32"/>
          <w:szCs w:val="32"/>
        </w:rPr>
        <w:t>五、一般公共预算财政拨款支出决算表</w:t>
      </w:r>
      <w:bookmarkEnd w:id="12"/>
    </w:p>
    <w:p w14:paraId="6C60662B">
      <w:pPr>
        <w:sectPr>
          <w:pgSz w:w="16383" w:h="11906" w:orient="landscape"/>
          <w:pgMar w:top="1440" w:right="720" w:bottom="1440" w:left="720" w:header="720" w:footer="720" w:gutter="0"/>
          <w:pgNumType w:fmt="decimal"/>
          <w:cols w:space="720" w:num="1"/>
        </w:sectPr>
      </w:pPr>
    </w:p>
    <w:p w14:paraId="56CCDBA7">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2997"/>
        <w:gridCol w:w="5372"/>
        <w:gridCol w:w="2133"/>
        <w:gridCol w:w="2133"/>
        <w:gridCol w:w="2348"/>
      </w:tblGrid>
      <w:tr w14:paraId="72697A2A">
        <w:tblPrEx>
          <w:tblCellMar>
            <w:top w:w="15" w:type="dxa"/>
            <w:left w:w="15" w:type="dxa"/>
            <w:bottom w:w="15" w:type="dxa"/>
            <w:right w:w="15" w:type="dxa"/>
          </w:tblCellMar>
        </w:tblPrEx>
        <w:trPr>
          <w:tblHeader/>
        </w:trPr>
        <w:tc>
          <w:tcPr>
            <w:gridSpan w:val="5"/>
            <w:noWrap w:val="0"/>
            <w:tcMar>
              <w:top w:w="20" w:type="dxa"/>
              <w:left w:w="20" w:type="dxa"/>
              <w:bottom w:w="20" w:type="dxa"/>
              <w:right w:w="20" w:type="dxa"/>
            </w:tcMar>
            <w:vAlign w:val="center"/>
          </w:tcPr>
          <w:p w14:paraId="7F336931">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一般公共预算财政拨款支出决算表</w:t>
            </w:r>
          </w:p>
        </w:tc>
      </w:tr>
      <w:tr w14:paraId="66D0E51F">
        <w:tblPrEx>
          <w:tblCellMar>
            <w:top w:w="15" w:type="dxa"/>
            <w:left w:w="15" w:type="dxa"/>
            <w:bottom w:w="15" w:type="dxa"/>
            <w:right w:w="15" w:type="dxa"/>
          </w:tblCellMar>
        </w:tblPrEx>
        <w:trPr>
          <w:tblHeader/>
        </w:trPr>
        <w:tc>
          <w:tcPr>
            <w:tcW w:w="5295"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C73A61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5CE851A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001B048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707085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公开05表</w:t>
            </w:r>
          </w:p>
        </w:tc>
      </w:tr>
      <w:tr w14:paraId="57C914A3">
        <w:tblPrEx>
          <w:tblCellMar>
            <w:top w:w="15" w:type="dxa"/>
            <w:left w:w="15" w:type="dxa"/>
            <w:bottom w:w="15" w:type="dxa"/>
            <w:right w:w="15" w:type="dxa"/>
          </w:tblCellMar>
        </w:tblPrEx>
        <w:trPr>
          <w:tblHeader/>
        </w:trPr>
        <w:tc>
          <w:tcPr>
            <w:tcW w:w="5295"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6DF9DE8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编制单位：上杭县珊瑚乡人民政府（本级）</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433E2A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033B4D2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7A261DB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14:paraId="3A6BFEE5">
        <w:tblPrEx>
          <w:tblCellMar>
            <w:top w:w="15" w:type="dxa"/>
            <w:left w:w="15" w:type="dxa"/>
            <w:bottom w:w="15" w:type="dxa"/>
            <w:right w:w="15" w:type="dxa"/>
          </w:tblCellMar>
        </w:tblPrEx>
        <w:trPr>
          <w:tblHeader/>
        </w:trPr>
        <w:tc>
          <w:tcPr>
            <w:tcW w:w="5295"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F0F5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47068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w:t>
            </w:r>
          </w:p>
        </w:tc>
      </w:tr>
      <w:tr w14:paraId="7D71C580">
        <w:tblPrEx>
          <w:tblCellMar>
            <w:top w:w="15" w:type="dxa"/>
            <w:left w:w="15" w:type="dxa"/>
            <w:bottom w:w="15" w:type="dxa"/>
            <w:right w:w="15" w:type="dxa"/>
          </w:tblCellMar>
        </w:tblPrEx>
        <w:trPr>
          <w:tblHeader/>
        </w:trPr>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75CDA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817D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F5E2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小计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8088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C1E1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项目支出</w:t>
            </w:r>
          </w:p>
        </w:tc>
      </w:tr>
      <w:tr w14:paraId="2DA6BD46">
        <w:tblPrEx>
          <w:tblCellMar>
            <w:top w:w="15" w:type="dxa"/>
            <w:left w:w="15" w:type="dxa"/>
            <w:bottom w:w="15" w:type="dxa"/>
            <w:right w:w="15" w:type="dxa"/>
          </w:tblCellMar>
        </w:tblPrEx>
        <w:trPr>
          <w:tblHeader/>
        </w:trPr>
        <w:tc>
          <w:tcPr>
            <w:vMerge w:val="continue"/>
            <w:tcBorders>
              <w:top w:val="single" w:color="000000" w:sz="6" w:space="0"/>
              <w:left w:val="single" w:color="000000" w:sz="6" w:space="0"/>
              <w:bottom w:val="single" w:color="000000" w:sz="6" w:space="0"/>
              <w:right w:val="single" w:color="000000" w:sz="6" w:space="0"/>
            </w:tcBorders>
            <w:vAlign w:val="center"/>
          </w:tcPr>
          <w:p w14:paraId="21FFC43F">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489B18A8">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2C9B7D1E">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60996868">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64A9EBD0">
            <w:pPr>
              <w:rPr>
                <w:rFonts w:ascii="Times New Roman" w:hAnsi="Times New Roman" w:eastAsia="Times New Roman" w:cs="Times New Roman"/>
                <w:b w:val="0"/>
                <w:bCs w:val="0"/>
                <w:i w:val="0"/>
                <w:iCs w:val="0"/>
                <w:smallCaps w:val="0"/>
                <w:color w:val="000000"/>
                <w:kern w:val="0"/>
                <w:sz w:val="26"/>
                <w:szCs w:val="26"/>
              </w:rPr>
            </w:pPr>
          </w:p>
        </w:tc>
      </w:tr>
      <w:tr w14:paraId="343B725E">
        <w:tblPrEx>
          <w:tblCellMar>
            <w:top w:w="15" w:type="dxa"/>
            <w:left w:w="15" w:type="dxa"/>
            <w:bottom w:w="15" w:type="dxa"/>
            <w:right w:w="15" w:type="dxa"/>
          </w:tblCellMar>
        </w:tblPrEx>
        <w:tc>
          <w:tcPr>
            <w:tcW w:w="5295"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4737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50C4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1,532.21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C345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1,032.04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66E9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500.17</w:t>
            </w:r>
          </w:p>
        </w:tc>
      </w:tr>
      <w:tr w14:paraId="76390D5A">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683F5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59655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2CC0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876.45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A34AB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876.45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90FF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3952B43">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BD072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B19C9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88F4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876.45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F362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876.45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2A18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C37BB91">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FDA64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C7874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A17A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547.51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9A07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547.51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E046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A55A008">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A132A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A7791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事业运行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0035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302.64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431A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302.64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A1ACB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2512292">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8FD5A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DB782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其他政府办公厅（室）及相关机构事务支出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40BF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669D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F5C9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1B6F377">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84BD2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9D777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5C62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6910F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AEA2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r>
      <w:tr w14:paraId="3117E36C">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FF7F8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97450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污染防治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99A7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2F47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E19F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r>
      <w:tr w14:paraId="3825FA3B">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43FD4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2110302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0F242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721E7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EA9E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62F1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390.17</w:t>
            </w:r>
          </w:p>
        </w:tc>
      </w:tr>
      <w:tr w14:paraId="412C0E4C">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AB4AE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0E9A4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528B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BD30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C137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r>
      <w:tr w14:paraId="5496A64B">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8B8D7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50C20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城乡社区公共设施</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48A3F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8A86B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5CA47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r>
      <w:tr w14:paraId="76A729D8">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AC111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0744D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其他城乡社区公共设施支出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EE0D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A42F0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A68E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r>
      <w:tr w14:paraId="0377AEB1">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2BCCD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6D11B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11D8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1E04F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7852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683D7E0">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5E028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05908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农业农村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F058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CBEF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0215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9C0A22E">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22C31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3DDE9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其他农业农村支出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077C7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F60F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2955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472C37A">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5BFA2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2E79F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农村综合改革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280A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B354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6C76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E9002AB">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25D04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A6E98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对村级公益事业建设的补助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4AA2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2A72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AD01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C622701">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1C377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3C9BA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对村民委员会和村党支部的补助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AE783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B50D7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1358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CA9369C">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FB8C5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A0006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BB87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C43C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DD97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FADEB94">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509A5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21401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21E9A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公路水路运输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7901D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9785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50651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D5819F8">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48A25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2140106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D8BEB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公路养护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5A51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2E7D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EFB1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C6635F2">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C2AC1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646A9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DD7F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8D7D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2CAF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173935D">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85FC0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21699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52199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96387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5064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B377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11E9787">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9EBB1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2169999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E3CFA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9FA2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EA91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A219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384269C">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751C9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089DB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CF14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91167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5105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009887B">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74006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25D71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2BD7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7D2D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45EF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8D7066F">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7A996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1F0A9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自然灾害救灾补助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2780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D520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3EC5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069A9BE">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B5D5F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49EA4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8FF4F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1B01D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F81F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2674404">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0EFAD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8BA9E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DA7A0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F4DD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F3A4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CD496A9">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1FC2F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30CC0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7573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98DF7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5AA6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14:paraId="6E44A955">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4E660B46">
      <w:pPr>
        <w:pStyle w:val="30"/>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注：本表反映部门本年度一般公共预算财政拨款支出情况。</w:t>
      </w:r>
    </w:p>
    <w:p w14:paraId="4150C3E0">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14:paraId="0FBF7654">
      <w:pPr>
        <w:pStyle w:val="31"/>
        <w:widowControl/>
        <w:spacing w:before="100" w:after="100"/>
        <w:ind w:left="0" w:right="0" w:firstLine="0"/>
        <w:jc w:val="left"/>
        <w:rPr>
          <w:rFonts w:ascii="黑体" w:hAnsi="黑体" w:eastAsia="黑体" w:cs="黑体"/>
          <w:spacing w:val="0"/>
          <w:kern w:val="0"/>
          <w:sz w:val="32"/>
          <w:szCs w:val="32"/>
        </w:rPr>
      </w:pPr>
    </w:p>
    <w:p w14:paraId="0EDADB88">
      <w:pPr>
        <w:pStyle w:val="31"/>
        <w:widowControl/>
        <w:spacing w:before="100" w:after="100"/>
        <w:ind w:left="0" w:right="0" w:firstLine="0"/>
        <w:jc w:val="left"/>
        <w:rPr>
          <w:rFonts w:ascii="黑体" w:hAnsi="黑体" w:eastAsia="黑体" w:cs="黑体"/>
          <w:spacing w:val="0"/>
          <w:kern w:val="0"/>
          <w:sz w:val="32"/>
          <w:szCs w:val="32"/>
        </w:rPr>
      </w:pPr>
    </w:p>
    <w:p w14:paraId="55A0BD43">
      <w:pPr>
        <w:pStyle w:val="31"/>
        <w:widowControl/>
        <w:spacing w:before="100" w:after="100"/>
        <w:ind w:left="0" w:right="0" w:firstLine="0"/>
        <w:jc w:val="left"/>
        <w:outlineLvl w:val="1"/>
        <w:rPr>
          <w:rFonts w:ascii="Times New Roman" w:hAnsi="Times New Roman" w:eastAsia="Times New Roman" w:cs="Times New Roman"/>
          <w:kern w:val="0"/>
          <w:sz w:val="24"/>
        </w:rPr>
      </w:pPr>
      <w:bookmarkStart w:id="13" w:name="_Toc2103"/>
      <w:r>
        <w:rPr>
          <w:rFonts w:ascii="黑体" w:hAnsi="黑体" w:eastAsia="黑体" w:cs="黑体"/>
          <w:spacing w:val="0"/>
          <w:kern w:val="0"/>
          <w:sz w:val="32"/>
          <w:szCs w:val="32"/>
        </w:rPr>
        <w:t>六、一般公共预算财政拨款基本支出决算表</w:t>
      </w:r>
      <w:bookmarkEnd w:id="13"/>
    </w:p>
    <w:p w14:paraId="035B2320">
      <w:pPr>
        <w:sectPr>
          <w:pgSz w:w="16383" w:h="11906" w:orient="landscape"/>
          <w:pgMar w:top="1440" w:right="720" w:bottom="1440" w:left="720" w:header="720" w:footer="720" w:gutter="0"/>
          <w:pgNumType w:fmt="decimal"/>
          <w:cols w:space="720" w:num="1"/>
        </w:sectPr>
      </w:pPr>
    </w:p>
    <w:p w14:paraId="488207D7">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1614"/>
        <w:gridCol w:w="2297"/>
        <w:gridCol w:w="1045"/>
        <w:gridCol w:w="1614"/>
        <w:gridCol w:w="1728"/>
        <w:gridCol w:w="1045"/>
        <w:gridCol w:w="1614"/>
        <w:gridCol w:w="2753"/>
        <w:gridCol w:w="1274"/>
      </w:tblGrid>
      <w:tr w14:paraId="3BCFF328">
        <w:tblPrEx>
          <w:tblCellMar>
            <w:top w:w="15" w:type="dxa"/>
            <w:left w:w="15" w:type="dxa"/>
            <w:bottom w:w="15" w:type="dxa"/>
            <w:right w:w="15" w:type="dxa"/>
          </w:tblCellMar>
        </w:tblPrEx>
        <w:trPr>
          <w:tblHeader/>
        </w:trPr>
        <w:tc>
          <w:tcPr>
            <w:gridSpan w:val="9"/>
            <w:noWrap w:val="0"/>
            <w:tcMar>
              <w:top w:w="20" w:type="dxa"/>
              <w:left w:w="20" w:type="dxa"/>
              <w:bottom w:w="20" w:type="dxa"/>
              <w:right w:w="20" w:type="dxa"/>
            </w:tcMar>
            <w:vAlign w:val="center"/>
          </w:tcPr>
          <w:p w14:paraId="2ED398C9">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一般公共预算财政拨款基本支出决算表</w:t>
            </w:r>
          </w:p>
        </w:tc>
      </w:tr>
      <w:tr w14:paraId="25430750">
        <w:tblPrEx>
          <w:tblCellMar>
            <w:top w:w="15" w:type="dxa"/>
            <w:left w:w="15" w:type="dxa"/>
            <w:bottom w:w="15" w:type="dxa"/>
            <w:right w:w="15" w:type="dxa"/>
          </w:tblCellMar>
        </w:tblPrEx>
        <w:trPr>
          <w:tblHeader/>
        </w:trPr>
        <w:tc>
          <w:tcPr>
            <w:tcW w:w="21600"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16E82A8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F273E9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8265A5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792198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59F1B9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7FA855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公开06表</w:t>
            </w:r>
          </w:p>
        </w:tc>
      </w:tr>
      <w:tr w14:paraId="05EA40B6">
        <w:tblPrEx>
          <w:tblCellMar>
            <w:top w:w="15" w:type="dxa"/>
            <w:left w:w="15" w:type="dxa"/>
            <w:bottom w:w="15" w:type="dxa"/>
            <w:right w:w="15" w:type="dxa"/>
          </w:tblCellMar>
        </w:tblPrEx>
        <w:trPr>
          <w:tblHeader/>
        </w:trPr>
        <w:tc>
          <w:tcPr>
            <w:tcW w:w="21600"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65EAC4C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编制单位：上杭县珊瑚乡人民政府（本级）</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081CF5A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5CF9034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575DF1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0BEEB7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6A8D8E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14:paraId="114E4085">
        <w:tblPrEx>
          <w:tblCellMar>
            <w:top w:w="15" w:type="dxa"/>
            <w:left w:w="15" w:type="dxa"/>
            <w:bottom w:w="15" w:type="dxa"/>
            <w:right w:w="15" w:type="dxa"/>
          </w:tblCellMar>
        </w:tblPrEx>
        <w:trPr>
          <w:tblHeader/>
        </w:trPr>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9FC8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379E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271E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金额</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F16B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03A8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1514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金额</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159C2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DF7E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B0B82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金额</w:t>
            </w:r>
          </w:p>
        </w:tc>
      </w:tr>
      <w:tr w14:paraId="38C39E52">
        <w:tblPrEx>
          <w:tblCellMar>
            <w:top w:w="15" w:type="dxa"/>
            <w:left w:w="15" w:type="dxa"/>
            <w:bottom w:w="15" w:type="dxa"/>
            <w:right w:w="15" w:type="dxa"/>
          </w:tblCellMar>
        </w:tblPrEx>
        <w:trPr>
          <w:tblHeader/>
        </w:trPr>
        <w:tc>
          <w:tcPr>
            <w:vMerge w:val="continue"/>
            <w:tcBorders>
              <w:top w:val="single" w:color="000000" w:sz="6" w:space="0"/>
              <w:left w:val="single" w:color="000000" w:sz="6" w:space="0"/>
              <w:bottom w:val="single" w:color="000000" w:sz="6" w:space="0"/>
              <w:right w:val="single" w:color="000000" w:sz="6" w:space="0"/>
            </w:tcBorders>
            <w:vAlign w:val="center"/>
          </w:tcPr>
          <w:p w14:paraId="643AB5A9">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5ECF32AD">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0191962E">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28F50737">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4D073331">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23EA0398">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3F174B68">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491AF69A">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19327774">
            <w:pPr>
              <w:rPr>
                <w:rFonts w:ascii="Times New Roman" w:hAnsi="Times New Roman" w:eastAsia="Times New Roman" w:cs="Times New Roman"/>
                <w:b w:val="0"/>
                <w:bCs w:val="0"/>
                <w:i w:val="0"/>
                <w:iCs w:val="0"/>
                <w:smallCaps w:val="0"/>
                <w:color w:val="000000"/>
                <w:kern w:val="0"/>
                <w:sz w:val="26"/>
                <w:szCs w:val="26"/>
              </w:rPr>
            </w:pPr>
          </w:p>
        </w:tc>
      </w:tr>
      <w:tr w14:paraId="63B6F40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D371B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2E35E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6E4B1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720.92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61E49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902C3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2D81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207.36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21711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7FB1A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国内债务发行费用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0941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BA49410">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BEE21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0645F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基本工资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A56F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178.66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8BBC0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12679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办公费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E043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BE6A4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62073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国外债务发行费用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EE8E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606C373">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98030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E897B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津贴补贴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C0DD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FC0A8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16927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印刷费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F056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62A63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08A72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C74D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E28E176">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55D10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16EFD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奖金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4E593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100.34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50BE6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775A9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咨询费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62CC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C3F44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543B1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房屋建筑物购建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5568C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13013EA">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4DBDA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0C1D3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伙食补助费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ED696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CCFDD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BB054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手续费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D89F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D93A0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6B69B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办公设备购置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EB7CB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4B5F1D6">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BB6E4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B00BE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绩效工资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E3960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72144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49F73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ACE2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2918C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8CD7A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专用设备购置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8AF6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ED7E224">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86C5C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CBCC3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机关事业单位基本养老保险缴费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D4AC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34.71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D8297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4E96E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电费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8E9F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AA33F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3DA3A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基础设施建设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8E43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2D1DBA9">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39FF3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418B6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职业年金缴费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C4EB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23CA0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3AC31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邮电费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708E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91224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50F13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大型修缮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B89C8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7ADD335">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7D8E1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52B40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职工基本医疗保险缴费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F7C9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49.17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DAE69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23EE5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取暖费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80087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02D4A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FFB68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信息网络及软件购置更新</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3B2E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78B085A">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DC8BE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30710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公务员医疗补助缴费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BB27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03D57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86351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物业管理费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8618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971FA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BDB9F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物资储备</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CB27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B61CA8C">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8571A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65FCF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其他社会保障缴费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0889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EFB34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822B7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差旅费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5EEE3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11.95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0C64E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F10DB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土地补偿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E6C2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8D00EAB">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0478A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D19A8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2F16A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122.32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F8265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A5EF7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因公出国（境）费用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129F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8E3CD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E04C2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安置补助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4D91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5176B76">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BAD56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61F52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医疗费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F619C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524B4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AFF06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维修（护）费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97CE6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F84F5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BAF7E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地上附着物和青苗补偿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0FEA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75483EE">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49555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6B7BA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346F3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92.54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8BB86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73D79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租赁费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83F4B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93DCF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57481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拆迁补偿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F718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BD1E240">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7AFAB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5ECF9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BA93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103.75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066B0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C9F8E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会议费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607E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AD001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D0C02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公务用车购置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E93D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1D82E2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FA684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2C1B8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离休费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0D3C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46530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2F670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培训费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5EF4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0.52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84396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5CE75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其他交通工具购置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4946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ACB077C">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97D6A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A8BDE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退休费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1635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D1488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234C5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C60B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2C342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BE64E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文物和陈列品购置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4FB0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F9BA201">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E6F7E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805C3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退职（役）费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A558B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FA47D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022DA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专用材料费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6A587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BB77F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EF6D5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无形资产购置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2905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F383F6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4AF89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DD3FF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抚恤金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56A8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D1FF4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45CA7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被装购置费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4760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67A29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E342B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0C72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0B10C54">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3F12A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841F9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生活补助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8D45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81.93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A8AA6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537BB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专用燃料费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2DEE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87DEC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10697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AC42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B6A663B">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18CA3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E9EA5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救济费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6298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046F6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05F29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劳务费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4E1B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32E7F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EAB9D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资本金注入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A59D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6C1FCED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11962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49F76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医疗费补助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CE9DC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720C6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D042B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委托业务费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8CDC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D9F2C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86999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政府投资基金股权投资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E091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72A226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8FE6C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BD9D6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助学金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550C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27C37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F3FFC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工会经费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100D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12.53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36469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E946A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费用补贴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44ED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3E4CF63">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DD4ED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D1A1F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奖励金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7961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9D556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CEB02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福利费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61B1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59E71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99ABA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利息补贴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8732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21756145">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D360A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9C533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个人农业生产补贴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42BCD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41E16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EE2D7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7DF3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6BBE1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D9C71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A7E3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1069075">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32253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424C5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代缴社会保险费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BD56F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2694C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B3208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其他交通费用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8B48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99DC6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0D6D1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4B41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563A879">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C4ADA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56E3E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561C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21.82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A9184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30240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05AED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税金及附加费用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0912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24652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2CEC4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国家赔偿费用支出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32EE7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31804F2E">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40EEA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645BF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546B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9C316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D4806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386A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34.38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DBE6E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4CA94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对民间非营利组织和群众性自治组织补贴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513F6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11F56169">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D8567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D4531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F08B6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4428C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8F2DC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债务利息及费用支出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DDA25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04C20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EDB94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经常性赠与</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E486E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DF1E29F">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E2984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8A7E9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8C1FC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2275F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5A5AE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国内债务付息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57F42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17146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FFD7E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资本性赠与</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B364F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6E1D93C">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CAB6E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F17B3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ABB13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81B58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686C0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国外债务付息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23691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B9643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791A6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53343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0116EE82">
        <w:tblPrEx>
          <w:tblCellMar>
            <w:top w:w="15" w:type="dxa"/>
            <w:left w:w="15" w:type="dxa"/>
            <w:bottom w:w="15" w:type="dxa"/>
            <w:right w:w="15" w:type="dxa"/>
          </w:tblCellMar>
        </w:tblPrEx>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0737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人员经费合计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B7812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824.67</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FE3C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公用经费合计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0166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207.36</w:t>
            </w:r>
          </w:p>
        </w:tc>
      </w:tr>
    </w:tbl>
    <w:p w14:paraId="5A71DF3D">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5BAA12B5">
      <w:pPr>
        <w:pStyle w:val="30"/>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注：本表反映部门本年度一般公共预算财政拨款基本支出明细情况。</w:t>
      </w:r>
    </w:p>
    <w:p w14:paraId="4F7D4ACD">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14:paraId="7F143C32">
      <w:pPr>
        <w:pStyle w:val="31"/>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七、一般公共预算财政拨款“三公”经费支出决算表</w:t>
      </w:r>
    </w:p>
    <w:p w14:paraId="39BDC014">
      <w:pPr>
        <w:sectPr>
          <w:pgSz w:w="16383" w:h="11906" w:orient="landscape"/>
          <w:pgMar w:top="1440" w:right="720" w:bottom="1440" w:left="720" w:header="720" w:footer="720" w:gutter="0"/>
          <w:pgNumType w:fmt="decimal"/>
          <w:cols w:space="720" w:num="1"/>
        </w:sectPr>
      </w:pPr>
    </w:p>
    <w:p w14:paraId="151B018B">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6205"/>
        <w:gridCol w:w="4389"/>
        <w:gridCol w:w="4389"/>
      </w:tblGrid>
      <w:tr w14:paraId="67A78B9E">
        <w:tblPrEx>
          <w:tblCellMar>
            <w:top w:w="15" w:type="dxa"/>
            <w:left w:w="15" w:type="dxa"/>
            <w:bottom w:w="15" w:type="dxa"/>
            <w:right w:w="15" w:type="dxa"/>
          </w:tblCellMar>
        </w:tblPrEx>
        <w:trPr>
          <w:tblHeader/>
        </w:trPr>
        <w:tc>
          <w:tcPr>
            <w:gridSpan w:val="3"/>
            <w:noWrap w:val="0"/>
            <w:tcMar>
              <w:top w:w="20" w:type="dxa"/>
              <w:left w:w="20" w:type="dxa"/>
              <w:bottom w:w="20" w:type="dxa"/>
              <w:right w:w="20" w:type="dxa"/>
            </w:tcMar>
            <w:vAlign w:val="center"/>
          </w:tcPr>
          <w:p w14:paraId="11BDCBF2">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一般公共预算财政拨款“三公”经费支出决算表</w:t>
            </w:r>
          </w:p>
        </w:tc>
      </w:tr>
      <w:tr w14:paraId="72FFC8D1">
        <w:tblPrEx>
          <w:tblCellMar>
            <w:top w:w="15" w:type="dxa"/>
            <w:left w:w="15" w:type="dxa"/>
            <w:bottom w:w="15" w:type="dxa"/>
            <w:right w:w="15" w:type="dxa"/>
          </w:tblCellMar>
        </w:tblPrEx>
        <w:trPr>
          <w:tblHeader/>
        </w:trPr>
        <w:tc>
          <w:tcPr>
            <w:tcW w:w="21600"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43A186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2E656B2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公开07表</w:t>
            </w:r>
          </w:p>
        </w:tc>
      </w:tr>
      <w:tr w14:paraId="37CDB57F">
        <w:tblPrEx>
          <w:tblCellMar>
            <w:top w:w="15" w:type="dxa"/>
            <w:left w:w="15" w:type="dxa"/>
            <w:bottom w:w="15" w:type="dxa"/>
            <w:right w:w="15" w:type="dxa"/>
          </w:tblCellMar>
        </w:tblPrEx>
        <w:trPr>
          <w:tblHeader/>
        </w:trPr>
        <w:tc>
          <w:tcPr>
            <w:gridSpan w:val="3"/>
            <w:noWrap w:val="0"/>
            <w:tcMar>
              <w:top w:w="20" w:type="dxa"/>
              <w:left w:w="20" w:type="dxa"/>
              <w:bottom w:w="20" w:type="dxa"/>
              <w:right w:w="20" w:type="dxa"/>
            </w:tcMar>
            <w:vAlign w:val="center"/>
          </w:tcPr>
          <w:p w14:paraId="3523CDF3">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编制单位：上杭县珊瑚乡人民政府（本级）</w:t>
            </w:r>
          </w:p>
        </w:tc>
      </w:tr>
      <w:tr w14:paraId="585B27D1">
        <w:tblPrEx>
          <w:tblCellMar>
            <w:top w:w="15" w:type="dxa"/>
            <w:left w:w="15" w:type="dxa"/>
            <w:bottom w:w="15" w:type="dxa"/>
            <w:right w:w="15" w:type="dxa"/>
          </w:tblCellMar>
        </w:tblPrEx>
        <w:trPr>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3224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A5CD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15845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决算数</w:t>
            </w:r>
          </w:p>
        </w:tc>
      </w:tr>
      <w:tr w14:paraId="71274AE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EC351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DF99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DA05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11.24</w:t>
            </w:r>
          </w:p>
        </w:tc>
      </w:tr>
      <w:tr w14:paraId="6E908191">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46809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 因公出国（境）费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D85A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582A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9C63132">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6FFE2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 公务用车购置及运行维护费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3424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0C7B3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1.8</w:t>
            </w:r>
          </w:p>
        </w:tc>
      </w:tr>
      <w:tr w14:paraId="0AA92ED4">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02F82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其中：（1）公务用车购置费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0BCCF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1C7C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461C6427">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982FF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994A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4B88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1.8</w:t>
            </w:r>
          </w:p>
        </w:tc>
      </w:tr>
      <w:tr w14:paraId="2CEF8DC1">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8BA60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 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BF75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EFAD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9.44</w:t>
            </w:r>
          </w:p>
        </w:tc>
      </w:tr>
    </w:tbl>
    <w:p w14:paraId="12420BF4">
      <w:pPr>
        <w:pStyle w:val="31"/>
        <w:widowControl/>
        <w:spacing w:before="100" w:after="100"/>
        <w:ind w:left="0" w:right="0" w:firstLine="0"/>
        <w:jc w:val="left"/>
        <w:rPr>
          <w:rFonts w:ascii="黑体" w:hAnsi="黑体" w:eastAsia="黑体" w:cs="黑体"/>
          <w:spacing w:val="0"/>
          <w:kern w:val="0"/>
          <w:sz w:val="32"/>
          <w:szCs w:val="32"/>
        </w:rPr>
      </w:pPr>
    </w:p>
    <w:p w14:paraId="5C71939B">
      <w:pPr>
        <w:pStyle w:val="31"/>
        <w:widowControl/>
        <w:spacing w:before="100" w:after="100"/>
        <w:ind w:left="0" w:right="0" w:firstLine="0"/>
        <w:jc w:val="left"/>
        <w:rPr>
          <w:rFonts w:ascii="黑体" w:hAnsi="黑体" w:eastAsia="黑体" w:cs="黑体"/>
          <w:spacing w:val="0"/>
          <w:kern w:val="0"/>
          <w:sz w:val="32"/>
          <w:szCs w:val="32"/>
        </w:rPr>
      </w:pPr>
    </w:p>
    <w:p w14:paraId="52FB58E2">
      <w:pPr>
        <w:pStyle w:val="31"/>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八、政府性基金预算财政拨款收入支出决算表</w:t>
      </w:r>
    </w:p>
    <w:p w14:paraId="0A0077D4">
      <w:pPr>
        <w:sectPr>
          <w:pgSz w:w="16383" w:h="11906" w:orient="landscape"/>
          <w:pgMar w:top="1440" w:right="720" w:bottom="1440" w:left="720" w:header="720" w:footer="720" w:gutter="0"/>
          <w:pgNumType w:fmt="decimal"/>
          <w:cols w:space="720" w:num="1"/>
        </w:sectPr>
      </w:pPr>
    </w:p>
    <w:p w14:paraId="07CE3674">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1229"/>
        <w:gridCol w:w="1229"/>
        <w:gridCol w:w="1229"/>
        <w:gridCol w:w="2247"/>
        <w:gridCol w:w="1934"/>
        <w:gridCol w:w="1386"/>
        <w:gridCol w:w="1021"/>
        <w:gridCol w:w="1386"/>
        <w:gridCol w:w="1386"/>
        <w:gridCol w:w="1936"/>
      </w:tblGrid>
      <w:tr w14:paraId="33A0234C">
        <w:tblPrEx>
          <w:tblCellMar>
            <w:top w:w="15" w:type="dxa"/>
            <w:left w:w="15" w:type="dxa"/>
            <w:bottom w:w="15" w:type="dxa"/>
            <w:right w:w="15" w:type="dxa"/>
          </w:tblCellMar>
        </w:tblPrEx>
        <w:trPr>
          <w:tblHeader/>
        </w:trPr>
        <w:tc>
          <w:tcPr>
            <w:gridSpan w:val="10"/>
            <w:noWrap w:val="0"/>
            <w:tcMar>
              <w:top w:w="20" w:type="dxa"/>
              <w:left w:w="20" w:type="dxa"/>
              <w:bottom w:w="20" w:type="dxa"/>
              <w:right w:w="20" w:type="dxa"/>
            </w:tcMar>
            <w:vAlign w:val="center"/>
          </w:tcPr>
          <w:p w14:paraId="1B4DD8B2">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政府性基金预算财政拨款收入支出决算表</w:t>
            </w:r>
          </w:p>
        </w:tc>
      </w:tr>
      <w:tr w14:paraId="2DB78CA2">
        <w:tblPrEx>
          <w:tblCellMar>
            <w:top w:w="15" w:type="dxa"/>
            <w:left w:w="15" w:type="dxa"/>
            <w:bottom w:w="15" w:type="dxa"/>
            <w:right w:w="15" w:type="dxa"/>
          </w:tblCellMar>
        </w:tblPrEx>
        <w:trPr>
          <w:tblHeader/>
        </w:trPr>
        <w:tc>
          <w:tcPr>
            <w:tcW w:w="5295"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7D6016B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9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76C782B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22ABA5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EEF3B1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1C8702D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E5C07B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074EE55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389A9B6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5D135C7A">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公开08表</w:t>
            </w:r>
          </w:p>
        </w:tc>
      </w:tr>
      <w:tr w14:paraId="6D00F75C">
        <w:tblPrEx>
          <w:tblCellMar>
            <w:top w:w="15" w:type="dxa"/>
            <w:left w:w="15" w:type="dxa"/>
            <w:bottom w:w="15" w:type="dxa"/>
            <w:right w:w="15" w:type="dxa"/>
          </w:tblCellMar>
        </w:tblPrEx>
        <w:trPr>
          <w:tblHeader/>
        </w:trPr>
        <w:tc>
          <w:tcPr>
            <w:tcW w:w="5295"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2E5229F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编制单位：上杭县珊瑚乡人民政府（本级）</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97ACC4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5BA5827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0A00F15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781599F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2F0188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52CC6A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14:paraId="68892103">
        <w:tblPrEx>
          <w:tblCellMar>
            <w:top w:w="15" w:type="dxa"/>
            <w:left w:w="15" w:type="dxa"/>
            <w:bottom w:w="15" w:type="dxa"/>
            <w:right w:w="15" w:type="dxa"/>
          </w:tblCellMar>
        </w:tblPrEx>
        <w:trPr>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A55F7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164F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年初结转和结余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508FB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本年收入</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14E38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9FA9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年末结转和结余</w:t>
            </w:r>
          </w:p>
        </w:tc>
      </w:tr>
      <w:tr w14:paraId="08B7334F">
        <w:tblPrEx>
          <w:tblCellMar>
            <w:top w:w="15" w:type="dxa"/>
            <w:left w:w="15" w:type="dxa"/>
            <w:bottom w:w="15" w:type="dxa"/>
            <w:right w:w="15" w:type="dxa"/>
          </w:tblCellMar>
        </w:tblPrEx>
        <w:trPr>
          <w:tblHeader/>
        </w:trPr>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A288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50A9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vMerge w:val="continue"/>
            <w:tcBorders>
              <w:top w:val="single" w:color="000000" w:sz="6" w:space="0"/>
              <w:left w:val="single" w:color="000000" w:sz="6" w:space="0"/>
              <w:bottom w:val="single" w:color="000000" w:sz="6" w:space="0"/>
              <w:right w:val="single" w:color="000000" w:sz="6" w:space="0"/>
            </w:tcBorders>
            <w:vAlign w:val="center"/>
          </w:tcPr>
          <w:p w14:paraId="09937047">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5223D0A3">
            <w:pPr>
              <w:rPr>
                <w:rFonts w:ascii="Times New Roman" w:hAnsi="Times New Roman" w:eastAsia="Times New Roman" w:cs="Times New Roman"/>
                <w:b w:val="0"/>
                <w:bCs w:val="0"/>
                <w:i w:val="0"/>
                <w:iCs w:val="0"/>
                <w:smallCaps w:val="0"/>
                <w:color w:val="000000"/>
                <w:kern w:val="0"/>
                <w:sz w:val="26"/>
                <w:szCs w:val="26"/>
              </w:rPr>
            </w:pP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B79F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小计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D2A2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基本支出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0E71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项目支出</w:t>
            </w:r>
          </w:p>
        </w:tc>
        <w:tc>
          <w:tcPr>
            <w:vMerge w:val="continue"/>
            <w:tcBorders>
              <w:top w:val="single" w:color="000000" w:sz="6" w:space="0"/>
              <w:left w:val="single" w:color="000000" w:sz="6" w:space="0"/>
              <w:bottom w:val="single" w:color="000000" w:sz="6" w:space="0"/>
              <w:right w:val="single" w:color="000000" w:sz="6" w:space="0"/>
            </w:tcBorders>
            <w:vAlign w:val="center"/>
          </w:tcPr>
          <w:p w14:paraId="3E8C1A5E">
            <w:pPr>
              <w:rPr>
                <w:rFonts w:ascii="Times New Roman" w:hAnsi="Times New Roman" w:eastAsia="Times New Roman" w:cs="Times New Roman"/>
                <w:b w:val="0"/>
                <w:bCs w:val="0"/>
                <w:i w:val="0"/>
                <w:iCs w:val="0"/>
                <w:smallCaps w:val="0"/>
                <w:color w:val="000000"/>
                <w:kern w:val="0"/>
                <w:sz w:val="26"/>
                <w:szCs w:val="26"/>
              </w:rPr>
            </w:pPr>
          </w:p>
        </w:tc>
      </w:tr>
      <w:tr w14:paraId="6A629EE4">
        <w:tblPrEx>
          <w:tblCellMar>
            <w:top w:w="15" w:type="dxa"/>
            <w:left w:w="15" w:type="dxa"/>
            <w:bottom w:w="15" w:type="dxa"/>
            <w:right w:w="15" w:type="dxa"/>
          </w:tblCellMar>
        </w:tblPrEx>
        <w:trPr>
          <w:tblHeader/>
        </w:trPr>
        <w:tc>
          <w:tcPr>
            <w:gridSpan w:val="3"/>
            <w:vMerge w:val="continue"/>
            <w:tcBorders>
              <w:top w:val="single" w:color="000000" w:sz="6" w:space="0"/>
              <w:left w:val="single" w:color="000000" w:sz="6" w:space="0"/>
              <w:bottom w:val="single" w:color="000000" w:sz="6" w:space="0"/>
              <w:right w:val="single" w:color="000000" w:sz="6" w:space="0"/>
            </w:tcBorders>
            <w:vAlign w:val="center"/>
          </w:tcPr>
          <w:p w14:paraId="23E11712">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5629B319">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66AAEC08">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419F6967">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6E1E9713">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743BAAD7">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0BDC206D">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33BDC6D7">
            <w:pPr>
              <w:rPr>
                <w:rFonts w:ascii="Times New Roman" w:hAnsi="Times New Roman" w:eastAsia="Times New Roman" w:cs="Times New Roman"/>
                <w:b w:val="0"/>
                <w:bCs w:val="0"/>
                <w:i w:val="0"/>
                <w:iCs w:val="0"/>
                <w:smallCaps w:val="0"/>
                <w:color w:val="000000"/>
                <w:kern w:val="0"/>
                <w:sz w:val="26"/>
                <w:szCs w:val="26"/>
              </w:rPr>
            </w:pPr>
          </w:p>
        </w:tc>
      </w:tr>
      <w:tr w14:paraId="05C9103B">
        <w:tblPrEx>
          <w:tblCellMar>
            <w:top w:w="15" w:type="dxa"/>
            <w:left w:w="15" w:type="dxa"/>
            <w:bottom w:w="15" w:type="dxa"/>
            <w:right w:w="15" w:type="dxa"/>
          </w:tblCellMar>
        </w:tblPrEx>
        <w:trPr>
          <w:tblHeader/>
        </w:trPr>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441C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类</w:t>
            </w:r>
          </w:p>
        </w:tc>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D12F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款</w:t>
            </w:r>
          </w:p>
        </w:tc>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4AFC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4120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7F532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47FBF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E6FEA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E5F1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4BDA9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12CD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w:t>
            </w:r>
          </w:p>
        </w:tc>
      </w:tr>
      <w:tr w14:paraId="099830C7">
        <w:tblPrEx>
          <w:tblCellMar>
            <w:top w:w="15" w:type="dxa"/>
            <w:left w:w="15" w:type="dxa"/>
            <w:bottom w:w="15" w:type="dxa"/>
            <w:right w:w="15" w:type="dxa"/>
          </w:tblCellMar>
        </w:tblPrEx>
        <w:trPr>
          <w:tblHeader/>
        </w:trPr>
        <w:tc>
          <w:tcPr>
            <w:vMerge w:val="continue"/>
            <w:tcBorders>
              <w:top w:val="single" w:color="000000" w:sz="6" w:space="0"/>
              <w:left w:val="single" w:color="000000" w:sz="6" w:space="0"/>
              <w:bottom w:val="single" w:color="000000" w:sz="6" w:space="0"/>
              <w:right w:val="single" w:color="000000" w:sz="6" w:space="0"/>
            </w:tcBorders>
            <w:vAlign w:val="center"/>
          </w:tcPr>
          <w:p w14:paraId="3E51B6E7">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0F7F3F7A">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2548D6C9">
            <w:pPr>
              <w:rPr>
                <w:rFonts w:ascii="Times New Roman" w:hAnsi="Times New Roman" w:eastAsia="Times New Roman" w:cs="Times New Roman"/>
                <w:b w:val="0"/>
                <w:bCs w:val="0"/>
                <w:i w:val="0"/>
                <w:iCs w:val="0"/>
                <w:smallCaps w:val="0"/>
                <w:color w:val="000000"/>
                <w:kern w:val="0"/>
                <w:sz w:val="26"/>
                <w:szCs w:val="26"/>
              </w:rPr>
            </w:pP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9E3F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70C17F">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9E54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81F2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2F8A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1803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3D781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760560AF">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DA2A7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5C843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B5BAF2">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01B4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D74C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DB6B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EF632D">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F7D8F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14:paraId="5B20B06A">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64BB9D80">
      <w:pPr>
        <w:pStyle w:val="30"/>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w:t>
      </w:r>
      <w:r>
        <w:rPr>
          <w:rFonts w:eastAsia="Times New Roman"/>
          <w:spacing w:val="0"/>
          <w:kern w:val="0"/>
          <w:sz w:val="32"/>
          <w:szCs w:val="32"/>
        </w:rPr>
        <w:t>1.</w:t>
      </w:r>
      <w:r>
        <w:rPr>
          <w:rFonts w:ascii="Calibri" w:hAnsi="Calibri" w:eastAsia="Calibri" w:cs="Calibri"/>
          <w:spacing w:val="0"/>
          <w:kern w:val="0"/>
          <w:sz w:val="32"/>
          <w:szCs w:val="32"/>
        </w:rPr>
        <w:t> </w:t>
      </w:r>
      <w:r>
        <w:rPr>
          <w:rFonts w:ascii="宋体" w:hAnsi="宋体" w:cs="宋体"/>
          <w:spacing w:val="0"/>
          <w:kern w:val="0"/>
          <w:sz w:val="32"/>
          <w:szCs w:val="32"/>
        </w:rPr>
        <w:t>本表反映部门本年度政府性基金预算财政拨款收入、支出及结转和结余情况。</w:t>
      </w:r>
    </w:p>
    <w:p w14:paraId="54940C63">
      <w:pPr>
        <w:pStyle w:val="31"/>
        <w:widowControl/>
        <w:spacing w:before="100" w:after="100"/>
        <w:ind w:left="0" w:right="0" w:firstLine="480"/>
        <w:jc w:val="left"/>
        <w:rPr>
          <w:rFonts w:ascii="Times New Roman" w:hAnsi="Times New Roman" w:eastAsia="Times New Roman" w:cs="Times New Roman"/>
          <w:kern w:val="0"/>
          <w:sz w:val="24"/>
        </w:rPr>
      </w:pPr>
      <w:r>
        <w:rPr>
          <w:rFonts w:eastAsia="Times New Roman"/>
          <w:spacing w:val="0"/>
          <w:kern w:val="0"/>
          <w:sz w:val="32"/>
          <w:szCs w:val="32"/>
        </w:rPr>
        <w:t>2. </w:t>
      </w:r>
      <w:r>
        <w:rPr>
          <w:rFonts w:ascii="宋体" w:hAnsi="宋体" w:cs="宋体"/>
          <w:spacing w:val="0"/>
          <w:kern w:val="0"/>
          <w:sz w:val="32"/>
          <w:szCs w:val="32"/>
        </w:rPr>
        <w:t>没有政府性基金拨款支出的部门请公开空表，并说明“本部门2023年度没有使用政府性基金预算拨款安排的收支”。</w:t>
      </w:r>
    </w:p>
    <w:p w14:paraId="44D9CDFF">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14:paraId="53403935">
      <w:pPr>
        <w:pStyle w:val="30"/>
        <w:widowControl/>
        <w:spacing w:before="100" w:after="100"/>
        <w:ind w:left="0" w:right="0" w:firstLine="0"/>
        <w:jc w:val="left"/>
        <w:outlineLvl w:val="1"/>
        <w:rPr>
          <w:rFonts w:ascii="Times New Roman" w:hAnsi="Times New Roman" w:eastAsia="Times New Roman" w:cs="Times New Roman"/>
          <w:kern w:val="0"/>
          <w:sz w:val="24"/>
        </w:rPr>
      </w:pPr>
      <w:bookmarkStart w:id="14" w:name="_Toc11171"/>
      <w:r>
        <w:rPr>
          <w:rFonts w:ascii="黑体" w:hAnsi="黑体" w:eastAsia="黑体" w:cs="黑体"/>
          <w:spacing w:val="0"/>
          <w:kern w:val="0"/>
          <w:sz w:val="32"/>
          <w:szCs w:val="32"/>
        </w:rPr>
        <w:t>九、国有资本经营预算财政拨款支出决算表</w:t>
      </w:r>
      <w:bookmarkEnd w:id="14"/>
    </w:p>
    <w:p w14:paraId="744CE388">
      <w:pPr>
        <w:sectPr>
          <w:pgSz w:w="16383" w:h="11906" w:orient="landscape"/>
          <w:pgMar w:top="1440" w:right="720" w:bottom="1440" w:left="720" w:header="720" w:footer="720" w:gutter="0"/>
          <w:pgNumType w:fmt="decimal"/>
          <w:cols w:space="720" w:num="1"/>
        </w:sectPr>
      </w:pPr>
    </w:p>
    <w:p w14:paraId="13EC75A7">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0"/>
        <w:tblW w:w="5000" w:type="pct"/>
        <w:tblInd w:w="20" w:type="dxa"/>
        <w:tblLayout w:type="fixed"/>
        <w:tblCellMar>
          <w:top w:w="15" w:type="dxa"/>
          <w:left w:w="15" w:type="dxa"/>
          <w:bottom w:w="15" w:type="dxa"/>
          <w:right w:w="15" w:type="dxa"/>
        </w:tblCellMar>
      </w:tblPr>
      <w:tblGrid>
        <w:gridCol w:w="2435"/>
        <w:gridCol w:w="1833"/>
        <w:gridCol w:w="1694"/>
        <w:gridCol w:w="1833"/>
        <w:gridCol w:w="1984"/>
      </w:tblGrid>
      <w:tr w14:paraId="0F116D64">
        <w:tblPrEx>
          <w:tblCellMar>
            <w:top w:w="15" w:type="dxa"/>
            <w:left w:w="15" w:type="dxa"/>
            <w:bottom w:w="15" w:type="dxa"/>
            <w:right w:w="15" w:type="dxa"/>
          </w:tblCellMar>
        </w:tblPrEx>
        <w:trPr>
          <w:tblHeader/>
        </w:trPr>
        <w:tc>
          <w:tcPr>
            <w:gridSpan w:val="5"/>
            <w:noWrap w:val="0"/>
            <w:tcMar>
              <w:top w:w="20" w:type="dxa"/>
              <w:left w:w="20" w:type="dxa"/>
              <w:bottom w:w="20" w:type="dxa"/>
              <w:right w:w="20" w:type="dxa"/>
            </w:tcMar>
            <w:vAlign w:val="center"/>
          </w:tcPr>
          <w:p w14:paraId="76B75AAE">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国有资本经营预算财政拨款支出决算表</w:t>
            </w:r>
          </w:p>
        </w:tc>
      </w:tr>
      <w:tr w14:paraId="0193C4BB">
        <w:tblPrEx>
          <w:tblCellMar>
            <w:top w:w="15" w:type="dxa"/>
            <w:left w:w="15" w:type="dxa"/>
            <w:bottom w:w="15" w:type="dxa"/>
            <w:right w:w="15" w:type="dxa"/>
          </w:tblCellMar>
        </w:tblPrEx>
        <w:trPr>
          <w:tblHeader/>
        </w:trPr>
        <w:tc>
          <w:tcPr>
            <w:tcW w:w="21600"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66AACB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46BA753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14:paraId="6394FAC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157B90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公开09表</w:t>
            </w:r>
          </w:p>
        </w:tc>
      </w:tr>
      <w:tr w14:paraId="7219D694">
        <w:tblPrEx>
          <w:tblCellMar>
            <w:top w:w="15" w:type="dxa"/>
            <w:left w:w="15" w:type="dxa"/>
            <w:bottom w:w="15" w:type="dxa"/>
            <w:right w:w="15" w:type="dxa"/>
          </w:tblCellMar>
        </w:tblPrEx>
        <w:trPr>
          <w:tblHeader/>
        </w:trPr>
        <w:tc>
          <w:tcPr>
            <w:tcW w:w="21600"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28DD90E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编制单位：上杭县珊瑚乡人民政府（本级）</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14:paraId="005A6A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14:paraId="1CF5EF7F">
        <w:tblPrEx>
          <w:tblCellMar>
            <w:top w:w="15" w:type="dxa"/>
            <w:left w:w="15" w:type="dxa"/>
            <w:bottom w:w="15" w:type="dxa"/>
            <w:right w:w="15" w:type="dxa"/>
          </w:tblCellMar>
        </w:tblPrEx>
        <w:trPr>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3EB1A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 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5D5D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w:t>
            </w:r>
          </w:p>
        </w:tc>
      </w:tr>
      <w:tr w14:paraId="0020F41C">
        <w:tblPrEx>
          <w:tblCellMar>
            <w:top w:w="15" w:type="dxa"/>
            <w:left w:w="15" w:type="dxa"/>
            <w:bottom w:w="15" w:type="dxa"/>
            <w:right w:w="15" w:type="dxa"/>
          </w:tblCellMar>
        </w:tblPrEx>
        <w:trPr>
          <w:tblHeader/>
        </w:trPr>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9E153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D696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2F5B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624B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FEDE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项目支出</w:t>
            </w:r>
          </w:p>
        </w:tc>
      </w:tr>
      <w:tr w14:paraId="2889762E">
        <w:tblPrEx>
          <w:tblCellMar>
            <w:top w:w="15" w:type="dxa"/>
            <w:left w:w="15" w:type="dxa"/>
            <w:bottom w:w="15" w:type="dxa"/>
            <w:right w:w="15" w:type="dxa"/>
          </w:tblCellMar>
        </w:tblPrEx>
        <w:trPr>
          <w:tblHeader/>
        </w:trPr>
        <w:tc>
          <w:tcPr>
            <w:vMerge w:val="continue"/>
            <w:tcBorders>
              <w:top w:val="single" w:color="000000" w:sz="6" w:space="0"/>
              <w:left w:val="single" w:color="000000" w:sz="6" w:space="0"/>
              <w:bottom w:val="single" w:color="000000" w:sz="6" w:space="0"/>
              <w:right w:val="single" w:color="000000" w:sz="6" w:space="0"/>
            </w:tcBorders>
            <w:vAlign w:val="center"/>
          </w:tcPr>
          <w:p w14:paraId="3ADD1279">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2445BDCA">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306B91EA">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1AF5DFF3">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6182B658">
            <w:pPr>
              <w:rPr>
                <w:rFonts w:ascii="Times New Roman" w:hAnsi="Times New Roman" w:eastAsia="Times New Roman" w:cs="Times New Roman"/>
                <w:b w:val="0"/>
                <w:bCs w:val="0"/>
                <w:i w:val="0"/>
                <w:iCs w:val="0"/>
                <w:smallCaps w:val="0"/>
                <w:color w:val="000000"/>
                <w:kern w:val="0"/>
                <w:sz w:val="26"/>
                <w:szCs w:val="26"/>
              </w:rPr>
            </w:pPr>
          </w:p>
        </w:tc>
      </w:tr>
      <w:tr w14:paraId="1B2FB787">
        <w:tblPrEx>
          <w:tblCellMar>
            <w:top w:w="15" w:type="dxa"/>
            <w:left w:w="15" w:type="dxa"/>
            <w:bottom w:w="15" w:type="dxa"/>
            <w:right w:w="15" w:type="dxa"/>
          </w:tblCellMar>
        </w:tblPrEx>
        <w:trPr>
          <w:tblHeader/>
        </w:trPr>
        <w:tc>
          <w:tcPr>
            <w:vMerge w:val="continue"/>
            <w:tcBorders>
              <w:top w:val="single" w:color="000000" w:sz="6" w:space="0"/>
              <w:left w:val="single" w:color="000000" w:sz="6" w:space="0"/>
              <w:bottom w:val="single" w:color="000000" w:sz="6" w:space="0"/>
              <w:right w:val="single" w:color="000000" w:sz="6" w:space="0"/>
            </w:tcBorders>
            <w:vAlign w:val="center"/>
          </w:tcPr>
          <w:p w14:paraId="7D479A66">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31D307F0">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16935E6D">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7F7E4EB5">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14:paraId="60D0397A">
            <w:pPr>
              <w:rPr>
                <w:rFonts w:ascii="Times New Roman" w:hAnsi="Times New Roman" w:eastAsia="Times New Roman" w:cs="Times New Roman"/>
                <w:b w:val="0"/>
                <w:bCs w:val="0"/>
                <w:i w:val="0"/>
                <w:iCs w:val="0"/>
                <w:smallCaps w:val="0"/>
                <w:color w:val="000000"/>
                <w:kern w:val="0"/>
                <w:sz w:val="26"/>
                <w:szCs w:val="26"/>
              </w:rPr>
            </w:pPr>
          </w:p>
        </w:tc>
      </w:tr>
      <w:tr w14:paraId="0AF9E716">
        <w:tblPrEx>
          <w:tblCellMar>
            <w:top w:w="15" w:type="dxa"/>
            <w:left w:w="15" w:type="dxa"/>
            <w:bottom w:w="15" w:type="dxa"/>
            <w:right w:w="15" w:type="dxa"/>
          </w:tblCellMar>
        </w:tblPrEx>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8D94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B11A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FE51B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78B3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r>
      <w:tr w14:paraId="08019635">
        <w:tblPrEx>
          <w:tblCellMar>
            <w:top w:w="15" w:type="dxa"/>
            <w:left w:w="15" w:type="dxa"/>
            <w:bottom w:w="15" w:type="dxa"/>
            <w:right w:w="15" w:type="dxa"/>
          </w:tblCellMar>
        </w:tblPrEx>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5888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FF24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4EF3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2902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14:paraId="5A4F2909">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2762F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6CF0A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F38A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DFE564">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0DE4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14:paraId="453EFC88">
      <w:pPr>
        <w:widowControl/>
        <w:jc w:val="left"/>
        <w:rPr>
          <w:rFonts w:ascii="Calibri" w:hAnsi="Calibri" w:eastAsia="Calibri" w:cs="Calibri"/>
          <w:spacing w:val="0"/>
          <w:kern w:val="0"/>
          <w:szCs w:val="21"/>
        </w:rPr>
      </w:pPr>
      <w:r>
        <w:rPr>
          <w:rFonts w:ascii="Calibri" w:hAnsi="Calibri" w:eastAsia="Calibri" w:cs="Calibri"/>
          <w:spacing w:val="0"/>
          <w:kern w:val="0"/>
          <w:szCs w:val="21"/>
        </w:rPr>
        <w:t> </w:t>
      </w:r>
    </w:p>
    <w:p w14:paraId="37AB6F97">
      <w:pPr>
        <w:pStyle w:val="31"/>
        <w:widowControl/>
        <w:spacing w:before="100" w:after="100" w:line="600" w:lineRule="atLeast"/>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049CB997">
      <w:pPr>
        <w:pStyle w:val="31"/>
        <w:widowControl/>
        <w:spacing w:before="100" w:after="100" w:line="600" w:lineRule="atLeast"/>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3F7705BC">
      <w:pPr>
        <w:pStyle w:val="31"/>
        <w:widowControl/>
        <w:spacing w:before="100" w:after="100" w:line="600" w:lineRule="atLeast"/>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39732F72">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14:paraId="55083C10">
      <w:pPr>
        <w:pStyle w:val="30"/>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08A8E9AC">
      <w:pPr>
        <w:pStyle w:val="30"/>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3EE68F7C">
      <w:pPr>
        <w:pStyle w:val="30"/>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425425CA">
      <w:pPr>
        <w:pStyle w:val="30"/>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152DC8C2">
      <w:pPr>
        <w:pStyle w:val="30"/>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03AAD58A">
      <w:pPr>
        <w:pStyle w:val="30"/>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594EF586">
      <w:pPr>
        <w:pStyle w:val="30"/>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14:paraId="5DF8D2F3">
      <w:pPr>
        <w:pStyle w:val="30"/>
        <w:widowControl/>
        <w:spacing w:before="100" w:after="100"/>
        <w:ind w:left="0" w:right="0" w:firstLine="0"/>
        <w:jc w:val="left"/>
        <w:outlineLvl w:val="0"/>
        <w:rPr>
          <w:rFonts w:ascii="Times New Roman" w:hAnsi="Times New Roman" w:eastAsia="Times New Roman" w:cs="Times New Roman"/>
          <w:kern w:val="0"/>
          <w:sz w:val="24"/>
        </w:rPr>
      </w:pPr>
      <w:bookmarkStart w:id="15" w:name="_Toc20386"/>
      <w:r>
        <w:rPr>
          <w:rFonts w:ascii="黑体" w:hAnsi="黑体" w:eastAsia="黑体" w:cs="黑体"/>
          <w:spacing w:val="0"/>
          <w:kern w:val="0"/>
          <w:sz w:val="56"/>
          <w:szCs w:val="56"/>
        </w:rPr>
        <w:t>第三部分</w:t>
      </w:r>
      <w:r>
        <w:rPr>
          <w:rFonts w:ascii="宋体" w:hAnsi="宋体" w:cs="宋体"/>
          <w:spacing w:val="0"/>
          <w:kern w:val="0"/>
          <w:sz w:val="56"/>
          <w:szCs w:val="56"/>
        </w:rPr>
        <w:t> </w:t>
      </w:r>
      <w:bookmarkEnd w:id="15"/>
    </w:p>
    <w:p w14:paraId="17040F4E">
      <w:pPr>
        <w:pStyle w:val="31"/>
        <w:widowControl/>
        <w:spacing w:before="100" w:after="100" w:line="600" w:lineRule="atLeast"/>
        <w:ind w:left="0" w:right="0" w:firstLine="0"/>
        <w:jc w:val="center"/>
        <w:rPr>
          <w:rFonts w:ascii="Times New Roman" w:hAnsi="Times New Roman" w:eastAsia="Times New Roman" w:cs="Times New Roman"/>
          <w:kern w:val="0"/>
          <w:sz w:val="24"/>
        </w:rPr>
      </w:pPr>
      <w:r>
        <w:rPr>
          <w:rFonts w:ascii="黑体" w:hAnsi="黑体" w:eastAsia="黑体" w:cs="黑体"/>
          <w:spacing w:val="0"/>
          <w:kern w:val="0"/>
          <w:sz w:val="56"/>
          <w:szCs w:val="56"/>
        </w:rPr>
        <w:t>2023年度部门决算情况说明</w:t>
      </w:r>
    </w:p>
    <w:p w14:paraId="54F07EB8">
      <w:pPr>
        <w:pStyle w:val="31"/>
        <w:widowControl/>
        <w:spacing w:before="100" w:after="100" w:line="600" w:lineRule="atLeast"/>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14:paraId="31379463">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14:paraId="41FB2E51">
      <w:pPr>
        <w:pStyle w:val="31"/>
        <w:widowControl/>
        <w:spacing w:before="100" w:after="100" w:line="600" w:lineRule="atLeast"/>
        <w:ind w:left="0" w:right="0" w:firstLine="640"/>
        <w:jc w:val="left"/>
        <w:outlineLvl w:val="1"/>
        <w:rPr>
          <w:rFonts w:ascii="Times New Roman" w:hAnsi="Times New Roman" w:eastAsia="Times New Roman" w:cs="Times New Roman"/>
          <w:kern w:val="0"/>
          <w:sz w:val="24"/>
        </w:rPr>
      </w:pPr>
      <w:bookmarkStart w:id="16" w:name="_Toc8591"/>
      <w:r>
        <w:rPr>
          <w:rFonts w:ascii="黑体" w:hAnsi="黑体" w:eastAsia="黑体" w:cs="黑体"/>
          <w:spacing w:val="0"/>
          <w:kern w:val="0"/>
          <w:sz w:val="32"/>
          <w:szCs w:val="32"/>
        </w:rPr>
        <w:t>一、收入支出决算总体情况说明</w:t>
      </w:r>
      <w:bookmarkEnd w:id="16"/>
    </w:p>
    <w:p w14:paraId="5B52CFAC">
      <w:pPr>
        <w:pStyle w:val="31"/>
        <w:widowControl/>
        <w:spacing w:before="100" w:after="100" w:line="600" w:lineRule="atLeast"/>
        <w:ind w:left="0" w:right="0" w:firstLine="640"/>
        <w:jc w:val="left"/>
        <w:outlineLvl w:val="2"/>
        <w:rPr>
          <w:rFonts w:ascii="Times New Roman" w:hAnsi="Times New Roman" w:eastAsia="Times New Roman" w:cs="Times New Roman"/>
          <w:kern w:val="0"/>
          <w:sz w:val="24"/>
        </w:rPr>
      </w:pPr>
      <w:r>
        <w:rPr>
          <w:rFonts w:ascii="楷体_GB2312" w:hAnsi="楷体_GB2312" w:eastAsia="楷体_GB2312" w:cs="楷体_GB2312"/>
          <w:spacing w:val="0"/>
          <w:kern w:val="0"/>
          <w:sz w:val="32"/>
          <w:szCs w:val="32"/>
        </w:rPr>
        <w:t>（一）收入支出决算总体情况说明</w:t>
      </w:r>
    </w:p>
    <w:p w14:paraId="135580CB">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2023年度本部门收入总计1,532.94万元，支出总计1,532.94万元，与上年决算数相比，各增加582.29万元，增长61.25%。主要是</w:t>
      </w:r>
      <w:r>
        <w:rPr>
          <w:rFonts w:hint="eastAsia" w:ascii="仿宋" w:hAnsi="仿宋" w:eastAsia="仿宋" w:cs="仿宋"/>
          <w:spacing w:val="0"/>
          <w:kern w:val="0"/>
          <w:sz w:val="32"/>
          <w:szCs w:val="32"/>
          <w:lang w:eastAsia="zh-CN"/>
        </w:rPr>
        <w:t>人员增加</w:t>
      </w:r>
      <w:r>
        <w:rPr>
          <w:rFonts w:ascii="仿宋" w:hAnsi="仿宋" w:eastAsia="仿宋" w:cs="仿宋"/>
          <w:spacing w:val="0"/>
          <w:kern w:val="0"/>
          <w:sz w:val="32"/>
          <w:szCs w:val="32"/>
        </w:rPr>
        <w:t>。</w:t>
      </w:r>
    </w:p>
    <w:p w14:paraId="0C241E17">
      <w:pPr>
        <w:pStyle w:val="31"/>
        <w:widowControl/>
        <w:spacing w:before="100" w:after="100" w:line="600" w:lineRule="atLeast"/>
        <w:ind w:left="0" w:right="0" w:firstLine="640"/>
        <w:jc w:val="left"/>
        <w:outlineLvl w:val="2"/>
        <w:rPr>
          <w:rFonts w:ascii="Times New Roman" w:hAnsi="Times New Roman" w:eastAsia="Times New Roman" w:cs="Times New Roman"/>
          <w:kern w:val="0"/>
          <w:sz w:val="24"/>
        </w:rPr>
      </w:pPr>
      <w:r>
        <w:rPr>
          <w:rFonts w:ascii="楷体_GB2312" w:hAnsi="楷体_GB2312" w:eastAsia="楷体_GB2312" w:cs="楷体_GB2312"/>
          <w:spacing w:val="0"/>
          <w:kern w:val="0"/>
          <w:sz w:val="32"/>
          <w:szCs w:val="32"/>
        </w:rPr>
        <w:t>（二）收入决算情况说明</w:t>
      </w:r>
    </w:p>
    <w:p w14:paraId="3B18F57B">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2023年度收入1,532.21万元，比上年决算数增加582.29万元，增长61.30％，具体情况如下：</w:t>
      </w:r>
    </w:p>
    <w:p w14:paraId="23F236F9">
      <w:pPr>
        <w:pStyle w:val="31"/>
        <w:widowControl/>
        <w:spacing w:before="100" w:after="100" w:line="600" w:lineRule="atLeast"/>
        <w:ind w:left="160" w:right="0" w:firstLine="480"/>
        <w:jc w:val="left"/>
        <w:rPr>
          <w:rFonts w:ascii="Times New Roman" w:hAnsi="Times New Roman" w:eastAsia="Times New Roman" w:cs="Times New Roman"/>
          <w:kern w:val="0"/>
          <w:sz w:val="24"/>
        </w:rPr>
      </w:pPr>
      <w:r>
        <w:rPr>
          <w:rFonts w:ascii="仿宋" w:hAnsi="仿宋" w:eastAsia="仿宋" w:cs="仿宋"/>
          <w:spacing w:val="0"/>
          <w:kern w:val="0"/>
          <w:sz w:val="32"/>
          <w:szCs w:val="32"/>
        </w:rPr>
        <w:t>1.一般公共预算财政拨款收入1,532.21万元。</w:t>
      </w:r>
    </w:p>
    <w:p w14:paraId="03761B95">
      <w:pPr>
        <w:pStyle w:val="31"/>
        <w:widowControl/>
        <w:spacing w:before="100" w:after="100" w:line="600" w:lineRule="atLeast"/>
        <w:ind w:left="160" w:right="0" w:firstLine="480"/>
        <w:jc w:val="left"/>
        <w:rPr>
          <w:rFonts w:ascii="Times New Roman" w:hAnsi="Times New Roman" w:eastAsia="Times New Roman" w:cs="Times New Roman"/>
          <w:kern w:val="0"/>
          <w:sz w:val="24"/>
        </w:rPr>
      </w:pPr>
      <w:r>
        <w:rPr>
          <w:rFonts w:ascii="仿宋" w:hAnsi="仿宋" w:eastAsia="仿宋" w:cs="仿宋"/>
          <w:spacing w:val="0"/>
          <w:kern w:val="0"/>
          <w:sz w:val="32"/>
          <w:szCs w:val="32"/>
        </w:rPr>
        <w:t>2.政府性基金预算财政拨款收入0.00万元。</w:t>
      </w:r>
    </w:p>
    <w:p w14:paraId="0E9D35F3">
      <w:pPr>
        <w:pStyle w:val="31"/>
        <w:widowControl/>
        <w:spacing w:before="100" w:after="100" w:line="600" w:lineRule="atLeast"/>
        <w:ind w:left="160" w:right="0" w:firstLine="480"/>
        <w:jc w:val="left"/>
        <w:rPr>
          <w:rFonts w:ascii="Times New Roman" w:hAnsi="Times New Roman" w:eastAsia="Times New Roman" w:cs="Times New Roman"/>
          <w:kern w:val="0"/>
          <w:sz w:val="24"/>
        </w:rPr>
      </w:pPr>
      <w:r>
        <w:rPr>
          <w:rFonts w:ascii="仿宋" w:hAnsi="仿宋" w:eastAsia="仿宋" w:cs="仿宋"/>
          <w:spacing w:val="0"/>
          <w:kern w:val="0"/>
          <w:sz w:val="32"/>
          <w:szCs w:val="32"/>
        </w:rPr>
        <w:t>3.国有资本经营预算财政拨款收入0.00万元。</w:t>
      </w:r>
    </w:p>
    <w:p w14:paraId="61AA87A4">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4.上级补助收入0.00万元。</w:t>
      </w:r>
    </w:p>
    <w:p w14:paraId="572A471B">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5.事业收入0.00万元。</w:t>
      </w:r>
    </w:p>
    <w:p w14:paraId="523DBCDB">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6.经营收入0.00万元。</w:t>
      </w:r>
    </w:p>
    <w:p w14:paraId="2367F24B">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7.附属单位上缴收入0.00万元。</w:t>
      </w:r>
    </w:p>
    <w:p w14:paraId="05D4573D">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8.其他收入0.00万元。</w:t>
      </w:r>
    </w:p>
    <w:p w14:paraId="0F9EBD7D">
      <w:pPr>
        <w:pStyle w:val="31"/>
        <w:widowControl/>
        <w:spacing w:before="100" w:after="100" w:line="600" w:lineRule="atLeast"/>
        <w:ind w:left="0" w:right="0" w:firstLine="640"/>
        <w:jc w:val="left"/>
        <w:outlineLvl w:val="2"/>
        <w:rPr>
          <w:rFonts w:ascii="Times New Roman" w:hAnsi="Times New Roman" w:eastAsia="Times New Roman" w:cs="Times New Roman"/>
          <w:kern w:val="0"/>
          <w:sz w:val="24"/>
        </w:rPr>
      </w:pPr>
      <w:r>
        <w:rPr>
          <w:rFonts w:ascii="楷体_GB2312" w:hAnsi="楷体_GB2312" w:eastAsia="楷体_GB2312" w:cs="楷体_GB2312"/>
          <w:spacing w:val="0"/>
          <w:kern w:val="0"/>
          <w:sz w:val="32"/>
          <w:szCs w:val="32"/>
        </w:rPr>
        <w:t>（三）支出决算情况说明</w:t>
      </w:r>
    </w:p>
    <w:p w14:paraId="0E4047FE">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2023年度支出1,532.21万元，比上年决算数增加582.29万元，增长61.30％，具体情况如下：</w:t>
      </w:r>
    </w:p>
    <w:p w14:paraId="5AEE9F3F">
      <w:pPr>
        <w:pStyle w:val="31"/>
        <w:widowControl/>
        <w:spacing w:before="100" w:after="100" w:line="600" w:lineRule="atLeast"/>
        <w:ind w:left="237" w:right="0" w:firstLine="480"/>
        <w:jc w:val="left"/>
        <w:rPr>
          <w:rFonts w:ascii="Times New Roman" w:hAnsi="Times New Roman" w:eastAsia="Times New Roman" w:cs="Times New Roman"/>
          <w:kern w:val="0"/>
          <w:sz w:val="24"/>
        </w:rPr>
      </w:pPr>
      <w:r>
        <w:rPr>
          <w:rFonts w:ascii="仿宋" w:hAnsi="仿宋" w:eastAsia="仿宋" w:cs="仿宋"/>
          <w:spacing w:val="0"/>
          <w:kern w:val="0"/>
          <w:sz w:val="32"/>
          <w:szCs w:val="32"/>
        </w:rPr>
        <w:t>1.基本支出1,032.04万元。其中，人员支出824.67万元，公用支出207.36万元。</w:t>
      </w:r>
    </w:p>
    <w:p w14:paraId="6D03087C">
      <w:pPr>
        <w:pStyle w:val="31"/>
        <w:widowControl/>
        <w:spacing w:before="100" w:after="100" w:line="600" w:lineRule="atLeast"/>
        <w:ind w:left="716"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2.项目支出500.17万元。</w:t>
      </w:r>
    </w:p>
    <w:p w14:paraId="04BB224A">
      <w:pPr>
        <w:pStyle w:val="31"/>
        <w:widowControl/>
        <w:spacing w:before="100" w:after="100" w:line="600" w:lineRule="atLeast"/>
        <w:ind w:left="716"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3.上缴上级支出0.00万元。</w:t>
      </w:r>
    </w:p>
    <w:p w14:paraId="10FB24F6">
      <w:pPr>
        <w:pStyle w:val="31"/>
        <w:widowControl/>
        <w:spacing w:before="100" w:after="100" w:line="600" w:lineRule="atLeast"/>
        <w:ind w:left="716"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4.经营支出0.00万元。</w:t>
      </w:r>
    </w:p>
    <w:p w14:paraId="1FEC1A72">
      <w:pPr>
        <w:pStyle w:val="31"/>
        <w:widowControl/>
        <w:spacing w:before="100" w:after="100" w:line="600" w:lineRule="atLeast"/>
        <w:ind w:left="716"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5.对附属单位补助支出0.00万元。</w:t>
      </w:r>
    </w:p>
    <w:p w14:paraId="291FF3E6">
      <w:pPr>
        <w:pStyle w:val="31"/>
        <w:widowControl/>
        <w:spacing w:before="100" w:after="100"/>
        <w:ind w:left="0" w:right="0" w:firstLine="480"/>
        <w:jc w:val="left"/>
        <w:outlineLvl w:val="1"/>
        <w:rPr>
          <w:rFonts w:ascii="Times New Roman" w:hAnsi="Times New Roman" w:eastAsia="Times New Roman" w:cs="Times New Roman"/>
          <w:kern w:val="0"/>
          <w:sz w:val="24"/>
        </w:rPr>
      </w:pPr>
      <w:bookmarkStart w:id="17" w:name="_Toc30717"/>
      <w:r>
        <w:rPr>
          <w:rFonts w:ascii="黑体" w:hAnsi="黑体" w:eastAsia="黑体" w:cs="黑体"/>
          <w:spacing w:val="0"/>
          <w:kern w:val="0"/>
          <w:sz w:val="32"/>
          <w:szCs w:val="32"/>
        </w:rPr>
        <w:t>二、财政拨款收入支出决算总体情况说明</w:t>
      </w:r>
      <w:bookmarkEnd w:id="17"/>
    </w:p>
    <w:p w14:paraId="25BAEBE8">
      <w:pPr>
        <w:pStyle w:val="31"/>
        <w:widowControl/>
        <w:spacing w:before="100" w:after="100"/>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2023年度财政拨款收入总计1,532.50万元，支出总计1,532.50万元，与上年决算数相比，各增加582.29万元，增长61.28%，主要是：</w:t>
      </w:r>
      <w:r>
        <w:rPr>
          <w:rFonts w:hint="eastAsia" w:ascii="仿宋" w:hAnsi="仿宋" w:eastAsia="仿宋" w:cs="仿宋"/>
          <w:spacing w:val="0"/>
          <w:kern w:val="0"/>
          <w:sz w:val="32"/>
          <w:szCs w:val="32"/>
          <w:lang w:eastAsia="zh-CN"/>
        </w:rPr>
        <w:t>人员增加</w:t>
      </w:r>
      <w:r>
        <w:rPr>
          <w:rFonts w:ascii="仿宋" w:hAnsi="仿宋" w:eastAsia="仿宋" w:cs="仿宋"/>
          <w:spacing w:val="0"/>
          <w:kern w:val="0"/>
          <w:sz w:val="32"/>
          <w:szCs w:val="32"/>
        </w:rPr>
        <w:t>。</w:t>
      </w:r>
    </w:p>
    <w:p w14:paraId="30A09A6D">
      <w:pPr>
        <w:pStyle w:val="31"/>
        <w:widowControl/>
        <w:spacing w:before="100" w:after="100" w:line="600" w:lineRule="atLeast"/>
        <w:ind w:left="0" w:right="0" w:firstLine="640"/>
        <w:jc w:val="left"/>
        <w:outlineLvl w:val="1"/>
        <w:rPr>
          <w:rFonts w:ascii="Times New Roman" w:hAnsi="Times New Roman" w:eastAsia="Times New Roman" w:cs="Times New Roman"/>
          <w:kern w:val="0"/>
          <w:sz w:val="24"/>
        </w:rPr>
      </w:pPr>
      <w:bookmarkStart w:id="18" w:name="_Toc15937"/>
      <w:r>
        <w:rPr>
          <w:rFonts w:ascii="黑体" w:hAnsi="黑体" w:eastAsia="黑体" w:cs="黑体"/>
          <w:spacing w:val="0"/>
          <w:kern w:val="0"/>
          <w:sz w:val="32"/>
          <w:szCs w:val="32"/>
        </w:rPr>
        <w:t>三、一般公共预算财政拨款支出决算情况说明</w:t>
      </w:r>
      <w:bookmarkEnd w:id="18"/>
    </w:p>
    <w:p w14:paraId="4E5DAAE9">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2023年一般公共预算支出1,532.21万元，比上年决算数增加（减少）582.29万元，增长61.30%，具体情况如下(按项级科目分类统计)：</w:t>
      </w:r>
    </w:p>
    <w:p w14:paraId="033046A9">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（一）</w:t>
      </w:r>
      <w:r>
        <w:rPr>
          <w:rFonts w:hint="eastAsia" w:ascii="仿宋" w:hAnsi="仿宋" w:eastAsia="仿宋" w:cs="仿宋"/>
          <w:spacing w:val="0"/>
          <w:kern w:val="0"/>
          <w:sz w:val="32"/>
          <w:szCs w:val="32"/>
          <w:lang w:val="en-US" w:eastAsia="zh-CN"/>
        </w:rPr>
        <w:t>201</w:t>
      </w:r>
      <w:r>
        <w:rPr>
          <w:rFonts w:ascii="仿宋" w:hAnsi="仿宋" w:eastAsia="仿宋" w:cs="仿宋"/>
          <w:spacing w:val="0"/>
          <w:kern w:val="0"/>
          <w:sz w:val="32"/>
          <w:szCs w:val="32"/>
        </w:rPr>
        <w:t>-</w:t>
      </w:r>
      <w:r>
        <w:rPr>
          <w:rFonts w:hint="eastAsia" w:ascii="仿宋" w:hAnsi="仿宋" w:eastAsia="仿宋" w:cs="仿宋"/>
          <w:spacing w:val="0"/>
          <w:kern w:val="0"/>
          <w:sz w:val="32"/>
          <w:szCs w:val="32"/>
          <w:lang w:eastAsia="zh-CN"/>
        </w:rPr>
        <w:t>一般公务服务支出</w:t>
      </w:r>
      <w:r>
        <w:rPr>
          <w:rFonts w:hint="eastAsia" w:ascii="仿宋" w:hAnsi="仿宋" w:eastAsia="仿宋" w:cs="仿宋"/>
          <w:spacing w:val="0"/>
          <w:kern w:val="0"/>
          <w:sz w:val="32"/>
          <w:szCs w:val="32"/>
          <w:lang w:val="en-US" w:eastAsia="zh-CN"/>
        </w:rPr>
        <w:t>876.45</w:t>
      </w:r>
      <w:r>
        <w:rPr>
          <w:rFonts w:ascii="仿宋" w:hAnsi="仿宋" w:eastAsia="仿宋" w:cs="仿宋"/>
          <w:spacing w:val="0"/>
          <w:kern w:val="0"/>
          <w:sz w:val="32"/>
          <w:szCs w:val="32"/>
        </w:rPr>
        <w:t>万元，较上年决算数增加</w:t>
      </w:r>
      <w:r>
        <w:rPr>
          <w:rFonts w:hint="eastAsia" w:ascii="仿宋" w:hAnsi="仿宋" w:eastAsia="仿宋" w:cs="仿宋"/>
          <w:spacing w:val="0"/>
          <w:kern w:val="0"/>
          <w:sz w:val="32"/>
          <w:szCs w:val="32"/>
          <w:lang w:val="en-US" w:eastAsia="zh-CN"/>
        </w:rPr>
        <w:t>229.99</w:t>
      </w:r>
      <w:r>
        <w:rPr>
          <w:rFonts w:ascii="仿宋" w:hAnsi="仿宋" w:eastAsia="仿宋" w:cs="仿宋"/>
          <w:spacing w:val="0"/>
          <w:kern w:val="0"/>
          <w:sz w:val="32"/>
          <w:szCs w:val="32"/>
        </w:rPr>
        <w:t>万元，增长</w:t>
      </w:r>
      <w:r>
        <w:rPr>
          <w:rFonts w:hint="eastAsia" w:ascii="仿宋" w:hAnsi="仿宋" w:eastAsia="仿宋" w:cs="仿宋"/>
          <w:spacing w:val="0"/>
          <w:kern w:val="0"/>
          <w:sz w:val="32"/>
          <w:szCs w:val="32"/>
          <w:lang w:val="en-US" w:eastAsia="zh-CN"/>
        </w:rPr>
        <w:t>35.6</w:t>
      </w:r>
      <w:r>
        <w:rPr>
          <w:rFonts w:ascii="仿宋" w:hAnsi="仿宋" w:eastAsia="仿宋" w:cs="仿宋"/>
          <w:spacing w:val="0"/>
          <w:kern w:val="0"/>
          <w:sz w:val="32"/>
          <w:szCs w:val="32"/>
        </w:rPr>
        <w:t>%。主要原因是</w:t>
      </w:r>
      <w:r>
        <w:rPr>
          <w:rFonts w:hint="eastAsia" w:ascii="仿宋" w:hAnsi="仿宋" w:eastAsia="仿宋" w:cs="仿宋"/>
          <w:spacing w:val="0"/>
          <w:kern w:val="0"/>
          <w:sz w:val="32"/>
          <w:szCs w:val="32"/>
          <w:lang w:eastAsia="zh-CN"/>
        </w:rPr>
        <w:t>人员增加</w:t>
      </w:r>
      <w:r>
        <w:rPr>
          <w:rFonts w:ascii="仿宋" w:hAnsi="仿宋" w:eastAsia="仿宋" w:cs="仿宋"/>
          <w:spacing w:val="0"/>
          <w:kern w:val="0"/>
          <w:sz w:val="32"/>
          <w:szCs w:val="32"/>
        </w:rPr>
        <w:t>。</w:t>
      </w:r>
    </w:p>
    <w:p w14:paraId="30295B92">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（二）</w:t>
      </w:r>
      <w:r>
        <w:rPr>
          <w:rFonts w:hint="eastAsia" w:ascii="仿宋" w:hAnsi="仿宋" w:eastAsia="仿宋" w:cs="仿宋"/>
          <w:spacing w:val="0"/>
          <w:kern w:val="0"/>
          <w:sz w:val="32"/>
          <w:szCs w:val="32"/>
          <w:lang w:val="en-US" w:eastAsia="zh-CN"/>
        </w:rPr>
        <w:t>211</w:t>
      </w:r>
      <w:r>
        <w:rPr>
          <w:rFonts w:ascii="仿宋" w:hAnsi="仿宋" w:eastAsia="仿宋" w:cs="仿宋"/>
          <w:spacing w:val="0"/>
          <w:kern w:val="0"/>
          <w:sz w:val="32"/>
          <w:szCs w:val="32"/>
        </w:rPr>
        <w:t>-</w:t>
      </w:r>
      <w:r>
        <w:rPr>
          <w:rFonts w:hint="eastAsia" w:ascii="仿宋" w:hAnsi="仿宋" w:eastAsia="仿宋" w:cs="仿宋"/>
          <w:spacing w:val="0"/>
          <w:kern w:val="0"/>
          <w:sz w:val="32"/>
          <w:szCs w:val="32"/>
          <w:lang w:eastAsia="zh-CN"/>
        </w:rPr>
        <w:t>节能环保支出</w:t>
      </w:r>
      <w:r>
        <w:rPr>
          <w:rFonts w:hint="eastAsia" w:ascii="仿宋" w:hAnsi="仿宋" w:eastAsia="仿宋" w:cs="仿宋"/>
          <w:spacing w:val="0"/>
          <w:kern w:val="0"/>
          <w:sz w:val="32"/>
          <w:szCs w:val="32"/>
          <w:lang w:val="en-US" w:eastAsia="zh-CN"/>
        </w:rPr>
        <w:t>390.17</w:t>
      </w:r>
      <w:r>
        <w:rPr>
          <w:rFonts w:ascii="仿宋" w:hAnsi="仿宋" w:eastAsia="仿宋" w:cs="仿宋"/>
          <w:spacing w:val="0"/>
          <w:kern w:val="0"/>
          <w:sz w:val="32"/>
          <w:szCs w:val="32"/>
        </w:rPr>
        <w:t>万元，较上年决算数增加</w:t>
      </w:r>
      <w:r>
        <w:rPr>
          <w:rFonts w:hint="eastAsia" w:ascii="仿宋" w:hAnsi="仿宋" w:eastAsia="仿宋" w:cs="仿宋"/>
          <w:spacing w:val="0"/>
          <w:kern w:val="0"/>
          <w:sz w:val="32"/>
          <w:szCs w:val="32"/>
          <w:lang w:val="en-US" w:eastAsia="zh-CN"/>
        </w:rPr>
        <w:t>390.17</w:t>
      </w:r>
      <w:r>
        <w:rPr>
          <w:rFonts w:ascii="仿宋" w:hAnsi="仿宋" w:eastAsia="仿宋" w:cs="仿宋"/>
          <w:spacing w:val="0"/>
          <w:kern w:val="0"/>
          <w:sz w:val="32"/>
          <w:szCs w:val="32"/>
        </w:rPr>
        <w:t>万元，增长</w:t>
      </w:r>
      <w:r>
        <w:rPr>
          <w:rFonts w:hint="eastAsia" w:ascii="仿宋" w:hAnsi="仿宋" w:eastAsia="仿宋" w:cs="仿宋"/>
          <w:spacing w:val="0"/>
          <w:kern w:val="0"/>
          <w:sz w:val="32"/>
          <w:szCs w:val="32"/>
          <w:lang w:val="en-US" w:eastAsia="zh-CN"/>
        </w:rPr>
        <w:t>100</w:t>
      </w:r>
      <w:r>
        <w:rPr>
          <w:rFonts w:ascii="仿宋" w:hAnsi="仿宋" w:eastAsia="仿宋" w:cs="仿宋"/>
          <w:spacing w:val="0"/>
          <w:kern w:val="0"/>
          <w:sz w:val="32"/>
          <w:szCs w:val="32"/>
        </w:rPr>
        <w:t>%。主要原因是</w:t>
      </w:r>
      <w:r>
        <w:rPr>
          <w:rFonts w:hint="eastAsia" w:ascii="仿宋" w:hAnsi="仿宋" w:eastAsia="仿宋" w:cs="仿宋"/>
          <w:spacing w:val="0"/>
          <w:kern w:val="0"/>
          <w:sz w:val="32"/>
          <w:szCs w:val="32"/>
          <w:lang w:eastAsia="zh-CN"/>
        </w:rPr>
        <w:t>科目分类变动</w:t>
      </w:r>
      <w:r>
        <w:rPr>
          <w:rFonts w:ascii="仿宋" w:hAnsi="仿宋" w:eastAsia="仿宋" w:cs="仿宋"/>
          <w:spacing w:val="0"/>
          <w:kern w:val="0"/>
          <w:sz w:val="32"/>
          <w:szCs w:val="32"/>
        </w:rPr>
        <w:t>。</w:t>
      </w:r>
    </w:p>
    <w:p w14:paraId="1C9AFE54">
      <w:pPr>
        <w:pStyle w:val="31"/>
        <w:widowControl/>
        <w:spacing w:before="100" w:after="100" w:line="600" w:lineRule="atLeast"/>
        <w:ind w:left="0" w:right="0" w:firstLine="640"/>
        <w:jc w:val="left"/>
        <w:rPr>
          <w:rFonts w:ascii="仿宋" w:hAnsi="仿宋" w:eastAsia="仿宋" w:cs="仿宋"/>
          <w:spacing w:val="0"/>
          <w:kern w:val="0"/>
          <w:sz w:val="32"/>
          <w:szCs w:val="32"/>
        </w:rPr>
      </w:pPr>
      <w:r>
        <w:rPr>
          <w:rFonts w:ascii="仿宋" w:hAnsi="仿宋" w:eastAsia="仿宋" w:cs="仿宋"/>
          <w:spacing w:val="0"/>
          <w:kern w:val="0"/>
          <w:sz w:val="32"/>
          <w:szCs w:val="32"/>
        </w:rPr>
        <w:t>（三）</w:t>
      </w:r>
      <w:r>
        <w:rPr>
          <w:rFonts w:hint="eastAsia" w:ascii="仿宋" w:hAnsi="仿宋" w:eastAsia="仿宋" w:cs="仿宋"/>
          <w:spacing w:val="0"/>
          <w:kern w:val="0"/>
          <w:sz w:val="32"/>
          <w:szCs w:val="32"/>
          <w:lang w:val="en-US" w:eastAsia="zh-CN"/>
        </w:rPr>
        <w:t>212</w:t>
      </w:r>
      <w:r>
        <w:rPr>
          <w:rFonts w:ascii="仿宋" w:hAnsi="仿宋" w:eastAsia="仿宋" w:cs="仿宋"/>
          <w:spacing w:val="0"/>
          <w:kern w:val="0"/>
          <w:sz w:val="32"/>
          <w:szCs w:val="32"/>
        </w:rPr>
        <w:t>-</w:t>
      </w:r>
      <w:r>
        <w:rPr>
          <w:rFonts w:hint="eastAsia" w:ascii="仿宋" w:hAnsi="仿宋" w:eastAsia="仿宋" w:cs="仿宋"/>
          <w:spacing w:val="0"/>
          <w:kern w:val="0"/>
          <w:sz w:val="32"/>
          <w:szCs w:val="32"/>
          <w:lang w:eastAsia="zh-CN"/>
        </w:rPr>
        <w:t>城乡社区支出</w:t>
      </w:r>
      <w:r>
        <w:rPr>
          <w:rFonts w:hint="eastAsia" w:ascii="仿宋" w:hAnsi="仿宋" w:eastAsia="仿宋" w:cs="仿宋"/>
          <w:spacing w:val="0"/>
          <w:kern w:val="0"/>
          <w:sz w:val="32"/>
          <w:szCs w:val="32"/>
          <w:lang w:val="en-US" w:eastAsia="zh-CN"/>
        </w:rPr>
        <w:t>110</w:t>
      </w:r>
      <w:r>
        <w:rPr>
          <w:rFonts w:ascii="仿宋" w:hAnsi="仿宋" w:eastAsia="仿宋" w:cs="仿宋"/>
          <w:spacing w:val="0"/>
          <w:kern w:val="0"/>
          <w:sz w:val="32"/>
          <w:szCs w:val="32"/>
        </w:rPr>
        <w:t>万元，较上年决算数增加</w:t>
      </w:r>
      <w:r>
        <w:rPr>
          <w:rFonts w:hint="eastAsia" w:ascii="仿宋" w:hAnsi="仿宋" w:eastAsia="仿宋" w:cs="仿宋"/>
          <w:spacing w:val="0"/>
          <w:kern w:val="0"/>
          <w:sz w:val="32"/>
          <w:szCs w:val="32"/>
          <w:lang w:val="en-US" w:eastAsia="zh-CN"/>
        </w:rPr>
        <w:t>100</w:t>
      </w:r>
      <w:r>
        <w:rPr>
          <w:rFonts w:ascii="仿宋" w:hAnsi="仿宋" w:eastAsia="仿宋" w:cs="仿宋"/>
          <w:spacing w:val="0"/>
          <w:kern w:val="0"/>
          <w:sz w:val="32"/>
          <w:szCs w:val="32"/>
        </w:rPr>
        <w:t>万元，增长</w:t>
      </w:r>
      <w:r>
        <w:rPr>
          <w:rFonts w:hint="eastAsia" w:ascii="仿宋" w:hAnsi="仿宋" w:eastAsia="仿宋" w:cs="仿宋"/>
          <w:spacing w:val="0"/>
          <w:kern w:val="0"/>
          <w:sz w:val="32"/>
          <w:szCs w:val="32"/>
          <w:lang w:val="en-US" w:eastAsia="zh-CN"/>
        </w:rPr>
        <w:t>100</w:t>
      </w:r>
      <w:r>
        <w:rPr>
          <w:rFonts w:ascii="仿宋" w:hAnsi="仿宋" w:eastAsia="仿宋" w:cs="仿宋"/>
          <w:spacing w:val="0"/>
          <w:kern w:val="0"/>
          <w:sz w:val="32"/>
          <w:szCs w:val="32"/>
        </w:rPr>
        <w:t>%。主要原因是</w:t>
      </w:r>
      <w:r>
        <w:rPr>
          <w:rFonts w:hint="eastAsia" w:ascii="仿宋" w:hAnsi="仿宋" w:eastAsia="仿宋" w:cs="仿宋"/>
          <w:spacing w:val="0"/>
          <w:kern w:val="0"/>
          <w:sz w:val="32"/>
          <w:szCs w:val="32"/>
          <w:lang w:eastAsia="zh-CN"/>
        </w:rPr>
        <w:t>科目分类变动</w:t>
      </w:r>
      <w:r>
        <w:rPr>
          <w:rFonts w:ascii="仿宋" w:hAnsi="仿宋" w:eastAsia="仿宋" w:cs="仿宋"/>
          <w:spacing w:val="0"/>
          <w:kern w:val="0"/>
          <w:sz w:val="32"/>
          <w:szCs w:val="32"/>
        </w:rPr>
        <w:t>。</w:t>
      </w:r>
    </w:p>
    <w:p w14:paraId="49ADCE59">
      <w:pPr>
        <w:pStyle w:val="31"/>
        <w:widowControl/>
        <w:spacing w:before="100" w:after="100" w:line="600" w:lineRule="atLeast"/>
        <w:ind w:left="0" w:right="0" w:firstLine="640"/>
        <w:jc w:val="left"/>
        <w:rPr>
          <w:rFonts w:ascii="仿宋" w:hAnsi="仿宋" w:eastAsia="仿宋" w:cs="仿宋"/>
          <w:spacing w:val="0"/>
          <w:kern w:val="0"/>
          <w:sz w:val="32"/>
          <w:szCs w:val="32"/>
        </w:rPr>
      </w:pPr>
      <w:r>
        <w:rPr>
          <w:rFonts w:ascii="仿宋" w:hAnsi="仿宋" w:eastAsia="仿宋" w:cs="仿宋"/>
          <w:spacing w:val="0"/>
          <w:kern w:val="0"/>
          <w:sz w:val="32"/>
          <w:szCs w:val="32"/>
        </w:rPr>
        <w:t>（</w:t>
      </w:r>
      <w:r>
        <w:rPr>
          <w:rFonts w:hint="eastAsia" w:ascii="仿宋" w:hAnsi="仿宋" w:eastAsia="仿宋" w:cs="仿宋"/>
          <w:spacing w:val="0"/>
          <w:kern w:val="0"/>
          <w:sz w:val="32"/>
          <w:szCs w:val="32"/>
          <w:lang w:eastAsia="zh-CN"/>
        </w:rPr>
        <w:t>四</w:t>
      </w:r>
      <w:r>
        <w:rPr>
          <w:rFonts w:ascii="仿宋" w:hAnsi="仿宋" w:eastAsia="仿宋" w:cs="仿宋"/>
          <w:spacing w:val="0"/>
          <w:kern w:val="0"/>
          <w:sz w:val="32"/>
          <w:szCs w:val="32"/>
        </w:rPr>
        <w:t>）</w:t>
      </w:r>
      <w:r>
        <w:rPr>
          <w:rFonts w:hint="eastAsia" w:ascii="仿宋" w:hAnsi="仿宋" w:eastAsia="仿宋" w:cs="仿宋"/>
          <w:spacing w:val="0"/>
          <w:kern w:val="0"/>
          <w:sz w:val="32"/>
          <w:szCs w:val="32"/>
          <w:lang w:val="en-US" w:eastAsia="zh-CN"/>
        </w:rPr>
        <w:t>213-农林水支出51.8万元，</w:t>
      </w:r>
      <w:r>
        <w:rPr>
          <w:rFonts w:ascii="仿宋" w:hAnsi="仿宋" w:eastAsia="仿宋" w:cs="仿宋"/>
          <w:spacing w:val="0"/>
          <w:kern w:val="0"/>
          <w:sz w:val="32"/>
          <w:szCs w:val="32"/>
        </w:rPr>
        <w:t>较上年决算数</w:t>
      </w:r>
      <w:r>
        <w:rPr>
          <w:rFonts w:hint="eastAsia" w:ascii="仿宋" w:hAnsi="仿宋" w:eastAsia="仿宋" w:cs="仿宋"/>
          <w:spacing w:val="0"/>
          <w:kern w:val="0"/>
          <w:sz w:val="32"/>
          <w:szCs w:val="32"/>
          <w:lang w:eastAsia="zh-CN"/>
        </w:rPr>
        <w:t>减少</w:t>
      </w:r>
      <w:r>
        <w:rPr>
          <w:rFonts w:hint="eastAsia" w:ascii="仿宋" w:hAnsi="仿宋" w:eastAsia="仿宋" w:cs="仿宋"/>
          <w:spacing w:val="0"/>
          <w:kern w:val="0"/>
          <w:sz w:val="32"/>
          <w:szCs w:val="32"/>
          <w:lang w:val="en-US" w:eastAsia="zh-CN"/>
        </w:rPr>
        <w:t>34.12</w:t>
      </w:r>
      <w:r>
        <w:rPr>
          <w:rFonts w:ascii="仿宋" w:hAnsi="仿宋" w:eastAsia="仿宋" w:cs="仿宋"/>
          <w:spacing w:val="0"/>
          <w:kern w:val="0"/>
          <w:sz w:val="32"/>
          <w:szCs w:val="32"/>
        </w:rPr>
        <w:t>万元，增长</w:t>
      </w:r>
      <w:r>
        <w:rPr>
          <w:rFonts w:hint="eastAsia" w:ascii="仿宋" w:hAnsi="仿宋" w:eastAsia="仿宋" w:cs="仿宋"/>
          <w:spacing w:val="0"/>
          <w:kern w:val="0"/>
          <w:sz w:val="32"/>
          <w:szCs w:val="32"/>
          <w:lang w:val="en-US" w:eastAsia="zh-CN"/>
        </w:rPr>
        <w:t>39.7</w:t>
      </w:r>
      <w:r>
        <w:rPr>
          <w:rFonts w:ascii="仿宋" w:hAnsi="仿宋" w:eastAsia="仿宋" w:cs="仿宋"/>
          <w:spacing w:val="0"/>
          <w:kern w:val="0"/>
          <w:sz w:val="32"/>
          <w:szCs w:val="32"/>
        </w:rPr>
        <w:t>%。主要原因是</w:t>
      </w:r>
      <w:r>
        <w:rPr>
          <w:rFonts w:hint="eastAsia" w:ascii="仿宋" w:hAnsi="仿宋" w:eastAsia="仿宋" w:cs="仿宋"/>
          <w:spacing w:val="0"/>
          <w:kern w:val="0"/>
          <w:sz w:val="32"/>
          <w:szCs w:val="32"/>
          <w:lang w:eastAsia="zh-CN"/>
        </w:rPr>
        <w:t>科目分类变动</w:t>
      </w:r>
      <w:r>
        <w:rPr>
          <w:rFonts w:ascii="仿宋" w:hAnsi="仿宋" w:eastAsia="仿宋" w:cs="仿宋"/>
          <w:spacing w:val="0"/>
          <w:kern w:val="0"/>
          <w:sz w:val="32"/>
          <w:szCs w:val="32"/>
        </w:rPr>
        <w:t>。</w:t>
      </w:r>
    </w:p>
    <w:p w14:paraId="42F92534">
      <w:pPr>
        <w:pStyle w:val="31"/>
        <w:widowControl/>
        <w:spacing w:before="100" w:after="100" w:line="600" w:lineRule="atLeast"/>
        <w:ind w:left="0" w:right="0" w:firstLine="640"/>
        <w:jc w:val="left"/>
        <w:rPr>
          <w:rFonts w:ascii="仿宋" w:hAnsi="仿宋" w:eastAsia="仿宋" w:cs="仿宋"/>
          <w:spacing w:val="0"/>
          <w:kern w:val="0"/>
          <w:sz w:val="32"/>
          <w:szCs w:val="32"/>
        </w:rPr>
      </w:pPr>
      <w:r>
        <w:rPr>
          <w:rFonts w:hint="eastAsia" w:ascii="仿宋" w:hAnsi="仿宋" w:eastAsia="仿宋" w:cs="仿宋"/>
          <w:spacing w:val="0"/>
          <w:kern w:val="0"/>
          <w:sz w:val="32"/>
          <w:szCs w:val="32"/>
          <w:lang w:eastAsia="zh-CN"/>
        </w:rPr>
        <w:t>（五）</w:t>
      </w:r>
      <w:r>
        <w:rPr>
          <w:rFonts w:hint="eastAsia" w:ascii="仿宋" w:hAnsi="仿宋" w:eastAsia="仿宋" w:cs="仿宋"/>
          <w:spacing w:val="0"/>
          <w:kern w:val="0"/>
          <w:sz w:val="32"/>
          <w:szCs w:val="32"/>
          <w:lang w:val="en-US" w:eastAsia="zh-CN"/>
        </w:rPr>
        <w:t>214-交通运输支出15万元，</w:t>
      </w:r>
      <w:r>
        <w:rPr>
          <w:rFonts w:ascii="仿宋" w:hAnsi="仿宋" w:eastAsia="仿宋" w:cs="仿宋"/>
          <w:spacing w:val="0"/>
          <w:kern w:val="0"/>
          <w:sz w:val="32"/>
          <w:szCs w:val="32"/>
        </w:rPr>
        <w:t>较上年决算数</w:t>
      </w:r>
      <w:r>
        <w:rPr>
          <w:rFonts w:hint="eastAsia" w:ascii="仿宋" w:hAnsi="仿宋" w:eastAsia="仿宋" w:cs="仿宋"/>
          <w:spacing w:val="0"/>
          <w:kern w:val="0"/>
          <w:sz w:val="32"/>
          <w:szCs w:val="32"/>
          <w:lang w:eastAsia="zh-CN"/>
        </w:rPr>
        <w:t>增加</w:t>
      </w:r>
      <w:r>
        <w:rPr>
          <w:rFonts w:hint="eastAsia" w:ascii="仿宋" w:hAnsi="仿宋" w:eastAsia="仿宋" w:cs="仿宋"/>
          <w:spacing w:val="0"/>
          <w:kern w:val="0"/>
          <w:sz w:val="32"/>
          <w:szCs w:val="32"/>
          <w:lang w:val="en-US" w:eastAsia="zh-CN"/>
        </w:rPr>
        <w:t>15</w:t>
      </w:r>
      <w:r>
        <w:rPr>
          <w:rFonts w:ascii="仿宋" w:hAnsi="仿宋" w:eastAsia="仿宋" w:cs="仿宋"/>
          <w:spacing w:val="0"/>
          <w:kern w:val="0"/>
          <w:sz w:val="32"/>
          <w:szCs w:val="32"/>
        </w:rPr>
        <w:t>万元，增长</w:t>
      </w:r>
      <w:r>
        <w:rPr>
          <w:rFonts w:hint="eastAsia" w:ascii="仿宋" w:hAnsi="仿宋" w:eastAsia="仿宋" w:cs="仿宋"/>
          <w:spacing w:val="0"/>
          <w:kern w:val="0"/>
          <w:sz w:val="32"/>
          <w:szCs w:val="32"/>
          <w:lang w:val="en-US" w:eastAsia="zh-CN"/>
        </w:rPr>
        <w:t>100</w:t>
      </w:r>
      <w:r>
        <w:rPr>
          <w:rFonts w:ascii="仿宋" w:hAnsi="仿宋" w:eastAsia="仿宋" w:cs="仿宋"/>
          <w:spacing w:val="0"/>
          <w:kern w:val="0"/>
          <w:sz w:val="32"/>
          <w:szCs w:val="32"/>
        </w:rPr>
        <w:t>%。主要原因是</w:t>
      </w:r>
      <w:r>
        <w:rPr>
          <w:rFonts w:hint="eastAsia" w:ascii="仿宋" w:hAnsi="仿宋" w:eastAsia="仿宋" w:cs="仿宋"/>
          <w:spacing w:val="0"/>
          <w:kern w:val="0"/>
          <w:sz w:val="32"/>
          <w:szCs w:val="32"/>
          <w:lang w:eastAsia="zh-CN"/>
        </w:rPr>
        <w:t>科目分类变动</w:t>
      </w:r>
      <w:r>
        <w:rPr>
          <w:rFonts w:ascii="仿宋" w:hAnsi="仿宋" w:eastAsia="仿宋" w:cs="仿宋"/>
          <w:spacing w:val="0"/>
          <w:kern w:val="0"/>
          <w:sz w:val="32"/>
          <w:szCs w:val="32"/>
        </w:rPr>
        <w:t>。</w:t>
      </w:r>
    </w:p>
    <w:p w14:paraId="199343B5">
      <w:pPr>
        <w:pStyle w:val="31"/>
        <w:widowControl/>
        <w:spacing w:before="100" w:after="100" w:line="600" w:lineRule="atLeast"/>
        <w:ind w:left="0" w:right="0" w:firstLine="640"/>
        <w:jc w:val="left"/>
        <w:rPr>
          <w:rFonts w:ascii="仿宋" w:hAnsi="仿宋" w:eastAsia="仿宋" w:cs="仿宋"/>
          <w:spacing w:val="0"/>
          <w:kern w:val="0"/>
          <w:sz w:val="32"/>
          <w:szCs w:val="32"/>
        </w:rPr>
      </w:pPr>
      <w:r>
        <w:rPr>
          <w:rFonts w:hint="eastAsia" w:ascii="仿宋" w:hAnsi="仿宋" w:eastAsia="仿宋" w:cs="仿宋"/>
          <w:spacing w:val="0"/>
          <w:kern w:val="0"/>
          <w:sz w:val="32"/>
          <w:szCs w:val="32"/>
          <w:lang w:val="en-US" w:eastAsia="zh-CN"/>
        </w:rPr>
        <w:t>（六）216-商业服务业等支出30万元，</w:t>
      </w:r>
      <w:r>
        <w:rPr>
          <w:rFonts w:ascii="仿宋" w:hAnsi="仿宋" w:eastAsia="仿宋" w:cs="仿宋"/>
          <w:spacing w:val="0"/>
          <w:kern w:val="0"/>
          <w:sz w:val="32"/>
          <w:szCs w:val="32"/>
        </w:rPr>
        <w:t>较上年决算数</w:t>
      </w:r>
      <w:r>
        <w:rPr>
          <w:rFonts w:hint="eastAsia" w:ascii="仿宋" w:hAnsi="仿宋" w:eastAsia="仿宋" w:cs="仿宋"/>
          <w:spacing w:val="0"/>
          <w:kern w:val="0"/>
          <w:sz w:val="32"/>
          <w:szCs w:val="32"/>
          <w:lang w:eastAsia="zh-CN"/>
        </w:rPr>
        <w:t>增加</w:t>
      </w:r>
      <w:r>
        <w:rPr>
          <w:rFonts w:hint="eastAsia" w:ascii="仿宋" w:hAnsi="仿宋" w:eastAsia="仿宋" w:cs="仿宋"/>
          <w:spacing w:val="0"/>
          <w:kern w:val="0"/>
          <w:sz w:val="32"/>
          <w:szCs w:val="32"/>
          <w:lang w:val="en-US" w:eastAsia="zh-CN"/>
        </w:rPr>
        <w:t>30</w:t>
      </w:r>
      <w:r>
        <w:rPr>
          <w:rFonts w:ascii="仿宋" w:hAnsi="仿宋" w:eastAsia="仿宋" w:cs="仿宋"/>
          <w:spacing w:val="0"/>
          <w:kern w:val="0"/>
          <w:sz w:val="32"/>
          <w:szCs w:val="32"/>
        </w:rPr>
        <w:t>万元，增长</w:t>
      </w:r>
      <w:r>
        <w:rPr>
          <w:rFonts w:hint="eastAsia" w:ascii="仿宋" w:hAnsi="仿宋" w:eastAsia="仿宋" w:cs="仿宋"/>
          <w:spacing w:val="0"/>
          <w:kern w:val="0"/>
          <w:sz w:val="32"/>
          <w:szCs w:val="32"/>
          <w:lang w:val="en-US" w:eastAsia="zh-CN"/>
        </w:rPr>
        <w:t>100</w:t>
      </w:r>
      <w:r>
        <w:rPr>
          <w:rFonts w:ascii="仿宋" w:hAnsi="仿宋" w:eastAsia="仿宋" w:cs="仿宋"/>
          <w:spacing w:val="0"/>
          <w:kern w:val="0"/>
          <w:sz w:val="32"/>
          <w:szCs w:val="32"/>
        </w:rPr>
        <w:t>%。主要原因是</w:t>
      </w:r>
      <w:r>
        <w:rPr>
          <w:rFonts w:hint="eastAsia" w:ascii="仿宋" w:hAnsi="仿宋" w:eastAsia="仿宋" w:cs="仿宋"/>
          <w:spacing w:val="0"/>
          <w:kern w:val="0"/>
          <w:sz w:val="32"/>
          <w:szCs w:val="32"/>
          <w:lang w:eastAsia="zh-CN"/>
        </w:rPr>
        <w:t>科目分类变动</w:t>
      </w:r>
      <w:r>
        <w:rPr>
          <w:rFonts w:ascii="仿宋" w:hAnsi="仿宋" w:eastAsia="仿宋" w:cs="仿宋"/>
          <w:spacing w:val="0"/>
          <w:kern w:val="0"/>
          <w:sz w:val="32"/>
          <w:szCs w:val="32"/>
        </w:rPr>
        <w:t>。</w:t>
      </w:r>
    </w:p>
    <w:p w14:paraId="11F9030F">
      <w:pPr>
        <w:pStyle w:val="31"/>
        <w:widowControl/>
        <w:spacing w:before="100" w:after="100" w:line="600" w:lineRule="atLeast"/>
        <w:ind w:left="0" w:right="0" w:firstLine="640"/>
        <w:jc w:val="left"/>
        <w:rPr>
          <w:rFonts w:ascii="仿宋" w:hAnsi="仿宋" w:eastAsia="仿宋" w:cs="仿宋"/>
          <w:spacing w:val="0"/>
          <w:kern w:val="0"/>
          <w:sz w:val="32"/>
          <w:szCs w:val="32"/>
        </w:rPr>
      </w:pPr>
      <w:r>
        <w:rPr>
          <w:rFonts w:hint="eastAsia" w:ascii="仿宋" w:hAnsi="仿宋" w:eastAsia="仿宋" w:cs="仿宋"/>
          <w:spacing w:val="0"/>
          <w:kern w:val="0"/>
          <w:sz w:val="32"/>
          <w:szCs w:val="32"/>
          <w:lang w:val="en-US" w:eastAsia="zh-CN"/>
        </w:rPr>
        <w:t>（七）224-灾害防治及应急管理支出5.29万元，</w:t>
      </w:r>
      <w:r>
        <w:rPr>
          <w:rFonts w:ascii="仿宋" w:hAnsi="仿宋" w:eastAsia="仿宋" w:cs="仿宋"/>
          <w:spacing w:val="0"/>
          <w:kern w:val="0"/>
          <w:sz w:val="32"/>
          <w:szCs w:val="32"/>
        </w:rPr>
        <w:t>较上年决算数</w:t>
      </w:r>
      <w:r>
        <w:rPr>
          <w:rFonts w:hint="eastAsia" w:ascii="仿宋" w:hAnsi="仿宋" w:eastAsia="仿宋" w:cs="仿宋"/>
          <w:spacing w:val="0"/>
          <w:kern w:val="0"/>
          <w:sz w:val="32"/>
          <w:szCs w:val="32"/>
          <w:lang w:eastAsia="zh-CN"/>
        </w:rPr>
        <w:t>增加</w:t>
      </w:r>
      <w:r>
        <w:rPr>
          <w:rFonts w:hint="eastAsia" w:ascii="仿宋" w:hAnsi="仿宋" w:eastAsia="仿宋" w:cs="仿宋"/>
          <w:spacing w:val="0"/>
          <w:kern w:val="0"/>
          <w:sz w:val="32"/>
          <w:szCs w:val="32"/>
          <w:lang w:val="en-US" w:eastAsia="zh-CN"/>
        </w:rPr>
        <w:t>5.29</w:t>
      </w:r>
      <w:r>
        <w:rPr>
          <w:rFonts w:ascii="仿宋" w:hAnsi="仿宋" w:eastAsia="仿宋" w:cs="仿宋"/>
          <w:spacing w:val="0"/>
          <w:kern w:val="0"/>
          <w:sz w:val="32"/>
          <w:szCs w:val="32"/>
        </w:rPr>
        <w:t>万元，增长</w:t>
      </w:r>
      <w:r>
        <w:rPr>
          <w:rFonts w:hint="eastAsia" w:ascii="仿宋" w:hAnsi="仿宋" w:eastAsia="仿宋" w:cs="仿宋"/>
          <w:spacing w:val="0"/>
          <w:kern w:val="0"/>
          <w:sz w:val="32"/>
          <w:szCs w:val="32"/>
          <w:lang w:val="en-US" w:eastAsia="zh-CN"/>
        </w:rPr>
        <w:t>100</w:t>
      </w:r>
      <w:r>
        <w:rPr>
          <w:rFonts w:ascii="仿宋" w:hAnsi="仿宋" w:eastAsia="仿宋" w:cs="仿宋"/>
          <w:spacing w:val="0"/>
          <w:kern w:val="0"/>
          <w:sz w:val="32"/>
          <w:szCs w:val="32"/>
        </w:rPr>
        <w:t>%。主要原因是</w:t>
      </w:r>
      <w:r>
        <w:rPr>
          <w:rFonts w:hint="eastAsia" w:ascii="仿宋" w:hAnsi="仿宋" w:eastAsia="仿宋" w:cs="仿宋"/>
          <w:spacing w:val="0"/>
          <w:kern w:val="0"/>
          <w:sz w:val="32"/>
          <w:szCs w:val="32"/>
          <w:lang w:eastAsia="zh-CN"/>
        </w:rPr>
        <w:t>科目分类变动</w:t>
      </w:r>
      <w:r>
        <w:rPr>
          <w:rFonts w:ascii="仿宋" w:hAnsi="仿宋" w:eastAsia="仿宋" w:cs="仿宋"/>
          <w:spacing w:val="0"/>
          <w:kern w:val="0"/>
          <w:sz w:val="32"/>
          <w:szCs w:val="32"/>
        </w:rPr>
        <w:t>。</w:t>
      </w:r>
    </w:p>
    <w:p w14:paraId="3CE25C70">
      <w:pPr>
        <w:pStyle w:val="31"/>
        <w:widowControl/>
        <w:spacing w:before="100" w:after="100" w:line="600" w:lineRule="atLeast"/>
        <w:ind w:left="0" w:right="0" w:firstLine="640"/>
        <w:jc w:val="left"/>
        <w:rPr>
          <w:rFonts w:hint="eastAsia" w:ascii="仿宋" w:hAnsi="仿宋" w:eastAsia="仿宋" w:cs="仿宋"/>
          <w:spacing w:val="0"/>
          <w:kern w:val="0"/>
          <w:sz w:val="32"/>
          <w:szCs w:val="32"/>
          <w:lang w:val="en-US" w:eastAsia="zh-CN"/>
        </w:rPr>
      </w:pPr>
      <w:r>
        <w:rPr>
          <w:rFonts w:hint="eastAsia" w:ascii="仿宋" w:hAnsi="仿宋" w:eastAsia="仿宋" w:cs="仿宋"/>
          <w:spacing w:val="0"/>
          <w:kern w:val="0"/>
          <w:sz w:val="32"/>
          <w:szCs w:val="32"/>
          <w:lang w:val="en-US" w:eastAsia="zh-CN"/>
        </w:rPr>
        <w:t>（八）229-其他支出53.5万元，</w:t>
      </w:r>
      <w:r>
        <w:rPr>
          <w:rFonts w:ascii="仿宋" w:hAnsi="仿宋" w:eastAsia="仿宋" w:cs="仿宋"/>
          <w:spacing w:val="0"/>
          <w:kern w:val="0"/>
          <w:sz w:val="32"/>
          <w:szCs w:val="32"/>
        </w:rPr>
        <w:t>较上年决算数</w:t>
      </w:r>
      <w:r>
        <w:rPr>
          <w:rFonts w:hint="eastAsia" w:ascii="仿宋" w:hAnsi="仿宋" w:eastAsia="仿宋" w:cs="仿宋"/>
          <w:spacing w:val="0"/>
          <w:kern w:val="0"/>
          <w:sz w:val="32"/>
          <w:szCs w:val="32"/>
          <w:lang w:eastAsia="zh-CN"/>
        </w:rPr>
        <w:t>减少</w:t>
      </w:r>
      <w:r>
        <w:rPr>
          <w:rFonts w:hint="eastAsia" w:ascii="仿宋" w:hAnsi="仿宋" w:eastAsia="仿宋" w:cs="仿宋"/>
          <w:spacing w:val="0"/>
          <w:kern w:val="0"/>
          <w:sz w:val="32"/>
          <w:szCs w:val="32"/>
          <w:lang w:val="en-US" w:eastAsia="zh-CN"/>
        </w:rPr>
        <w:t>164.05</w:t>
      </w:r>
      <w:r>
        <w:rPr>
          <w:rFonts w:ascii="仿宋" w:hAnsi="仿宋" w:eastAsia="仿宋" w:cs="仿宋"/>
          <w:spacing w:val="0"/>
          <w:kern w:val="0"/>
          <w:sz w:val="32"/>
          <w:szCs w:val="32"/>
        </w:rPr>
        <w:t>万元，</w:t>
      </w:r>
      <w:r>
        <w:rPr>
          <w:rFonts w:hint="eastAsia" w:ascii="仿宋" w:hAnsi="仿宋" w:eastAsia="仿宋" w:cs="仿宋"/>
          <w:spacing w:val="0"/>
          <w:kern w:val="0"/>
          <w:sz w:val="32"/>
          <w:szCs w:val="32"/>
          <w:lang w:eastAsia="zh-CN"/>
        </w:rPr>
        <w:t>减少</w:t>
      </w:r>
      <w:r>
        <w:rPr>
          <w:rFonts w:hint="eastAsia" w:ascii="仿宋" w:hAnsi="仿宋" w:eastAsia="仿宋" w:cs="仿宋"/>
          <w:spacing w:val="0"/>
          <w:kern w:val="0"/>
          <w:sz w:val="32"/>
          <w:szCs w:val="32"/>
          <w:lang w:val="en-US" w:eastAsia="zh-CN"/>
        </w:rPr>
        <w:t>75.4</w:t>
      </w:r>
      <w:r>
        <w:rPr>
          <w:rFonts w:ascii="仿宋" w:hAnsi="仿宋" w:eastAsia="仿宋" w:cs="仿宋"/>
          <w:spacing w:val="0"/>
          <w:kern w:val="0"/>
          <w:sz w:val="32"/>
          <w:szCs w:val="32"/>
        </w:rPr>
        <w:t>%。主要原因是</w:t>
      </w:r>
      <w:r>
        <w:rPr>
          <w:rFonts w:hint="eastAsia" w:ascii="仿宋" w:hAnsi="仿宋" w:eastAsia="仿宋" w:cs="仿宋"/>
          <w:spacing w:val="0"/>
          <w:kern w:val="0"/>
          <w:sz w:val="32"/>
          <w:szCs w:val="32"/>
          <w:lang w:eastAsia="zh-CN"/>
        </w:rPr>
        <w:t>科目分类变动</w:t>
      </w:r>
      <w:r>
        <w:rPr>
          <w:rFonts w:ascii="仿宋" w:hAnsi="仿宋" w:eastAsia="仿宋" w:cs="仿宋"/>
          <w:spacing w:val="0"/>
          <w:kern w:val="0"/>
          <w:sz w:val="32"/>
          <w:szCs w:val="32"/>
        </w:rPr>
        <w:t>。</w:t>
      </w:r>
    </w:p>
    <w:p w14:paraId="2BE397FE">
      <w:pPr>
        <w:pStyle w:val="31"/>
        <w:widowControl/>
        <w:spacing w:before="100" w:after="100" w:line="600" w:lineRule="atLeast"/>
        <w:ind w:left="0" w:right="0" w:firstLine="640"/>
        <w:jc w:val="left"/>
        <w:outlineLvl w:val="1"/>
        <w:rPr>
          <w:rFonts w:ascii="Times New Roman" w:hAnsi="Times New Roman" w:eastAsia="Times New Roman" w:cs="Times New Roman"/>
          <w:kern w:val="0"/>
          <w:sz w:val="24"/>
        </w:rPr>
      </w:pPr>
      <w:bookmarkStart w:id="19" w:name="_Toc17467"/>
      <w:r>
        <w:rPr>
          <w:rFonts w:ascii="黑体" w:hAnsi="黑体" w:eastAsia="黑体" w:cs="黑体"/>
          <w:spacing w:val="0"/>
          <w:kern w:val="0"/>
          <w:sz w:val="32"/>
          <w:szCs w:val="32"/>
        </w:rPr>
        <w:t>四、政府性基金预算财政拨款支出决算情况说明</w:t>
      </w:r>
      <w:bookmarkEnd w:id="19"/>
    </w:p>
    <w:p w14:paraId="6ECBECEA">
      <w:pPr>
        <w:pStyle w:val="31"/>
        <w:widowControl/>
        <w:spacing w:before="100" w:after="100" w:line="600" w:lineRule="atLeast"/>
        <w:ind w:left="0" w:right="0" w:firstLine="640"/>
        <w:jc w:val="left"/>
        <w:rPr>
          <w:rFonts w:hint="eastAsia" w:ascii="仿宋" w:hAnsi="仿宋" w:eastAsia="仿宋" w:cs="仿宋"/>
          <w:spacing w:val="0"/>
          <w:kern w:val="0"/>
          <w:sz w:val="32"/>
          <w:szCs w:val="32"/>
          <w:lang w:eastAsia="zh-CN"/>
        </w:rPr>
      </w:pPr>
      <w:r>
        <w:rPr>
          <w:rFonts w:ascii="仿宋" w:hAnsi="仿宋" w:eastAsia="仿宋" w:cs="仿宋"/>
          <w:spacing w:val="0"/>
          <w:kern w:val="0"/>
          <w:sz w:val="32"/>
          <w:szCs w:val="32"/>
        </w:rPr>
        <w:t>部门2023年度没有使用政府性基金预算拨款安排的支出</w:t>
      </w:r>
      <w:r>
        <w:rPr>
          <w:rFonts w:hint="eastAsia" w:ascii="仿宋" w:hAnsi="仿宋" w:eastAsia="仿宋" w:cs="仿宋"/>
          <w:spacing w:val="0"/>
          <w:kern w:val="0"/>
          <w:sz w:val="32"/>
          <w:szCs w:val="32"/>
          <w:lang w:eastAsia="zh-CN"/>
        </w:rPr>
        <w:t>。</w:t>
      </w:r>
    </w:p>
    <w:p w14:paraId="46DC94E5">
      <w:pPr>
        <w:pStyle w:val="31"/>
        <w:widowControl/>
        <w:spacing w:before="100" w:after="100" w:line="600" w:lineRule="atLeast"/>
        <w:ind w:left="0" w:right="0" w:firstLine="640"/>
        <w:jc w:val="left"/>
        <w:outlineLvl w:val="1"/>
        <w:rPr>
          <w:rFonts w:ascii="Times New Roman" w:hAnsi="Times New Roman" w:eastAsia="Times New Roman" w:cs="Times New Roman"/>
          <w:kern w:val="0"/>
          <w:sz w:val="24"/>
        </w:rPr>
      </w:pPr>
      <w:bookmarkStart w:id="20" w:name="_Toc18351"/>
      <w:r>
        <w:rPr>
          <w:rFonts w:ascii="黑体" w:hAnsi="黑体" w:eastAsia="黑体" w:cs="黑体"/>
          <w:spacing w:val="0"/>
          <w:kern w:val="0"/>
          <w:sz w:val="32"/>
          <w:szCs w:val="32"/>
        </w:rPr>
        <w:t>五、国有资本经营预算财政拨款支出决算情况说明</w:t>
      </w:r>
      <w:bookmarkEnd w:id="20"/>
    </w:p>
    <w:p w14:paraId="34EAC10D">
      <w:pPr>
        <w:pStyle w:val="31"/>
        <w:widowControl/>
        <w:spacing w:before="100" w:after="100" w:line="600" w:lineRule="atLeast"/>
        <w:ind w:left="0" w:right="0" w:firstLine="640"/>
        <w:jc w:val="left"/>
        <w:rPr>
          <w:rFonts w:hint="eastAsia" w:ascii="仿宋" w:hAnsi="仿宋" w:eastAsia="仿宋" w:cs="仿宋"/>
          <w:spacing w:val="0"/>
          <w:kern w:val="0"/>
          <w:sz w:val="32"/>
          <w:szCs w:val="32"/>
          <w:lang w:eastAsia="zh-CN"/>
        </w:rPr>
      </w:pPr>
      <w:r>
        <w:rPr>
          <w:rFonts w:ascii="仿宋" w:hAnsi="仿宋" w:eastAsia="仿宋" w:cs="仿宋"/>
          <w:spacing w:val="0"/>
          <w:kern w:val="0"/>
          <w:sz w:val="32"/>
          <w:szCs w:val="32"/>
        </w:rPr>
        <w:t>本部门2023年度没有使用国有资本经营预算财政拨款安排的支出</w:t>
      </w:r>
      <w:r>
        <w:rPr>
          <w:rFonts w:hint="eastAsia" w:ascii="仿宋" w:hAnsi="仿宋" w:eastAsia="仿宋" w:cs="仿宋"/>
          <w:spacing w:val="0"/>
          <w:kern w:val="0"/>
          <w:sz w:val="32"/>
          <w:szCs w:val="32"/>
          <w:lang w:eastAsia="zh-CN"/>
        </w:rPr>
        <w:t>。</w:t>
      </w:r>
    </w:p>
    <w:p w14:paraId="2CACC755">
      <w:pPr>
        <w:pStyle w:val="31"/>
        <w:widowControl/>
        <w:spacing w:before="100" w:after="100" w:line="600" w:lineRule="atLeast"/>
        <w:ind w:left="0" w:right="0" w:firstLine="640"/>
        <w:jc w:val="left"/>
        <w:outlineLvl w:val="1"/>
        <w:rPr>
          <w:rFonts w:ascii="Times New Roman" w:hAnsi="Times New Roman" w:eastAsia="Times New Roman" w:cs="Times New Roman"/>
          <w:kern w:val="0"/>
          <w:sz w:val="24"/>
        </w:rPr>
      </w:pPr>
      <w:bookmarkStart w:id="21" w:name="_Toc24090"/>
      <w:r>
        <w:rPr>
          <w:rFonts w:ascii="黑体" w:hAnsi="黑体" w:eastAsia="黑体" w:cs="黑体"/>
          <w:spacing w:val="0"/>
          <w:kern w:val="0"/>
          <w:sz w:val="32"/>
          <w:szCs w:val="32"/>
        </w:rPr>
        <w:t>六、一般公共预算财政拨款基本支出决算情况说明</w:t>
      </w:r>
      <w:bookmarkEnd w:id="21"/>
    </w:p>
    <w:p w14:paraId="6D3B3315">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2023年度一般公共预算财政拨款基本支出1,032.04万元，其中：</w:t>
      </w:r>
    </w:p>
    <w:p w14:paraId="433E1F92">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一）人员经费824.67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3966DA3C">
      <w:pPr>
        <w:pStyle w:val="31"/>
        <w:widowControl/>
        <w:spacing w:before="100" w:after="100"/>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二）公用经费207.36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5B7710FA">
      <w:pPr>
        <w:pStyle w:val="31"/>
        <w:widowControl/>
        <w:spacing w:before="100" w:after="100" w:line="600" w:lineRule="atLeast"/>
        <w:ind w:left="0" w:right="0" w:firstLine="640"/>
        <w:jc w:val="left"/>
        <w:outlineLvl w:val="1"/>
        <w:rPr>
          <w:rFonts w:ascii="Times New Roman" w:hAnsi="Times New Roman" w:eastAsia="Times New Roman" w:cs="Times New Roman"/>
          <w:kern w:val="0"/>
          <w:sz w:val="24"/>
        </w:rPr>
      </w:pPr>
      <w:bookmarkStart w:id="22" w:name="_Toc21944"/>
      <w:r>
        <w:rPr>
          <w:rFonts w:ascii="黑体" w:hAnsi="黑体" w:eastAsia="黑体" w:cs="黑体"/>
          <w:spacing w:val="0"/>
          <w:kern w:val="0"/>
          <w:sz w:val="32"/>
          <w:szCs w:val="32"/>
        </w:rPr>
        <w:t>七、一般公共预算拨款“三公”经费支出决算情况说明</w:t>
      </w:r>
      <w:bookmarkEnd w:id="22"/>
    </w:p>
    <w:p w14:paraId="599DD4D1">
      <w:pPr>
        <w:pStyle w:val="31"/>
        <w:widowControl/>
        <w:spacing w:before="100" w:after="100" w:line="600" w:lineRule="atLeast"/>
        <w:ind w:left="0" w:right="0" w:firstLine="704"/>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2023年度一般公共预算拨款“三公”经费支出11.24万元，完成全年预算的 90.66%；较上年减少1.17万元，降低9.45%。主要原因是</w:t>
      </w:r>
      <w:r>
        <w:rPr>
          <w:rFonts w:hint="eastAsia" w:ascii="仿宋" w:hAnsi="仿宋" w:eastAsia="仿宋" w:cs="仿宋"/>
          <w:spacing w:val="0"/>
          <w:kern w:val="0"/>
          <w:sz w:val="32"/>
          <w:szCs w:val="32"/>
          <w:lang w:eastAsia="zh-CN"/>
        </w:rPr>
        <w:t>控制三公经费</w:t>
      </w:r>
      <w:r>
        <w:rPr>
          <w:rFonts w:ascii="仿宋" w:hAnsi="仿宋" w:eastAsia="仿宋" w:cs="仿宋"/>
          <w:spacing w:val="0"/>
          <w:kern w:val="0"/>
          <w:sz w:val="32"/>
          <w:szCs w:val="32"/>
        </w:rPr>
        <w:t>。具体情况如下：</w:t>
      </w:r>
    </w:p>
    <w:p w14:paraId="20D89DAE">
      <w:pPr>
        <w:pStyle w:val="31"/>
        <w:widowControl/>
        <w:spacing w:before="100" w:after="100" w:line="600" w:lineRule="atLeast"/>
        <w:ind w:left="0" w:right="0" w:firstLine="704"/>
        <w:jc w:val="left"/>
        <w:outlineLvl w:val="2"/>
        <w:rPr>
          <w:rFonts w:ascii="Times New Roman" w:hAnsi="Times New Roman" w:eastAsia="Times New Roman" w:cs="Times New Roman"/>
          <w:kern w:val="0"/>
          <w:sz w:val="24"/>
        </w:rPr>
      </w:pPr>
      <w:r>
        <w:rPr>
          <w:rFonts w:ascii="仿宋" w:hAnsi="仿宋" w:eastAsia="仿宋" w:cs="仿宋"/>
          <w:spacing w:val="0"/>
          <w:kern w:val="0"/>
          <w:sz w:val="32"/>
          <w:szCs w:val="32"/>
        </w:rPr>
        <w:t>（一）</w:t>
      </w:r>
      <w:r>
        <w:rPr>
          <w:rFonts w:hint="eastAsia" w:ascii="仿宋" w:hAnsi="仿宋" w:eastAsia="仿宋" w:cs="仿宋"/>
          <w:spacing w:val="0"/>
          <w:kern w:val="0"/>
          <w:sz w:val="32"/>
          <w:szCs w:val="32"/>
          <w:lang w:eastAsia="zh-CN"/>
        </w:rPr>
        <w:t>本年无</w:t>
      </w:r>
      <w:r>
        <w:rPr>
          <w:rFonts w:ascii="仿宋" w:hAnsi="仿宋" w:eastAsia="仿宋" w:cs="仿宋"/>
          <w:spacing w:val="0"/>
          <w:kern w:val="0"/>
          <w:sz w:val="32"/>
          <w:szCs w:val="32"/>
        </w:rPr>
        <w:t>因公出国（境）费支出。</w:t>
      </w:r>
    </w:p>
    <w:p w14:paraId="29E9778D">
      <w:pPr>
        <w:pStyle w:val="31"/>
        <w:widowControl/>
        <w:spacing w:before="100" w:after="100" w:line="600" w:lineRule="atLeast"/>
        <w:ind w:left="0" w:right="0" w:firstLine="645"/>
        <w:jc w:val="left"/>
        <w:rPr>
          <w:rFonts w:ascii="Times New Roman" w:hAnsi="Times New Roman" w:eastAsia="Times New Roman" w:cs="Times New Roman"/>
          <w:kern w:val="0"/>
          <w:sz w:val="24"/>
        </w:rPr>
      </w:pPr>
      <w:r>
        <w:rPr>
          <w:rFonts w:ascii="仿宋" w:hAnsi="仿宋" w:eastAsia="仿宋" w:cs="仿宋"/>
          <w:spacing w:val="0"/>
          <w:kern w:val="0"/>
          <w:sz w:val="32"/>
          <w:szCs w:val="32"/>
        </w:rPr>
        <w:t>（二）公务用车购置及运行费支出1.80万元，完成全年预算的62.11%；较上年减少1.11万元，降低 38.11%。其中：</w:t>
      </w:r>
    </w:p>
    <w:p w14:paraId="18AA2AFF">
      <w:pPr>
        <w:pStyle w:val="31"/>
        <w:widowControl/>
        <w:spacing w:before="100" w:after="100" w:line="600" w:lineRule="atLeast"/>
        <w:ind w:left="0" w:right="0" w:firstLine="645"/>
        <w:jc w:val="left"/>
        <w:rPr>
          <w:rFonts w:ascii="Times New Roman" w:hAnsi="Times New Roman" w:eastAsia="Times New Roman" w:cs="Times New Roman"/>
          <w:kern w:val="0"/>
          <w:sz w:val="24"/>
        </w:rPr>
      </w:pPr>
      <w:r>
        <w:rPr>
          <w:rFonts w:hint="eastAsia" w:ascii="仿宋" w:hAnsi="仿宋" w:eastAsia="仿宋" w:cs="仿宋"/>
          <w:spacing w:val="0"/>
          <w:kern w:val="0"/>
          <w:sz w:val="32"/>
          <w:szCs w:val="32"/>
          <w:lang w:eastAsia="zh-CN"/>
        </w:rPr>
        <w:t>本年无</w:t>
      </w:r>
      <w:r>
        <w:rPr>
          <w:rFonts w:ascii="仿宋" w:hAnsi="仿宋" w:eastAsia="仿宋" w:cs="仿宋"/>
          <w:spacing w:val="0"/>
          <w:kern w:val="0"/>
          <w:sz w:val="32"/>
          <w:szCs w:val="32"/>
        </w:rPr>
        <w:t>公务用车购置费支出。</w:t>
      </w:r>
    </w:p>
    <w:p w14:paraId="3A6629CF">
      <w:pPr>
        <w:pStyle w:val="31"/>
        <w:widowControl/>
        <w:spacing w:before="100" w:after="100" w:line="600" w:lineRule="atLeast"/>
        <w:ind w:left="0" w:right="0" w:firstLine="645"/>
        <w:jc w:val="left"/>
        <w:rPr>
          <w:rFonts w:ascii="Times New Roman" w:hAnsi="Times New Roman" w:eastAsia="Times New Roman" w:cs="Times New Roman"/>
          <w:kern w:val="0"/>
          <w:sz w:val="24"/>
        </w:rPr>
      </w:pPr>
      <w:r>
        <w:rPr>
          <w:rFonts w:ascii="仿宋" w:hAnsi="仿宋" w:eastAsia="仿宋" w:cs="仿宋"/>
          <w:spacing w:val="0"/>
          <w:kern w:val="0"/>
          <w:sz w:val="32"/>
          <w:szCs w:val="32"/>
        </w:rPr>
        <w:t>公务用车运行费支出1.80万元，完成全年预算的62.11%；较上年减少1.11万元，降低38.11%。主要是</w:t>
      </w:r>
      <w:r>
        <w:rPr>
          <w:rFonts w:hint="eastAsia" w:ascii="仿宋" w:hAnsi="仿宋" w:eastAsia="仿宋" w:cs="仿宋"/>
          <w:spacing w:val="0"/>
          <w:kern w:val="0"/>
          <w:sz w:val="32"/>
          <w:szCs w:val="32"/>
          <w:lang w:eastAsia="zh-CN"/>
        </w:rPr>
        <w:t>控制三公经费</w:t>
      </w:r>
      <w:r>
        <w:rPr>
          <w:rFonts w:ascii="仿宋" w:hAnsi="仿宋" w:eastAsia="仿宋" w:cs="仿宋"/>
          <w:spacing w:val="0"/>
          <w:kern w:val="0"/>
          <w:sz w:val="32"/>
          <w:szCs w:val="32"/>
        </w:rPr>
        <w:t>。截至2023年12月31日，本部门公务用车保有量为4辆。</w:t>
      </w:r>
    </w:p>
    <w:p w14:paraId="4A7A0375">
      <w:pPr>
        <w:pStyle w:val="31"/>
        <w:widowControl/>
        <w:spacing w:before="100" w:after="100" w:line="600" w:lineRule="atLeast"/>
        <w:ind w:left="0" w:right="0" w:firstLine="645"/>
        <w:jc w:val="left"/>
        <w:rPr>
          <w:rFonts w:ascii="Times New Roman" w:hAnsi="Times New Roman" w:eastAsia="Times New Roman" w:cs="Times New Roman"/>
          <w:kern w:val="0"/>
          <w:sz w:val="24"/>
        </w:rPr>
      </w:pPr>
      <w:r>
        <w:rPr>
          <w:rFonts w:ascii="仿宋" w:hAnsi="仿宋" w:eastAsia="仿宋" w:cs="仿宋"/>
          <w:spacing w:val="0"/>
          <w:kern w:val="0"/>
          <w:sz w:val="32"/>
          <w:szCs w:val="32"/>
        </w:rPr>
        <w:t>（三）公务接待费支出9.44万元，完成全年预算的 99.38%；较上年减少0.06万元，降低0.67%。主要是</w:t>
      </w:r>
      <w:r>
        <w:rPr>
          <w:rFonts w:hint="eastAsia" w:ascii="仿宋" w:hAnsi="仿宋" w:eastAsia="仿宋" w:cs="仿宋"/>
          <w:spacing w:val="0"/>
          <w:kern w:val="0"/>
          <w:sz w:val="32"/>
          <w:szCs w:val="32"/>
          <w:lang w:eastAsia="zh-CN"/>
        </w:rPr>
        <w:t>控制三公经费</w:t>
      </w:r>
      <w:r>
        <w:rPr>
          <w:rFonts w:ascii="仿宋" w:hAnsi="仿宋" w:eastAsia="仿宋" w:cs="仿宋"/>
          <w:spacing w:val="0"/>
          <w:kern w:val="0"/>
          <w:sz w:val="32"/>
          <w:szCs w:val="32"/>
        </w:rPr>
        <w:t>。累计接待162批次、1106人次。</w:t>
      </w:r>
    </w:p>
    <w:p w14:paraId="45BA54E5">
      <w:pPr>
        <w:pStyle w:val="31"/>
        <w:widowControl/>
        <w:spacing w:before="100" w:after="100" w:line="600" w:lineRule="atLeast"/>
        <w:ind w:left="0" w:right="0" w:firstLine="640"/>
        <w:jc w:val="left"/>
        <w:outlineLvl w:val="1"/>
        <w:rPr>
          <w:rFonts w:ascii="Times New Roman" w:hAnsi="Times New Roman" w:eastAsia="Times New Roman" w:cs="Times New Roman"/>
          <w:kern w:val="0"/>
          <w:sz w:val="24"/>
        </w:rPr>
      </w:pPr>
      <w:bookmarkStart w:id="23" w:name="_Toc9904"/>
      <w:r>
        <w:rPr>
          <w:rFonts w:ascii="黑体" w:hAnsi="黑体" w:eastAsia="黑体" w:cs="黑体"/>
          <w:spacing w:val="0"/>
          <w:kern w:val="0"/>
          <w:sz w:val="32"/>
          <w:szCs w:val="32"/>
        </w:rPr>
        <w:t>八、预算绩效情况说明</w:t>
      </w:r>
      <w:bookmarkEnd w:id="23"/>
    </w:p>
    <w:p w14:paraId="32ECA317">
      <w:pPr>
        <w:pStyle w:val="31"/>
        <w:widowControl/>
        <w:spacing w:before="100" w:after="100" w:line="600" w:lineRule="atLeast"/>
        <w:ind w:left="0" w:right="0" w:firstLine="640"/>
        <w:jc w:val="left"/>
        <w:rPr>
          <w:rFonts w:ascii="仿宋" w:hAnsi="仿宋" w:eastAsia="仿宋" w:cs="仿宋"/>
          <w:spacing w:val="0"/>
          <w:kern w:val="0"/>
          <w:sz w:val="32"/>
          <w:szCs w:val="32"/>
        </w:rPr>
      </w:pPr>
      <w:r>
        <w:rPr>
          <w:rFonts w:ascii="仿宋" w:hAnsi="仿宋" w:eastAsia="仿宋" w:cs="仿宋"/>
          <w:spacing w:val="0"/>
          <w:kern w:val="0"/>
          <w:sz w:val="32"/>
          <w:szCs w:val="32"/>
        </w:rPr>
        <w:t>该年度本部门无单位自评项目</w:t>
      </w:r>
      <w:r>
        <w:rPr>
          <w:rFonts w:hint="eastAsia" w:ascii="仿宋" w:hAnsi="仿宋" w:eastAsia="仿宋" w:cs="仿宋"/>
          <w:spacing w:val="0"/>
          <w:kern w:val="0"/>
          <w:sz w:val="32"/>
          <w:szCs w:val="32"/>
          <w:lang w:eastAsia="zh-CN"/>
        </w:rPr>
        <w:t>、</w:t>
      </w:r>
      <w:r>
        <w:rPr>
          <w:rFonts w:ascii="仿宋" w:hAnsi="仿宋" w:eastAsia="仿宋" w:cs="仿宋"/>
          <w:spacing w:val="0"/>
          <w:kern w:val="0"/>
          <w:sz w:val="32"/>
          <w:szCs w:val="32"/>
        </w:rPr>
        <w:t>无部门评价项目。</w:t>
      </w:r>
    </w:p>
    <w:p w14:paraId="4F9DDDD4">
      <w:pPr>
        <w:pStyle w:val="31"/>
        <w:widowControl/>
        <w:spacing w:before="100" w:after="100" w:line="600" w:lineRule="atLeast"/>
        <w:ind w:left="0" w:right="0" w:firstLine="640"/>
        <w:jc w:val="left"/>
        <w:outlineLvl w:val="1"/>
        <w:rPr>
          <w:rFonts w:ascii="Times New Roman" w:hAnsi="Times New Roman" w:eastAsia="Times New Roman" w:cs="Times New Roman"/>
          <w:kern w:val="0"/>
          <w:sz w:val="24"/>
        </w:rPr>
      </w:pPr>
      <w:bookmarkStart w:id="24" w:name="_Toc4867"/>
      <w:r>
        <w:rPr>
          <w:rFonts w:ascii="黑体" w:hAnsi="黑体" w:eastAsia="黑体" w:cs="黑体"/>
          <w:spacing w:val="0"/>
          <w:kern w:val="0"/>
          <w:sz w:val="32"/>
          <w:szCs w:val="32"/>
        </w:rPr>
        <w:t>九、其他重要事项说明</w:t>
      </w:r>
      <w:bookmarkEnd w:id="24"/>
    </w:p>
    <w:p w14:paraId="42074BBD">
      <w:pPr>
        <w:pStyle w:val="31"/>
        <w:widowControl/>
        <w:spacing w:before="100" w:after="100" w:line="600" w:lineRule="atLeast"/>
        <w:ind w:left="0" w:right="0" w:firstLine="643"/>
        <w:jc w:val="left"/>
        <w:outlineLvl w:val="2"/>
        <w:rPr>
          <w:rFonts w:ascii="Times New Roman" w:hAnsi="Times New Roman" w:eastAsia="Times New Roman" w:cs="Times New Roman"/>
          <w:kern w:val="0"/>
          <w:sz w:val="24"/>
        </w:rPr>
      </w:pPr>
      <w:r>
        <w:rPr>
          <w:rFonts w:ascii="楷体" w:hAnsi="楷体" w:eastAsia="楷体" w:cs="楷体"/>
          <w:spacing w:val="0"/>
          <w:kern w:val="0"/>
          <w:sz w:val="32"/>
          <w:szCs w:val="32"/>
        </w:rPr>
        <w:t>（一）机关运行经费</w:t>
      </w:r>
      <w:r>
        <w:rPr>
          <w:rFonts w:ascii="宋体" w:hAnsi="宋体" w:cs="宋体"/>
          <w:spacing w:val="0"/>
          <w:kern w:val="0"/>
          <w:sz w:val="32"/>
          <w:szCs w:val="32"/>
        </w:rPr>
        <w:t> </w:t>
      </w:r>
    </w:p>
    <w:p w14:paraId="5269880B">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2023年度机关运行经费支出207.36万元，比上年决算数减少112.94万元，降低119.61%，主要原因是:办公设施设备购置经费减少</w:t>
      </w:r>
      <w:r>
        <w:rPr>
          <w:rFonts w:hint="eastAsia" w:ascii="仿宋" w:hAnsi="仿宋" w:eastAsia="仿宋" w:cs="仿宋"/>
          <w:spacing w:val="0"/>
          <w:kern w:val="0"/>
          <w:sz w:val="32"/>
          <w:szCs w:val="32"/>
          <w:lang w:eastAsia="zh-CN"/>
        </w:rPr>
        <w:t>及</w:t>
      </w:r>
      <w:r>
        <w:rPr>
          <w:rFonts w:ascii="仿宋" w:hAnsi="仿宋" w:eastAsia="仿宋" w:cs="仿宋"/>
          <w:spacing w:val="0"/>
          <w:kern w:val="0"/>
          <w:sz w:val="32"/>
          <w:szCs w:val="32"/>
        </w:rPr>
        <w:t>落实过紧日子要求压减</w:t>
      </w:r>
      <w:r>
        <w:rPr>
          <w:rFonts w:hint="eastAsia" w:ascii="仿宋" w:hAnsi="仿宋" w:eastAsia="仿宋" w:cs="仿宋"/>
          <w:spacing w:val="0"/>
          <w:kern w:val="0"/>
          <w:sz w:val="32"/>
          <w:szCs w:val="32"/>
          <w:lang w:eastAsia="zh-CN"/>
        </w:rPr>
        <w:t>三公经费</w:t>
      </w:r>
      <w:r>
        <w:rPr>
          <w:rFonts w:ascii="仿宋" w:hAnsi="仿宋" w:eastAsia="仿宋" w:cs="仿宋"/>
          <w:spacing w:val="0"/>
          <w:kern w:val="0"/>
          <w:sz w:val="32"/>
          <w:szCs w:val="32"/>
        </w:rPr>
        <w:t>支出等。</w:t>
      </w:r>
    </w:p>
    <w:p w14:paraId="6EFEE709">
      <w:pPr>
        <w:pStyle w:val="31"/>
        <w:widowControl/>
        <w:spacing w:before="100" w:after="100" w:line="600" w:lineRule="atLeast"/>
        <w:ind w:left="0" w:right="0" w:firstLine="643"/>
        <w:jc w:val="left"/>
        <w:outlineLvl w:val="2"/>
        <w:rPr>
          <w:rFonts w:ascii="Times New Roman" w:hAnsi="Times New Roman" w:eastAsia="Times New Roman" w:cs="Times New Roman"/>
          <w:kern w:val="0"/>
          <w:sz w:val="24"/>
        </w:rPr>
      </w:pPr>
      <w:r>
        <w:rPr>
          <w:rFonts w:ascii="楷体" w:hAnsi="楷体" w:eastAsia="楷体" w:cs="楷体"/>
          <w:spacing w:val="0"/>
          <w:kern w:val="0"/>
          <w:sz w:val="32"/>
          <w:szCs w:val="32"/>
        </w:rPr>
        <w:t>（二）政府采购情况</w:t>
      </w:r>
    </w:p>
    <w:p w14:paraId="31551201">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本部门2023年度政府采购支出总额79.80万元，其中：政府采购货物支出7.35万元、政府采购工程支出62.45万元、政府采购服务支出10.00万元。授予中小企业合同金额62.31万元，占政府采购支出总额的78.09%，其中：授予小微企业合同金额62.31万元，占授予中小企业合同金额的100.00%；货物采购授予中小企业合同金额占货物支出金额的</w:t>
      </w:r>
      <w:r>
        <w:rPr>
          <w:rFonts w:hint="eastAsia" w:ascii="仿宋" w:hAnsi="仿宋" w:eastAsia="仿宋" w:cs="仿宋"/>
          <w:spacing w:val="0"/>
          <w:kern w:val="0"/>
          <w:sz w:val="32"/>
          <w:szCs w:val="32"/>
          <w:lang w:val="en-US" w:eastAsia="zh-CN"/>
        </w:rPr>
        <w:t>100</w:t>
      </w:r>
      <w:r>
        <w:rPr>
          <w:rFonts w:ascii="仿宋" w:hAnsi="仿宋" w:eastAsia="仿宋" w:cs="仿宋"/>
          <w:spacing w:val="0"/>
          <w:kern w:val="0"/>
          <w:sz w:val="32"/>
          <w:szCs w:val="32"/>
        </w:rPr>
        <w:t>%，工程采购授予中小企业合同金额占工程支出金额的</w:t>
      </w:r>
      <w:r>
        <w:rPr>
          <w:rFonts w:hint="eastAsia" w:ascii="仿宋" w:hAnsi="仿宋" w:eastAsia="仿宋" w:cs="仿宋"/>
          <w:spacing w:val="0"/>
          <w:kern w:val="0"/>
          <w:sz w:val="32"/>
          <w:szCs w:val="32"/>
          <w:lang w:val="en-US" w:eastAsia="zh-CN"/>
        </w:rPr>
        <w:t>100</w:t>
      </w:r>
      <w:r>
        <w:rPr>
          <w:rFonts w:ascii="仿宋" w:hAnsi="仿宋" w:eastAsia="仿宋" w:cs="仿宋"/>
          <w:spacing w:val="0"/>
          <w:kern w:val="0"/>
          <w:sz w:val="32"/>
          <w:szCs w:val="32"/>
        </w:rPr>
        <w:t>%，服务采购授予中小企业合同金额占服务支出金额的</w:t>
      </w:r>
      <w:r>
        <w:rPr>
          <w:rFonts w:hint="eastAsia" w:ascii="仿宋" w:hAnsi="仿宋" w:eastAsia="仿宋" w:cs="仿宋"/>
          <w:spacing w:val="0"/>
          <w:kern w:val="0"/>
          <w:sz w:val="32"/>
          <w:szCs w:val="32"/>
          <w:lang w:val="en-US" w:eastAsia="zh-CN"/>
        </w:rPr>
        <w:t>72</w:t>
      </w:r>
      <w:r>
        <w:rPr>
          <w:rFonts w:ascii="仿宋" w:hAnsi="仿宋" w:eastAsia="仿宋" w:cs="仿宋"/>
          <w:spacing w:val="0"/>
          <w:kern w:val="0"/>
          <w:sz w:val="32"/>
          <w:szCs w:val="32"/>
        </w:rPr>
        <w:t>%。</w:t>
      </w:r>
    </w:p>
    <w:p w14:paraId="52A12CED">
      <w:pPr>
        <w:pStyle w:val="31"/>
        <w:widowControl/>
        <w:spacing w:before="100" w:after="100" w:line="600" w:lineRule="atLeast"/>
        <w:ind w:left="0" w:right="0" w:firstLine="707"/>
        <w:jc w:val="left"/>
        <w:outlineLvl w:val="2"/>
        <w:rPr>
          <w:rFonts w:ascii="Times New Roman" w:hAnsi="Times New Roman" w:eastAsia="Times New Roman" w:cs="Times New Roman"/>
          <w:kern w:val="0"/>
          <w:sz w:val="24"/>
        </w:rPr>
      </w:pPr>
      <w:r>
        <w:rPr>
          <w:rFonts w:ascii="楷体" w:hAnsi="楷体" w:eastAsia="楷体" w:cs="楷体"/>
          <w:spacing w:val="0"/>
          <w:kern w:val="0"/>
          <w:sz w:val="32"/>
          <w:szCs w:val="32"/>
        </w:rPr>
        <w:t>（三）国有资产占用使用情况</w:t>
      </w:r>
      <w:r>
        <w:rPr>
          <w:rFonts w:ascii="宋体" w:hAnsi="宋体" w:cs="宋体"/>
          <w:spacing w:val="0"/>
          <w:kern w:val="0"/>
          <w:sz w:val="32"/>
          <w:szCs w:val="32"/>
        </w:rPr>
        <w:t> </w:t>
      </w:r>
    </w:p>
    <w:p w14:paraId="07385C91">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截至2023年12月31日，本部门共有车辆4辆，其中：副部（省）级以上领导用车0辆、主要领导干部用车0辆、机要通信用车0辆、应急保障用车0辆、执法执勤用车0辆、特种专业技术用车0辆、离退休干部用车0辆、其他用车4辆，其他用车主要是……；单位价值100万元以上设备（不含车辆）0台（套）。 </w:t>
      </w:r>
    </w:p>
    <w:p w14:paraId="1FCED7E6">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27"/>
          <w:szCs w:val="27"/>
        </w:rPr>
        <w:t> </w:t>
      </w:r>
    </w:p>
    <w:p w14:paraId="6896C684">
      <w:pPr>
        <w:pStyle w:val="31"/>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56"/>
          <w:szCs w:val="56"/>
        </w:rPr>
        <w:t>  </w:t>
      </w:r>
    </w:p>
    <w:p w14:paraId="241AC1CC">
      <w:pPr>
        <w:pStyle w:val="31"/>
        <w:widowControl/>
        <w:spacing w:before="100" w:after="100"/>
        <w:ind w:left="0" w:right="0" w:firstLine="0"/>
        <w:jc w:val="left"/>
        <w:rPr>
          <w:rFonts w:ascii="黑体" w:hAnsi="黑体" w:eastAsia="黑体" w:cs="黑体"/>
          <w:spacing w:val="0"/>
          <w:kern w:val="0"/>
          <w:sz w:val="56"/>
          <w:szCs w:val="56"/>
        </w:rPr>
      </w:pPr>
    </w:p>
    <w:p w14:paraId="42308C8D">
      <w:pPr>
        <w:pStyle w:val="31"/>
        <w:widowControl/>
        <w:spacing w:before="100" w:after="100"/>
        <w:ind w:left="0" w:right="0" w:firstLine="0"/>
        <w:jc w:val="left"/>
        <w:rPr>
          <w:rFonts w:ascii="黑体" w:hAnsi="黑体" w:eastAsia="黑体" w:cs="黑体"/>
          <w:spacing w:val="0"/>
          <w:kern w:val="0"/>
          <w:sz w:val="56"/>
          <w:szCs w:val="56"/>
        </w:rPr>
      </w:pPr>
    </w:p>
    <w:p w14:paraId="173685F8">
      <w:pPr>
        <w:pStyle w:val="31"/>
        <w:widowControl/>
        <w:spacing w:before="100" w:after="100"/>
        <w:ind w:left="0" w:right="0" w:firstLine="0"/>
        <w:jc w:val="left"/>
        <w:rPr>
          <w:rFonts w:ascii="黑体" w:hAnsi="黑体" w:eastAsia="黑体" w:cs="黑体"/>
          <w:spacing w:val="0"/>
          <w:kern w:val="0"/>
          <w:sz w:val="56"/>
          <w:szCs w:val="56"/>
        </w:rPr>
      </w:pPr>
    </w:p>
    <w:p w14:paraId="73A3854B">
      <w:pPr>
        <w:pStyle w:val="31"/>
        <w:widowControl/>
        <w:spacing w:before="100" w:after="100"/>
        <w:ind w:left="0" w:right="0" w:firstLine="0"/>
        <w:jc w:val="left"/>
        <w:rPr>
          <w:rFonts w:ascii="黑体" w:hAnsi="黑体" w:eastAsia="黑体" w:cs="黑体"/>
          <w:spacing w:val="0"/>
          <w:kern w:val="0"/>
          <w:sz w:val="56"/>
          <w:szCs w:val="56"/>
        </w:rPr>
      </w:pPr>
    </w:p>
    <w:p w14:paraId="21BB6686">
      <w:pPr>
        <w:pStyle w:val="31"/>
        <w:widowControl/>
        <w:spacing w:before="100" w:after="100"/>
        <w:ind w:left="0" w:right="0" w:firstLine="0"/>
        <w:jc w:val="left"/>
        <w:rPr>
          <w:rFonts w:ascii="黑体" w:hAnsi="黑体" w:eastAsia="黑体" w:cs="黑体"/>
          <w:spacing w:val="0"/>
          <w:kern w:val="0"/>
          <w:sz w:val="56"/>
          <w:szCs w:val="56"/>
        </w:rPr>
      </w:pPr>
    </w:p>
    <w:p w14:paraId="724E0F08">
      <w:pPr>
        <w:pStyle w:val="31"/>
        <w:widowControl/>
        <w:spacing w:before="100" w:after="100"/>
        <w:ind w:left="0" w:right="0" w:firstLine="0"/>
        <w:jc w:val="left"/>
        <w:rPr>
          <w:rFonts w:ascii="黑体" w:hAnsi="黑体" w:eastAsia="黑体" w:cs="黑体"/>
          <w:spacing w:val="0"/>
          <w:kern w:val="0"/>
          <w:sz w:val="56"/>
          <w:szCs w:val="56"/>
        </w:rPr>
      </w:pPr>
    </w:p>
    <w:p w14:paraId="2EC3EC1D">
      <w:pPr>
        <w:pStyle w:val="31"/>
        <w:widowControl/>
        <w:spacing w:before="100" w:after="100"/>
        <w:ind w:left="0" w:right="0" w:firstLine="0"/>
        <w:jc w:val="left"/>
        <w:rPr>
          <w:rFonts w:ascii="黑体" w:hAnsi="黑体" w:eastAsia="黑体" w:cs="黑体"/>
          <w:spacing w:val="0"/>
          <w:kern w:val="0"/>
          <w:sz w:val="56"/>
          <w:szCs w:val="56"/>
        </w:rPr>
      </w:pPr>
    </w:p>
    <w:p w14:paraId="78610D03">
      <w:pPr>
        <w:pStyle w:val="31"/>
        <w:widowControl/>
        <w:spacing w:before="100" w:after="100"/>
        <w:ind w:left="0" w:right="0" w:firstLine="0"/>
        <w:jc w:val="left"/>
        <w:rPr>
          <w:rFonts w:ascii="黑体" w:hAnsi="黑体" w:eastAsia="黑体" w:cs="黑体"/>
          <w:spacing w:val="0"/>
          <w:kern w:val="0"/>
          <w:sz w:val="56"/>
          <w:szCs w:val="56"/>
        </w:rPr>
      </w:pPr>
    </w:p>
    <w:p w14:paraId="4358CF3F">
      <w:pPr>
        <w:pStyle w:val="31"/>
        <w:widowControl/>
        <w:spacing w:before="100" w:after="100"/>
        <w:ind w:left="0" w:right="0" w:firstLine="0"/>
        <w:jc w:val="left"/>
        <w:outlineLvl w:val="0"/>
        <w:rPr>
          <w:rFonts w:ascii="Times New Roman" w:hAnsi="Times New Roman" w:eastAsia="Times New Roman" w:cs="Times New Roman"/>
          <w:kern w:val="0"/>
          <w:sz w:val="24"/>
        </w:rPr>
      </w:pPr>
      <w:bookmarkStart w:id="25" w:name="_Toc23627"/>
      <w:r>
        <w:rPr>
          <w:rFonts w:ascii="黑体" w:hAnsi="黑体" w:eastAsia="黑体" w:cs="黑体"/>
          <w:spacing w:val="0"/>
          <w:kern w:val="0"/>
          <w:sz w:val="56"/>
          <w:szCs w:val="56"/>
        </w:rPr>
        <w:t>第四部分</w:t>
      </w:r>
      <w:r>
        <w:rPr>
          <w:rFonts w:ascii="宋体" w:hAnsi="宋体" w:cs="宋体"/>
          <w:spacing w:val="0"/>
          <w:kern w:val="0"/>
          <w:sz w:val="56"/>
          <w:szCs w:val="56"/>
        </w:rPr>
        <w:t> </w:t>
      </w:r>
      <w:bookmarkEnd w:id="25"/>
    </w:p>
    <w:p w14:paraId="34369AA5">
      <w:pPr>
        <w:pStyle w:val="31"/>
        <w:widowControl/>
        <w:spacing w:before="100" w:after="100"/>
        <w:ind w:left="0" w:right="0" w:firstLine="0"/>
        <w:jc w:val="center"/>
        <w:rPr>
          <w:rFonts w:ascii="Times New Roman" w:hAnsi="Times New Roman" w:eastAsia="Times New Roman" w:cs="Times New Roman"/>
          <w:kern w:val="0"/>
          <w:sz w:val="24"/>
        </w:rPr>
      </w:pPr>
      <w:r>
        <w:rPr>
          <w:rFonts w:ascii="黑体" w:hAnsi="黑体" w:eastAsia="黑体" w:cs="黑体"/>
          <w:spacing w:val="0"/>
          <w:kern w:val="0"/>
          <w:sz w:val="56"/>
          <w:szCs w:val="56"/>
        </w:rPr>
        <w:t>名词解释</w:t>
      </w:r>
    </w:p>
    <w:p w14:paraId="7C1378A0">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14:paraId="52D1D222">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14:paraId="7D1B40D5">
      <w:pPr>
        <w:pStyle w:val="31"/>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一、财政拨款收入：指单位从本级财政部门取得的财政预算资金，包括一般公共预算财政拨款、政府性基金预算财政拨款和国有资本经营预算财政拨款。</w:t>
      </w:r>
    </w:p>
    <w:p w14:paraId="6ECD6EF9">
      <w:pPr>
        <w:pStyle w:val="31"/>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二、事业收入：指事业单位开展专业业务活动及辅助活动所取得的收入。</w:t>
      </w:r>
    </w:p>
    <w:p w14:paraId="16511558">
      <w:pPr>
        <w:pStyle w:val="31"/>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三、经营收入：指事业单位在专业业务活动及其辅助活动之外开展非独立核算经营活动取得的收入。</w:t>
      </w:r>
    </w:p>
    <w:p w14:paraId="56ECC680">
      <w:pPr>
        <w:pStyle w:val="31"/>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四、其他收入：指除上述“财政拨款收入”“事业收入”</w:t>
      </w:r>
      <w:r>
        <w:rPr>
          <w:rFonts w:ascii="宋体" w:hAnsi="宋体" w:cs="宋体"/>
          <w:spacing w:val="0"/>
          <w:kern w:val="0"/>
          <w:sz w:val="32"/>
          <w:szCs w:val="32"/>
        </w:rPr>
        <w:t> </w:t>
      </w:r>
      <w:r>
        <w:rPr>
          <w:rFonts w:ascii="仿宋" w:hAnsi="仿宋" w:eastAsia="仿宋" w:cs="仿宋"/>
          <w:spacing w:val="0"/>
          <w:kern w:val="0"/>
          <w:sz w:val="32"/>
          <w:szCs w:val="32"/>
        </w:rPr>
        <w:t>“上级补助收入”“附属单位上缴收入”“经营收入”等以外取得的各项收入。主要是事业单位固定资产出租收入等。</w:t>
      </w:r>
    </w:p>
    <w:p w14:paraId="5BE39571">
      <w:pPr>
        <w:pStyle w:val="31"/>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五、使用非财政拨款结余：指事业单位使用以前年度积累的非财政拨款结余弥补当年收支差额的金额。</w:t>
      </w:r>
    </w:p>
    <w:p w14:paraId="6EA41C08">
      <w:pPr>
        <w:pStyle w:val="31"/>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六、年初结转和结余：指单位以前年度尚未完成、结转到本年仍按原规定用途继续使用的资金，或项目已完成等产生的结余资金。</w:t>
      </w:r>
    </w:p>
    <w:p w14:paraId="3D9F8CAB">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七、结余分配：指事业单位按照会计制度规定缴纳的所得税、提取的专用结余以及转入非财政拨款结余的金额等。</w:t>
      </w:r>
    </w:p>
    <w:p w14:paraId="4AB9C6EA">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八、年末结转和结余：指单位按有关规定结转到下年或以后年度继续使用的资金，或项目已完成等产生的结余资金。</w:t>
      </w:r>
    </w:p>
    <w:p w14:paraId="305475F5">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九、基本支出：指为保障机构正常运转、完成日常工作任务而发生的人员支出和公用支出。</w:t>
      </w:r>
    </w:p>
    <w:p w14:paraId="7BB96219">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十、项目支出：指在基本支出之外为完成特定行政任务和事业发展目标所发生的支出。</w:t>
      </w:r>
    </w:p>
    <w:p w14:paraId="4B341497">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十一、经营支出：指事业单位在专业业务活动及其辅助活动之外开展非独立核算经营活动发生的支出。</w:t>
      </w:r>
    </w:p>
    <w:p w14:paraId="2BA5B34D">
      <w:pPr>
        <w:pStyle w:val="30"/>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十二、“三公”经费：纳入本级财政预决算管理的“三公”经费，是指本级部门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w:t>
      </w:r>
      <w:r>
        <w:rPr>
          <w:rFonts w:ascii="仿宋" w:hAnsi="仿宋" w:eastAsia="仿宋" w:cs="仿宋"/>
          <w:spacing w:val="0"/>
          <w:kern w:val="0"/>
          <w:sz w:val="32"/>
          <w:szCs w:val="32"/>
          <w:u w:val="single"/>
        </w:rPr>
        <w:t>、牌照费</w:t>
      </w:r>
      <w:r>
        <w:rPr>
          <w:rFonts w:ascii="仿宋" w:hAnsi="仿宋" w:eastAsia="仿宋" w:cs="仿宋"/>
          <w:spacing w:val="0"/>
          <w:kern w:val="0"/>
          <w:sz w:val="32"/>
          <w:szCs w:val="32"/>
        </w:rPr>
        <w:t>）及燃料费、维修费、过桥过路费、保险费</w:t>
      </w:r>
      <w:r>
        <w:rPr>
          <w:rFonts w:ascii="仿宋" w:hAnsi="仿宋" w:eastAsia="仿宋" w:cs="仿宋"/>
          <w:spacing w:val="0"/>
          <w:kern w:val="0"/>
          <w:sz w:val="32"/>
          <w:szCs w:val="32"/>
          <w:u w:val="single"/>
        </w:rPr>
        <w:t>、安全奖励费用</w:t>
      </w:r>
      <w:r>
        <w:rPr>
          <w:rFonts w:ascii="仿宋" w:hAnsi="仿宋" w:eastAsia="仿宋" w:cs="仿宋"/>
          <w:spacing w:val="0"/>
          <w:kern w:val="0"/>
          <w:sz w:val="32"/>
          <w:szCs w:val="32"/>
        </w:rPr>
        <w:t>等支出；公务接待费反映单位按规定开支的各类公务接待（含外宾接待）支出。</w:t>
      </w:r>
    </w:p>
    <w:p w14:paraId="660E3102">
      <w:pPr>
        <w:pStyle w:val="31"/>
        <w:widowControl/>
        <w:spacing w:before="100" w:after="100"/>
        <w:ind w:left="0" w:right="0" w:firstLine="643"/>
        <w:jc w:val="left"/>
        <w:rPr>
          <w:rFonts w:ascii="Times New Roman" w:hAnsi="Times New Roman" w:eastAsia="Times New Roman" w:cs="Times New Roman"/>
          <w:kern w:val="0"/>
          <w:sz w:val="24"/>
        </w:rPr>
      </w:pPr>
      <w:r>
        <w:rPr>
          <w:rFonts w:ascii="仿宋" w:hAnsi="仿宋" w:eastAsia="仿宋" w:cs="仿宋"/>
          <w:spacing w:val="0"/>
          <w:kern w:val="0"/>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5A933C1">
      <w:pPr>
        <w:pStyle w:val="31"/>
        <w:widowControl/>
        <w:spacing w:before="100" w:after="100"/>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14:paraId="750AEC5F">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14:paraId="3E6D3729">
      <w:pPr>
        <w:pStyle w:val="31"/>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56"/>
          <w:szCs w:val="56"/>
        </w:rPr>
        <w:t> </w:t>
      </w:r>
    </w:p>
    <w:p w14:paraId="0F422E83">
      <w:pPr>
        <w:pStyle w:val="31"/>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56"/>
          <w:szCs w:val="56"/>
        </w:rPr>
        <w:t> </w:t>
      </w:r>
    </w:p>
    <w:p w14:paraId="5550B419">
      <w:pPr>
        <w:pStyle w:val="31"/>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56"/>
          <w:szCs w:val="56"/>
        </w:rPr>
        <w:t> </w:t>
      </w:r>
    </w:p>
    <w:p w14:paraId="69851B5B">
      <w:pPr>
        <w:pStyle w:val="31"/>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56"/>
          <w:szCs w:val="56"/>
        </w:rPr>
        <w:t> </w:t>
      </w:r>
    </w:p>
    <w:p w14:paraId="5D2B5B8D">
      <w:pPr>
        <w:pStyle w:val="31"/>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56"/>
          <w:szCs w:val="56"/>
        </w:rPr>
        <w:t> </w:t>
      </w:r>
    </w:p>
    <w:p w14:paraId="0F401631">
      <w:pPr>
        <w:pStyle w:val="31"/>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56"/>
          <w:szCs w:val="56"/>
        </w:rPr>
        <w:t> </w:t>
      </w:r>
    </w:p>
    <w:p w14:paraId="3653169E">
      <w:pPr>
        <w:pStyle w:val="31"/>
        <w:widowControl/>
        <w:spacing w:before="100" w:after="100"/>
        <w:ind w:left="0" w:right="0" w:firstLine="0"/>
        <w:jc w:val="left"/>
        <w:rPr>
          <w:rFonts w:ascii="黑体" w:hAnsi="黑体" w:eastAsia="黑体" w:cs="黑体"/>
          <w:spacing w:val="0"/>
          <w:kern w:val="0"/>
          <w:sz w:val="56"/>
          <w:szCs w:val="56"/>
        </w:rPr>
      </w:pPr>
    </w:p>
    <w:p w14:paraId="3EC96F29">
      <w:pPr>
        <w:pStyle w:val="31"/>
        <w:widowControl/>
        <w:spacing w:before="100" w:after="100"/>
        <w:ind w:left="0" w:right="0" w:firstLine="0"/>
        <w:jc w:val="left"/>
        <w:rPr>
          <w:rFonts w:ascii="黑体" w:hAnsi="黑体" w:eastAsia="黑体" w:cs="黑体"/>
          <w:spacing w:val="0"/>
          <w:kern w:val="0"/>
          <w:sz w:val="56"/>
          <w:szCs w:val="56"/>
        </w:rPr>
      </w:pPr>
    </w:p>
    <w:p w14:paraId="59417CC3">
      <w:pPr>
        <w:pStyle w:val="31"/>
        <w:widowControl/>
        <w:spacing w:before="100" w:after="100"/>
        <w:ind w:left="0" w:right="0" w:firstLine="0"/>
        <w:jc w:val="left"/>
        <w:rPr>
          <w:rFonts w:ascii="黑体" w:hAnsi="黑体" w:eastAsia="黑体" w:cs="黑体"/>
          <w:spacing w:val="0"/>
          <w:kern w:val="0"/>
          <w:sz w:val="56"/>
          <w:szCs w:val="56"/>
        </w:rPr>
      </w:pPr>
    </w:p>
    <w:p w14:paraId="22DEC3F6">
      <w:pPr>
        <w:pStyle w:val="31"/>
        <w:widowControl/>
        <w:spacing w:before="100" w:after="100"/>
        <w:ind w:left="0" w:right="0" w:firstLine="0"/>
        <w:jc w:val="left"/>
        <w:rPr>
          <w:rFonts w:ascii="黑体" w:hAnsi="黑体" w:eastAsia="黑体" w:cs="黑体"/>
          <w:spacing w:val="0"/>
          <w:kern w:val="0"/>
          <w:sz w:val="56"/>
          <w:szCs w:val="56"/>
        </w:rPr>
      </w:pPr>
    </w:p>
    <w:p w14:paraId="5B64A9BF">
      <w:pPr>
        <w:pStyle w:val="31"/>
        <w:widowControl/>
        <w:spacing w:before="100" w:after="100"/>
        <w:ind w:left="0" w:right="0" w:firstLine="0"/>
        <w:jc w:val="left"/>
        <w:rPr>
          <w:rFonts w:ascii="黑体" w:hAnsi="黑体" w:eastAsia="黑体" w:cs="黑体"/>
          <w:spacing w:val="0"/>
          <w:kern w:val="0"/>
          <w:sz w:val="56"/>
          <w:szCs w:val="56"/>
        </w:rPr>
      </w:pPr>
    </w:p>
    <w:p w14:paraId="6C9DB98A">
      <w:pPr>
        <w:pStyle w:val="31"/>
        <w:widowControl/>
        <w:spacing w:before="100" w:after="100"/>
        <w:ind w:left="0" w:right="0" w:firstLine="0"/>
        <w:jc w:val="left"/>
        <w:rPr>
          <w:rFonts w:ascii="黑体" w:hAnsi="黑体" w:eastAsia="黑体" w:cs="黑体"/>
          <w:spacing w:val="0"/>
          <w:kern w:val="0"/>
          <w:sz w:val="56"/>
          <w:szCs w:val="56"/>
        </w:rPr>
      </w:pPr>
    </w:p>
    <w:p w14:paraId="6B5692A8">
      <w:pPr>
        <w:pStyle w:val="31"/>
        <w:widowControl/>
        <w:spacing w:before="100" w:after="100"/>
        <w:ind w:left="0" w:right="0" w:firstLine="0"/>
        <w:jc w:val="left"/>
        <w:outlineLvl w:val="0"/>
        <w:rPr>
          <w:rFonts w:ascii="Times New Roman" w:hAnsi="Times New Roman" w:eastAsia="Times New Roman" w:cs="Times New Roman"/>
          <w:kern w:val="0"/>
          <w:sz w:val="24"/>
        </w:rPr>
      </w:pPr>
      <w:bookmarkStart w:id="26" w:name="_Toc4575"/>
      <w:r>
        <w:rPr>
          <w:rFonts w:ascii="黑体" w:hAnsi="黑体" w:eastAsia="黑体" w:cs="黑体"/>
          <w:spacing w:val="0"/>
          <w:kern w:val="0"/>
          <w:sz w:val="56"/>
          <w:szCs w:val="56"/>
        </w:rPr>
        <w:t>第五部分</w:t>
      </w:r>
      <w:r>
        <w:rPr>
          <w:rFonts w:ascii="宋体" w:hAnsi="宋体" w:cs="宋体"/>
          <w:spacing w:val="0"/>
          <w:kern w:val="0"/>
          <w:sz w:val="56"/>
          <w:szCs w:val="56"/>
        </w:rPr>
        <w:t> </w:t>
      </w:r>
      <w:bookmarkEnd w:id="26"/>
    </w:p>
    <w:p w14:paraId="66E92CA9">
      <w:pPr>
        <w:pStyle w:val="31"/>
        <w:widowControl/>
        <w:spacing w:before="100" w:after="100"/>
        <w:ind w:left="0" w:right="0" w:firstLine="0"/>
        <w:jc w:val="center"/>
        <w:outlineLvl w:val="1"/>
        <w:rPr>
          <w:rFonts w:ascii="Times New Roman" w:hAnsi="Times New Roman" w:eastAsia="Times New Roman" w:cs="Times New Roman"/>
          <w:kern w:val="0"/>
          <w:sz w:val="24"/>
        </w:rPr>
      </w:pPr>
      <w:bookmarkStart w:id="27" w:name="_Toc18509"/>
      <w:r>
        <w:rPr>
          <w:rFonts w:ascii="黑体" w:hAnsi="黑体" w:eastAsia="黑体" w:cs="黑体"/>
          <w:spacing w:val="0"/>
          <w:kern w:val="0"/>
          <w:sz w:val="56"/>
          <w:szCs w:val="56"/>
        </w:rPr>
        <w:t>附件</w:t>
      </w:r>
      <w:bookmarkEnd w:id="27"/>
    </w:p>
    <w:p w14:paraId="7D84984A">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14:paraId="69015E60">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一、项目支出绩效自评表</w:t>
      </w:r>
    </w:p>
    <w:tbl>
      <w:tblPr>
        <w:tblStyle w:val="32"/>
        <w:tblW w:w="9021" w:type="dxa"/>
        <w:jc w:val="center"/>
        <w:tblCellSpacing w:w="0" w:type="dxa"/>
        <w:tblLayout w:type="fixed"/>
        <w:tblCellMar>
          <w:top w:w="15" w:type="dxa"/>
          <w:left w:w="15" w:type="dxa"/>
          <w:bottom w:w="15" w:type="dxa"/>
          <w:right w:w="15" w:type="dxa"/>
        </w:tblCellMar>
      </w:tblPr>
      <w:tblGrid>
        <w:gridCol w:w="1081"/>
        <w:gridCol w:w="770"/>
        <w:gridCol w:w="1488"/>
        <w:gridCol w:w="441"/>
        <w:gridCol w:w="897"/>
        <w:gridCol w:w="17"/>
        <w:gridCol w:w="913"/>
        <w:gridCol w:w="902"/>
        <w:gridCol w:w="265"/>
        <w:gridCol w:w="467"/>
        <w:gridCol w:w="343"/>
        <w:gridCol w:w="596"/>
        <w:gridCol w:w="851"/>
        <w:gridCol w:w="925"/>
      </w:tblGrid>
      <w:tr w14:paraId="287ECB36">
        <w:tblPrEx>
          <w:tblCellMar>
            <w:top w:w="15" w:type="dxa"/>
            <w:left w:w="15" w:type="dxa"/>
            <w:bottom w:w="15" w:type="dxa"/>
            <w:right w:w="15" w:type="dxa"/>
          </w:tblCellMar>
        </w:tblPrEx>
        <w:trPr>
          <w:trHeight w:val="454" w:hRule="atLeast"/>
          <w:tblHeader/>
          <w:tblCellSpacing w:w="0" w:type="dxa"/>
          <w:jc w:val="center"/>
        </w:trPr>
        <w:tc>
          <w:tcPr>
            <w:tcW w:w="9237" w:type="dxa"/>
            <w:gridSpan w:val="14"/>
            <w:noWrap w:val="0"/>
            <w:tcMar>
              <w:top w:w="0" w:type="dxa"/>
              <w:left w:w="108" w:type="dxa"/>
              <w:bottom w:w="0" w:type="dxa"/>
              <w:right w:w="108" w:type="dxa"/>
            </w:tcMar>
            <w:vAlign w:val="center"/>
          </w:tcPr>
          <w:p w14:paraId="30DE807E">
            <w:pPr>
              <w:pStyle w:val="31"/>
              <w:widowControl/>
              <w:spacing w:before="100" w:after="100" w:line="32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32"/>
                <w:szCs w:val="32"/>
              </w:rPr>
              <w:t>项目支出绩效自评表</w:t>
            </w:r>
          </w:p>
        </w:tc>
      </w:tr>
      <w:tr w14:paraId="3B51FF82">
        <w:tblPrEx>
          <w:tblCellMar>
            <w:top w:w="15" w:type="dxa"/>
            <w:left w:w="15" w:type="dxa"/>
            <w:bottom w:w="15" w:type="dxa"/>
            <w:right w:w="15" w:type="dxa"/>
          </w:tblCellMar>
        </w:tblPrEx>
        <w:trPr>
          <w:trHeight w:val="201" w:hRule="atLeast"/>
          <w:tblHeader/>
          <w:tblCellSpacing w:w="0" w:type="dxa"/>
          <w:jc w:val="center"/>
        </w:trPr>
        <w:tc>
          <w:tcPr>
            <w:tcW w:w="9237" w:type="dxa"/>
            <w:gridSpan w:val="14"/>
            <w:noWrap w:val="0"/>
            <w:tcMar>
              <w:top w:w="0" w:type="dxa"/>
              <w:left w:w="108" w:type="dxa"/>
              <w:bottom w:w="0" w:type="dxa"/>
              <w:right w:w="108" w:type="dxa"/>
            </w:tcMar>
            <w:vAlign w:val="top"/>
          </w:tcPr>
          <w:p w14:paraId="29996793">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22"/>
                <w:szCs w:val="22"/>
              </w:rPr>
              <w:t>（    年度）</w:t>
            </w:r>
          </w:p>
        </w:tc>
      </w:tr>
      <w:tr w14:paraId="7767C0AE">
        <w:tblPrEx>
          <w:tblCellMar>
            <w:top w:w="15" w:type="dxa"/>
            <w:left w:w="15" w:type="dxa"/>
            <w:bottom w:w="15" w:type="dxa"/>
            <w:right w:w="15" w:type="dxa"/>
          </w:tblCellMar>
        </w:tblPrEx>
        <w:trPr>
          <w:trHeight w:val="300" w:hRule="atLeast"/>
          <w:tblHeader/>
          <w:tblCellSpacing w:w="0" w:type="dxa"/>
          <w:jc w:val="center"/>
        </w:trPr>
        <w:tc>
          <w:tcPr>
            <w:tcW w:w="1804" w:type="dxa"/>
            <w:gridSpan w:val="2"/>
            <w:tcBorders>
              <w:top w:val="single" w:color="000000" w:sz="8" w:space="0"/>
              <w:left w:val="single" w:color="000000" w:sz="8" w:space="0"/>
              <w:bottom w:val="single" w:color="000000" w:sz="8" w:space="0"/>
              <w:right w:val="single" w:color="000000" w:sz="8" w:space="0"/>
            </w:tcBorders>
            <w:noWrap w:val="0"/>
            <w:tcMar>
              <w:top w:w="10" w:type="dxa"/>
              <w:left w:w="118" w:type="dxa"/>
              <w:bottom w:w="10" w:type="dxa"/>
              <w:right w:w="118" w:type="dxa"/>
            </w:tcMar>
            <w:vAlign w:val="center"/>
          </w:tcPr>
          <w:p w14:paraId="315F4EAD">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项目名称</w:t>
            </w:r>
          </w:p>
        </w:tc>
        <w:tc>
          <w:tcPr>
            <w:tcW w:w="7679" w:type="dxa"/>
            <w:gridSpan w:val="12"/>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0295FA0E">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14:paraId="414FB36C">
        <w:tblPrEx>
          <w:tblCellMar>
            <w:top w:w="15" w:type="dxa"/>
            <w:left w:w="15" w:type="dxa"/>
            <w:bottom w:w="15" w:type="dxa"/>
            <w:right w:w="15" w:type="dxa"/>
          </w:tblCellMar>
        </w:tblPrEx>
        <w:trPr>
          <w:trHeight w:val="300" w:hRule="atLeast"/>
          <w:tblHeader/>
          <w:tblCellSpacing w:w="0" w:type="dxa"/>
          <w:jc w:val="center"/>
        </w:trPr>
        <w:tc>
          <w:tcPr>
            <w:tcW w:w="1804" w:type="dxa"/>
            <w:gridSpan w:val="2"/>
            <w:tcBorders>
              <w:left w:val="single" w:color="000000" w:sz="8" w:space="0"/>
              <w:bottom w:val="single" w:color="000000" w:sz="8" w:space="0"/>
              <w:right w:val="single" w:color="000000" w:sz="8" w:space="0"/>
            </w:tcBorders>
            <w:noWrap w:val="0"/>
            <w:tcMar>
              <w:top w:w="0" w:type="dxa"/>
              <w:left w:w="118" w:type="dxa"/>
              <w:bottom w:w="10" w:type="dxa"/>
              <w:right w:w="118" w:type="dxa"/>
            </w:tcMar>
            <w:vAlign w:val="center"/>
          </w:tcPr>
          <w:p w14:paraId="16370912">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主管部门</w:t>
            </w:r>
          </w:p>
        </w:tc>
        <w:tc>
          <w:tcPr>
            <w:tcW w:w="4277" w:type="dxa"/>
            <w:gridSpan w:val="5"/>
            <w:tcBorders>
              <w:bottom w:val="single" w:color="000000" w:sz="8" w:space="0"/>
              <w:right w:val="single" w:color="000000" w:sz="8" w:space="0"/>
            </w:tcBorders>
            <w:noWrap w:val="0"/>
            <w:tcMar>
              <w:top w:w="0" w:type="dxa"/>
              <w:left w:w="108" w:type="dxa"/>
              <w:bottom w:w="10" w:type="dxa"/>
              <w:right w:w="118" w:type="dxa"/>
            </w:tcMar>
            <w:vAlign w:val="center"/>
          </w:tcPr>
          <w:p w14:paraId="6749D412">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2139D3A">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实施单位</w:t>
            </w:r>
          </w:p>
        </w:tc>
        <w:tc>
          <w:tcPr>
            <w:tcW w:w="2494" w:type="dxa"/>
            <w:gridSpan w:val="5"/>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756D1D94">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14:paraId="756F89FA">
        <w:tblPrEx>
          <w:tblCellMar>
            <w:top w:w="15" w:type="dxa"/>
            <w:left w:w="15" w:type="dxa"/>
            <w:bottom w:w="15" w:type="dxa"/>
            <w:right w:w="15" w:type="dxa"/>
          </w:tblCellMar>
        </w:tblPrEx>
        <w:trPr>
          <w:trHeight w:val="300" w:hRule="atLeast"/>
          <w:tblHeader/>
          <w:tblCellSpacing w:w="0" w:type="dxa"/>
          <w:jc w:val="center"/>
        </w:trPr>
        <w:tc>
          <w:tcPr>
            <w:tcW w:w="1804" w:type="dxa"/>
            <w:gridSpan w:val="2"/>
            <w:vMerge w:val="restart"/>
            <w:tcBorders>
              <w:left w:val="single" w:color="000000" w:sz="8" w:space="0"/>
              <w:bottom w:val="single" w:color="000000" w:sz="8" w:space="0"/>
              <w:right w:val="single" w:color="000000" w:sz="8" w:space="0"/>
            </w:tcBorders>
            <w:noWrap w:val="0"/>
            <w:tcMar>
              <w:top w:w="0" w:type="dxa"/>
              <w:left w:w="118" w:type="dxa"/>
              <w:bottom w:w="10" w:type="dxa"/>
              <w:right w:w="118" w:type="dxa"/>
            </w:tcMar>
            <w:vAlign w:val="center"/>
          </w:tcPr>
          <w:p w14:paraId="2E1C3D28">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项目资金</w:t>
            </w:r>
          </w:p>
          <w:p w14:paraId="1939A0FE">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（万元）</w:t>
            </w:r>
          </w:p>
        </w:tc>
        <w:tc>
          <w:tcPr>
            <w:tcW w:w="2610"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1962AAA1">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50C6056D">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年初预算数</w:t>
            </w:r>
          </w:p>
        </w:tc>
        <w:tc>
          <w:tcPr>
            <w:tcW w:w="759" w:type="dxa"/>
            <w:tcBorders>
              <w:bottom w:val="single" w:color="000000" w:sz="8" w:space="0"/>
              <w:right w:val="single" w:color="000000" w:sz="8" w:space="0"/>
            </w:tcBorders>
            <w:noWrap w:val="0"/>
            <w:tcMar>
              <w:top w:w="0" w:type="dxa"/>
              <w:left w:w="108" w:type="dxa"/>
              <w:bottom w:w="10" w:type="dxa"/>
              <w:right w:w="118" w:type="dxa"/>
            </w:tcMar>
            <w:vAlign w:val="center"/>
          </w:tcPr>
          <w:p w14:paraId="57F38059">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全年预算数</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23CD6E3B">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全年执行数</w:t>
            </w:r>
          </w:p>
        </w:tc>
        <w:tc>
          <w:tcPr>
            <w:tcW w:w="935"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6389FDFF">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分值</w:t>
            </w:r>
          </w:p>
        </w:tc>
        <w:tc>
          <w:tcPr>
            <w:tcW w:w="1077" w:type="dxa"/>
            <w:gridSpan w:val="2"/>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7BAD2859">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执行率</w:t>
            </w:r>
          </w:p>
        </w:tc>
        <w:tc>
          <w:tcPr>
            <w:tcW w:w="934" w:type="dxa"/>
            <w:tcBorders>
              <w:bottom w:val="single" w:color="000000" w:sz="8" w:space="0"/>
              <w:right w:val="single" w:color="000000" w:sz="8" w:space="0"/>
            </w:tcBorders>
            <w:noWrap w:val="0"/>
            <w:tcMar>
              <w:top w:w="0" w:type="dxa"/>
              <w:left w:w="108" w:type="dxa"/>
              <w:bottom w:w="10" w:type="dxa"/>
              <w:right w:w="118" w:type="dxa"/>
            </w:tcMar>
            <w:vAlign w:val="center"/>
          </w:tcPr>
          <w:p w14:paraId="484511C1">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得分</w:t>
            </w:r>
          </w:p>
        </w:tc>
      </w:tr>
      <w:tr w14:paraId="50B43110">
        <w:tblPrEx>
          <w:tblCellMar>
            <w:top w:w="15" w:type="dxa"/>
            <w:left w:w="15" w:type="dxa"/>
            <w:bottom w:w="15" w:type="dxa"/>
            <w:right w:w="15" w:type="dxa"/>
          </w:tblCellMar>
        </w:tblPrEx>
        <w:trPr>
          <w:trHeight w:val="300" w:hRule="atLeast"/>
          <w:tblHeader/>
          <w:tblCellSpacing w:w="0" w:type="dxa"/>
          <w:jc w:val="center"/>
        </w:trPr>
        <w:tc>
          <w:tcPr>
            <w:gridSpan w:val="2"/>
            <w:vMerge w:val="continue"/>
            <w:tcBorders>
              <w:left w:val="single" w:color="000000" w:sz="8" w:space="0"/>
              <w:bottom w:val="single" w:color="000000" w:sz="8" w:space="0"/>
              <w:right w:val="single" w:color="000000" w:sz="8" w:space="0"/>
            </w:tcBorders>
            <w:vAlign w:val="center"/>
          </w:tcPr>
          <w:p w14:paraId="4B76746A">
            <w:pPr>
              <w:rPr>
                <w:rFonts w:ascii="宋体" w:hAnsi="宋体" w:cs="宋体"/>
                <w:b w:val="0"/>
                <w:bCs w:val="0"/>
                <w:i w:val="0"/>
                <w:iCs w:val="0"/>
                <w:smallCaps w:val="0"/>
                <w:color w:val="000000"/>
                <w:kern w:val="0"/>
                <w:sz w:val="18"/>
                <w:szCs w:val="18"/>
              </w:rPr>
            </w:pPr>
          </w:p>
        </w:tc>
        <w:tc>
          <w:tcPr>
            <w:tcW w:w="2610"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26B9D888">
            <w:pPr>
              <w:pStyle w:val="31"/>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年度资金总额</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246FEF94">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59" w:type="dxa"/>
            <w:tcBorders>
              <w:bottom w:val="single" w:color="000000" w:sz="8" w:space="0"/>
              <w:right w:val="single" w:color="000000" w:sz="8" w:space="0"/>
            </w:tcBorders>
            <w:noWrap w:val="0"/>
            <w:tcMar>
              <w:top w:w="0" w:type="dxa"/>
              <w:left w:w="108" w:type="dxa"/>
              <w:bottom w:w="10" w:type="dxa"/>
              <w:right w:w="118" w:type="dxa"/>
            </w:tcMar>
            <w:vAlign w:val="center"/>
          </w:tcPr>
          <w:p w14:paraId="7D9D44D7">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8D1F492">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935"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383486BD">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10</w:t>
            </w:r>
          </w:p>
        </w:tc>
        <w:tc>
          <w:tcPr>
            <w:tcW w:w="1077"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6F656D94">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934" w:type="dxa"/>
            <w:tcBorders>
              <w:bottom w:val="single" w:color="000000" w:sz="8" w:space="0"/>
              <w:right w:val="single" w:color="000000" w:sz="8" w:space="0"/>
            </w:tcBorders>
            <w:noWrap w:val="0"/>
            <w:tcMar>
              <w:top w:w="0" w:type="dxa"/>
              <w:left w:w="108" w:type="dxa"/>
              <w:bottom w:w="10" w:type="dxa"/>
              <w:right w:w="118" w:type="dxa"/>
            </w:tcMar>
            <w:vAlign w:val="center"/>
          </w:tcPr>
          <w:p w14:paraId="673C646B">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14:paraId="62C96907">
        <w:tblPrEx>
          <w:tblCellMar>
            <w:top w:w="15" w:type="dxa"/>
            <w:left w:w="15" w:type="dxa"/>
            <w:bottom w:w="15" w:type="dxa"/>
            <w:right w:w="15" w:type="dxa"/>
          </w:tblCellMar>
        </w:tblPrEx>
        <w:trPr>
          <w:trHeight w:val="300" w:hRule="atLeast"/>
          <w:tblHeader/>
          <w:tblCellSpacing w:w="0" w:type="dxa"/>
          <w:jc w:val="center"/>
        </w:trPr>
        <w:tc>
          <w:tcPr>
            <w:gridSpan w:val="2"/>
            <w:vMerge w:val="continue"/>
            <w:tcBorders>
              <w:left w:val="single" w:color="000000" w:sz="8" w:space="0"/>
              <w:bottom w:val="single" w:color="000000" w:sz="8" w:space="0"/>
              <w:right w:val="single" w:color="000000" w:sz="8" w:space="0"/>
            </w:tcBorders>
            <w:vAlign w:val="center"/>
          </w:tcPr>
          <w:p w14:paraId="5FD05DC9">
            <w:pPr>
              <w:rPr>
                <w:rFonts w:ascii="宋体" w:hAnsi="宋体" w:cs="宋体"/>
                <w:b w:val="0"/>
                <w:bCs w:val="0"/>
                <w:i w:val="0"/>
                <w:iCs w:val="0"/>
                <w:smallCaps w:val="0"/>
                <w:color w:val="000000"/>
                <w:kern w:val="0"/>
                <w:sz w:val="18"/>
                <w:szCs w:val="18"/>
              </w:rPr>
            </w:pPr>
          </w:p>
        </w:tc>
        <w:tc>
          <w:tcPr>
            <w:tcW w:w="2610"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6432322">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其中：当年财政拨款</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05126574">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59" w:type="dxa"/>
            <w:tcBorders>
              <w:bottom w:val="single" w:color="000000" w:sz="8" w:space="0"/>
              <w:right w:val="single" w:color="000000" w:sz="8" w:space="0"/>
            </w:tcBorders>
            <w:noWrap w:val="0"/>
            <w:tcMar>
              <w:top w:w="0" w:type="dxa"/>
              <w:left w:w="108" w:type="dxa"/>
              <w:bottom w:w="10" w:type="dxa"/>
              <w:right w:w="118" w:type="dxa"/>
            </w:tcMar>
            <w:vAlign w:val="center"/>
          </w:tcPr>
          <w:p w14:paraId="0D28F990">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1302A469">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935"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2823C8E6">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w:t>
            </w:r>
          </w:p>
        </w:tc>
        <w:tc>
          <w:tcPr>
            <w:tcW w:w="1077"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E46BA53">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934" w:type="dxa"/>
            <w:tcBorders>
              <w:bottom w:val="single" w:color="000000" w:sz="8" w:space="0"/>
              <w:right w:val="single" w:color="000000" w:sz="8" w:space="0"/>
            </w:tcBorders>
            <w:noWrap w:val="0"/>
            <w:tcMar>
              <w:top w:w="0" w:type="dxa"/>
              <w:left w:w="108" w:type="dxa"/>
              <w:bottom w:w="10" w:type="dxa"/>
              <w:right w:w="118" w:type="dxa"/>
            </w:tcMar>
            <w:vAlign w:val="center"/>
          </w:tcPr>
          <w:p w14:paraId="65968EEB">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w:t>
            </w:r>
          </w:p>
        </w:tc>
      </w:tr>
      <w:tr w14:paraId="267F23A8">
        <w:tblPrEx>
          <w:tblCellMar>
            <w:top w:w="15" w:type="dxa"/>
            <w:left w:w="15" w:type="dxa"/>
            <w:bottom w:w="15" w:type="dxa"/>
            <w:right w:w="15" w:type="dxa"/>
          </w:tblCellMar>
        </w:tblPrEx>
        <w:trPr>
          <w:trHeight w:val="300" w:hRule="atLeast"/>
          <w:tblHeader/>
          <w:tblCellSpacing w:w="0" w:type="dxa"/>
          <w:jc w:val="center"/>
        </w:trPr>
        <w:tc>
          <w:tcPr>
            <w:gridSpan w:val="2"/>
            <w:vMerge w:val="continue"/>
            <w:tcBorders>
              <w:left w:val="single" w:color="000000" w:sz="8" w:space="0"/>
              <w:bottom w:val="single" w:color="000000" w:sz="8" w:space="0"/>
              <w:right w:val="single" w:color="000000" w:sz="8" w:space="0"/>
            </w:tcBorders>
            <w:vAlign w:val="center"/>
          </w:tcPr>
          <w:p w14:paraId="31596363">
            <w:pPr>
              <w:rPr>
                <w:rFonts w:ascii="宋体" w:hAnsi="宋体" w:cs="宋体"/>
                <w:b w:val="0"/>
                <w:bCs w:val="0"/>
                <w:i w:val="0"/>
                <w:iCs w:val="0"/>
                <w:smallCaps w:val="0"/>
                <w:color w:val="000000"/>
                <w:kern w:val="0"/>
                <w:sz w:val="18"/>
                <w:szCs w:val="18"/>
              </w:rPr>
            </w:pPr>
          </w:p>
        </w:tc>
        <w:tc>
          <w:tcPr>
            <w:tcW w:w="2610"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35C2079B">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其他资金</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372AA839">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59" w:type="dxa"/>
            <w:tcBorders>
              <w:bottom w:val="single" w:color="000000" w:sz="8" w:space="0"/>
              <w:right w:val="single" w:color="000000" w:sz="8" w:space="0"/>
            </w:tcBorders>
            <w:noWrap w:val="0"/>
            <w:tcMar>
              <w:top w:w="0" w:type="dxa"/>
              <w:left w:w="108" w:type="dxa"/>
              <w:bottom w:w="10" w:type="dxa"/>
              <w:right w:w="118" w:type="dxa"/>
            </w:tcMar>
            <w:vAlign w:val="center"/>
          </w:tcPr>
          <w:p w14:paraId="25A6241A">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7A3D02DC">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935"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6A614D79">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w:t>
            </w:r>
          </w:p>
        </w:tc>
        <w:tc>
          <w:tcPr>
            <w:tcW w:w="1077"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31EF7963">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934" w:type="dxa"/>
            <w:tcBorders>
              <w:bottom w:val="single" w:color="000000" w:sz="8" w:space="0"/>
              <w:right w:val="single" w:color="000000" w:sz="8" w:space="0"/>
            </w:tcBorders>
            <w:noWrap w:val="0"/>
            <w:tcMar>
              <w:top w:w="0" w:type="dxa"/>
              <w:left w:w="108" w:type="dxa"/>
              <w:bottom w:w="10" w:type="dxa"/>
              <w:right w:w="118" w:type="dxa"/>
            </w:tcMar>
            <w:vAlign w:val="center"/>
          </w:tcPr>
          <w:p w14:paraId="4E20F17D">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w:t>
            </w:r>
          </w:p>
        </w:tc>
      </w:tr>
      <w:tr w14:paraId="6570CA3F">
        <w:tblPrEx>
          <w:tblCellMar>
            <w:top w:w="15" w:type="dxa"/>
            <w:left w:w="15" w:type="dxa"/>
            <w:bottom w:w="15" w:type="dxa"/>
            <w:right w:w="15" w:type="dxa"/>
          </w:tblCellMar>
        </w:tblPrEx>
        <w:trPr>
          <w:trHeight w:val="300" w:hRule="atLeast"/>
          <w:tblHeader/>
          <w:tblCellSpacing w:w="0" w:type="dxa"/>
          <w:jc w:val="center"/>
        </w:trPr>
        <w:tc>
          <w:tcPr>
            <w:tcW w:w="824" w:type="dxa"/>
            <w:vMerge w:val="restart"/>
            <w:tcBorders>
              <w:left w:val="single" w:color="000000" w:sz="8" w:space="0"/>
              <w:bottom w:val="single" w:color="000000" w:sz="8" w:space="0"/>
              <w:right w:val="single" w:color="000000" w:sz="8" w:space="0"/>
            </w:tcBorders>
            <w:noWrap w:val="0"/>
            <w:tcMar>
              <w:top w:w="0" w:type="dxa"/>
              <w:left w:w="118" w:type="dxa"/>
              <w:bottom w:w="10" w:type="dxa"/>
              <w:right w:w="118" w:type="dxa"/>
            </w:tcMar>
            <w:vAlign w:val="center"/>
          </w:tcPr>
          <w:p w14:paraId="5F9AC669">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年度总体目标</w:t>
            </w:r>
          </w:p>
        </w:tc>
        <w:tc>
          <w:tcPr>
            <w:tcW w:w="5257" w:type="dxa"/>
            <w:gridSpan w:val="6"/>
            <w:tcBorders>
              <w:bottom w:val="single" w:color="000000" w:sz="8" w:space="0"/>
              <w:right w:val="single" w:color="000000" w:sz="8" w:space="0"/>
            </w:tcBorders>
            <w:noWrap w:val="0"/>
            <w:tcMar>
              <w:top w:w="0" w:type="dxa"/>
              <w:left w:w="108" w:type="dxa"/>
              <w:bottom w:w="10" w:type="dxa"/>
              <w:right w:w="118" w:type="dxa"/>
            </w:tcMar>
            <w:vAlign w:val="center"/>
          </w:tcPr>
          <w:p w14:paraId="6D1CFC3C">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预期目标</w:t>
            </w:r>
          </w:p>
        </w:tc>
        <w:tc>
          <w:tcPr>
            <w:tcW w:w="3628" w:type="dxa"/>
            <w:gridSpan w:val="7"/>
            <w:tcBorders>
              <w:bottom w:val="single" w:color="000000" w:sz="8" w:space="0"/>
              <w:right w:val="single" w:color="000000" w:sz="8" w:space="0"/>
            </w:tcBorders>
            <w:noWrap w:val="0"/>
            <w:tcMar>
              <w:top w:w="0" w:type="dxa"/>
              <w:left w:w="108" w:type="dxa"/>
              <w:bottom w:w="10" w:type="dxa"/>
              <w:right w:w="118" w:type="dxa"/>
            </w:tcMar>
            <w:vAlign w:val="center"/>
          </w:tcPr>
          <w:p w14:paraId="2DFA7C76">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实际完成情况</w:t>
            </w:r>
          </w:p>
        </w:tc>
      </w:tr>
      <w:tr w14:paraId="582EA64C">
        <w:tblPrEx>
          <w:tblCellMar>
            <w:top w:w="15" w:type="dxa"/>
            <w:left w:w="15" w:type="dxa"/>
            <w:bottom w:w="15" w:type="dxa"/>
            <w:right w:w="15" w:type="dxa"/>
          </w:tblCellMar>
        </w:tblPrEx>
        <w:trPr>
          <w:trHeight w:val="597" w:hRule="atLeast"/>
          <w:tblHeader/>
          <w:tblCellSpacing w:w="0" w:type="dxa"/>
          <w:jc w:val="center"/>
        </w:trPr>
        <w:tc>
          <w:tcPr>
            <w:vMerge w:val="continue"/>
            <w:tcBorders>
              <w:left w:val="single" w:color="000000" w:sz="8" w:space="0"/>
              <w:bottom w:val="single" w:color="000000" w:sz="8" w:space="0"/>
              <w:right w:val="single" w:color="000000" w:sz="8" w:space="0"/>
            </w:tcBorders>
            <w:vAlign w:val="center"/>
          </w:tcPr>
          <w:p w14:paraId="517ED967">
            <w:pPr>
              <w:rPr>
                <w:rFonts w:ascii="宋体" w:hAnsi="宋体" w:cs="宋体"/>
                <w:b w:val="0"/>
                <w:bCs w:val="0"/>
                <w:i w:val="0"/>
                <w:iCs w:val="0"/>
                <w:smallCaps w:val="0"/>
                <w:color w:val="000000"/>
                <w:kern w:val="0"/>
                <w:sz w:val="18"/>
                <w:szCs w:val="18"/>
              </w:rPr>
            </w:pPr>
          </w:p>
        </w:tc>
        <w:tc>
          <w:tcPr>
            <w:tcW w:w="5257" w:type="dxa"/>
            <w:gridSpan w:val="6"/>
            <w:tcBorders>
              <w:bottom w:val="single" w:color="000000" w:sz="8" w:space="0"/>
              <w:right w:val="single" w:color="000000" w:sz="8" w:space="0"/>
            </w:tcBorders>
            <w:noWrap w:val="0"/>
            <w:tcMar>
              <w:top w:w="0" w:type="dxa"/>
              <w:left w:w="108" w:type="dxa"/>
              <w:bottom w:w="10" w:type="dxa"/>
              <w:right w:w="118" w:type="dxa"/>
            </w:tcMar>
            <w:vAlign w:val="center"/>
          </w:tcPr>
          <w:p w14:paraId="5247B657">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3628" w:type="dxa"/>
            <w:gridSpan w:val="7"/>
            <w:tcBorders>
              <w:bottom w:val="single" w:color="000000" w:sz="8" w:space="0"/>
              <w:right w:val="single" w:color="000000" w:sz="8" w:space="0"/>
            </w:tcBorders>
            <w:noWrap w:val="0"/>
            <w:tcMar>
              <w:top w:w="0" w:type="dxa"/>
              <w:left w:w="108" w:type="dxa"/>
              <w:bottom w:w="10" w:type="dxa"/>
              <w:right w:w="118" w:type="dxa"/>
            </w:tcMar>
            <w:vAlign w:val="center"/>
          </w:tcPr>
          <w:p w14:paraId="501B9478">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14:paraId="767B7461">
        <w:tblPrEx>
          <w:tblCellMar>
            <w:top w:w="15" w:type="dxa"/>
            <w:left w:w="15" w:type="dxa"/>
            <w:bottom w:w="15" w:type="dxa"/>
            <w:right w:w="15" w:type="dxa"/>
          </w:tblCellMar>
        </w:tblPrEx>
        <w:trPr>
          <w:trHeight w:val="533" w:hRule="atLeast"/>
          <w:tblHeader/>
          <w:tblCellSpacing w:w="0" w:type="dxa"/>
          <w:jc w:val="center"/>
        </w:trPr>
        <w:tc>
          <w:tcPr>
            <w:tcW w:w="824" w:type="dxa"/>
            <w:vMerge w:val="restart"/>
            <w:tcBorders>
              <w:left w:val="single" w:color="000000" w:sz="8" w:space="0"/>
              <w:right w:val="single" w:color="000000" w:sz="8" w:space="0"/>
            </w:tcBorders>
            <w:noWrap w:val="0"/>
            <w:tcMar>
              <w:top w:w="0" w:type="dxa"/>
              <w:left w:w="118" w:type="dxa"/>
              <w:bottom w:w="0" w:type="dxa"/>
              <w:right w:w="118" w:type="dxa"/>
            </w:tcMar>
            <w:vAlign w:val="center"/>
          </w:tcPr>
          <w:p w14:paraId="04BECAEC">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绩</w:t>
            </w:r>
          </w:p>
          <w:p w14:paraId="68AC2F3A">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效</w:t>
            </w:r>
          </w:p>
          <w:p w14:paraId="6A41F69E">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指</w:t>
            </w:r>
          </w:p>
          <w:p w14:paraId="1FB280CF">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标</w:t>
            </w:r>
          </w:p>
        </w:tc>
        <w:tc>
          <w:tcPr>
            <w:tcW w:w="1206" w:type="dxa"/>
            <w:tcBorders>
              <w:bottom w:val="single" w:color="000000" w:sz="8" w:space="0"/>
              <w:right w:val="single" w:color="000000" w:sz="8" w:space="0"/>
            </w:tcBorders>
            <w:noWrap w:val="0"/>
            <w:tcMar>
              <w:top w:w="0" w:type="dxa"/>
              <w:left w:w="108" w:type="dxa"/>
              <w:bottom w:w="10" w:type="dxa"/>
              <w:right w:w="118" w:type="dxa"/>
            </w:tcMar>
            <w:vAlign w:val="center"/>
          </w:tcPr>
          <w:p w14:paraId="1599ED60">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一级指标</w:t>
            </w: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14:paraId="03C037EE">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二级指标</w:t>
            </w:r>
          </w:p>
        </w:tc>
        <w:tc>
          <w:tcPr>
            <w:tcW w:w="1773" w:type="dxa"/>
            <w:gridSpan w:val="2"/>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016ABCD1">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三级指标</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13D45CF8">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年度</w:t>
            </w:r>
          </w:p>
          <w:p w14:paraId="5A13BB60">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指标值</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14:paraId="07A5263D">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实际</w:t>
            </w:r>
          </w:p>
          <w:p w14:paraId="6803F468">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完成值</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3EAA1893">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分值</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71803EA2">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得分</w:t>
            </w:r>
          </w:p>
        </w:tc>
        <w:tc>
          <w:tcPr>
            <w:tcW w:w="1643" w:type="dxa"/>
            <w:gridSpan w:val="2"/>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1F127DC5">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偏差原因分析及改进措施</w:t>
            </w:r>
          </w:p>
        </w:tc>
      </w:tr>
      <w:tr w14:paraId="4BA4B8F1">
        <w:tblPrEx>
          <w:tblCellMar>
            <w:top w:w="15" w:type="dxa"/>
            <w:left w:w="15" w:type="dxa"/>
            <w:bottom w:w="15" w:type="dxa"/>
            <w:right w:w="15" w:type="dxa"/>
          </w:tblCellMar>
        </w:tblPrEx>
        <w:trPr>
          <w:trHeight w:val="510" w:hRule="atLeast"/>
          <w:tblHeader/>
          <w:tblCellSpacing w:w="0" w:type="dxa"/>
          <w:jc w:val="center"/>
        </w:trPr>
        <w:tc>
          <w:tcPr>
            <w:vMerge w:val="continue"/>
            <w:tcBorders>
              <w:left w:val="single" w:color="000000" w:sz="8" w:space="0"/>
              <w:right w:val="single" w:color="000000" w:sz="8" w:space="0"/>
            </w:tcBorders>
            <w:vAlign w:val="center"/>
          </w:tcPr>
          <w:p w14:paraId="26ADE812">
            <w:pPr>
              <w:rPr>
                <w:rFonts w:ascii="宋体" w:hAnsi="宋体" w:cs="宋体"/>
                <w:b w:val="0"/>
                <w:bCs w:val="0"/>
                <w:i w:val="0"/>
                <w:iCs w:val="0"/>
                <w:smallCaps w:val="0"/>
                <w:color w:val="000000"/>
                <w:kern w:val="0"/>
                <w:sz w:val="18"/>
                <w:szCs w:val="18"/>
              </w:rPr>
            </w:pPr>
          </w:p>
        </w:tc>
        <w:tc>
          <w:tcPr>
            <w:tcW w:w="1206" w:type="dxa"/>
            <w:vMerge w:val="restart"/>
            <w:tcBorders>
              <w:bottom w:val="single" w:color="000000" w:sz="8" w:space="0"/>
              <w:right w:val="single" w:color="000000" w:sz="8" w:space="0"/>
            </w:tcBorders>
            <w:noWrap w:val="0"/>
            <w:tcMar>
              <w:top w:w="0" w:type="dxa"/>
              <w:left w:w="108" w:type="dxa"/>
              <w:bottom w:w="10" w:type="dxa"/>
              <w:right w:w="118" w:type="dxa"/>
            </w:tcMar>
            <w:vAlign w:val="center"/>
          </w:tcPr>
          <w:p w14:paraId="4E243322">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成本指标</w:t>
            </w: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14:paraId="40069FFC">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经济成本指标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71CCD3F">
            <w:pPr>
              <w:pStyle w:val="31"/>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991A7DA">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14:paraId="1C4989DE">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9EBC8E7">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38D12B28">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2D80A9ED">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14:paraId="142791D1">
        <w:tblPrEx>
          <w:tblCellMar>
            <w:top w:w="15" w:type="dxa"/>
            <w:left w:w="15" w:type="dxa"/>
            <w:bottom w:w="15" w:type="dxa"/>
            <w:right w:w="15" w:type="dxa"/>
          </w:tblCellMar>
        </w:tblPrEx>
        <w:trPr>
          <w:trHeight w:val="513" w:hRule="atLeast"/>
          <w:tblHeader/>
          <w:tblCellSpacing w:w="0" w:type="dxa"/>
          <w:jc w:val="center"/>
        </w:trPr>
        <w:tc>
          <w:tcPr>
            <w:vMerge w:val="continue"/>
            <w:tcBorders>
              <w:left w:val="single" w:color="000000" w:sz="8" w:space="0"/>
              <w:right w:val="single" w:color="000000" w:sz="8" w:space="0"/>
            </w:tcBorders>
            <w:vAlign w:val="center"/>
          </w:tcPr>
          <w:p w14:paraId="6B299609">
            <w:pPr>
              <w:rPr>
                <w:rFonts w:ascii="宋体" w:hAnsi="宋体" w:cs="宋体"/>
                <w:b w:val="0"/>
                <w:bCs w:val="0"/>
                <w:i w:val="0"/>
                <w:iCs w:val="0"/>
                <w:smallCaps w:val="0"/>
                <w:color w:val="000000"/>
                <w:kern w:val="0"/>
                <w:sz w:val="18"/>
                <w:szCs w:val="18"/>
              </w:rPr>
            </w:pPr>
          </w:p>
        </w:tc>
        <w:tc>
          <w:tcPr>
            <w:vMerge w:val="continue"/>
            <w:tcBorders>
              <w:bottom w:val="single" w:color="000000" w:sz="8" w:space="0"/>
              <w:right w:val="single" w:color="000000" w:sz="8" w:space="0"/>
            </w:tcBorders>
            <w:vAlign w:val="center"/>
          </w:tcPr>
          <w:p w14:paraId="7342B967">
            <w:pPr>
              <w:rPr>
                <w:rFonts w:ascii="宋体" w:hAnsi="宋体" w:cs="宋体"/>
                <w:b w:val="0"/>
                <w:bCs w:val="0"/>
                <w:i w:val="0"/>
                <w:iCs w:val="0"/>
                <w:smallCaps w:val="0"/>
                <w:color w:val="000000"/>
                <w:kern w:val="0"/>
                <w:sz w:val="18"/>
                <w:szCs w:val="18"/>
              </w:rPr>
            </w:pP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14:paraId="5C60F91D">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社会成本指标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A07C85E">
            <w:pPr>
              <w:pStyle w:val="31"/>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3F19E598">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14:paraId="27F2ACD5">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1E432E35">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60B819AE">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52E34EF7">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14:paraId="39E62EFC">
        <w:tblPrEx>
          <w:tblCellMar>
            <w:top w:w="15" w:type="dxa"/>
            <w:left w:w="15" w:type="dxa"/>
            <w:bottom w:w="15" w:type="dxa"/>
            <w:right w:w="15" w:type="dxa"/>
          </w:tblCellMar>
        </w:tblPrEx>
        <w:trPr>
          <w:trHeight w:val="690" w:hRule="atLeast"/>
          <w:tblHeader/>
          <w:tblCellSpacing w:w="0" w:type="dxa"/>
          <w:jc w:val="center"/>
        </w:trPr>
        <w:tc>
          <w:tcPr>
            <w:vMerge w:val="continue"/>
            <w:tcBorders>
              <w:left w:val="single" w:color="000000" w:sz="8" w:space="0"/>
              <w:right w:val="single" w:color="000000" w:sz="8" w:space="0"/>
            </w:tcBorders>
            <w:vAlign w:val="center"/>
          </w:tcPr>
          <w:p w14:paraId="58750CFF">
            <w:pPr>
              <w:rPr>
                <w:rFonts w:ascii="宋体" w:hAnsi="宋体" w:cs="宋体"/>
                <w:b w:val="0"/>
                <w:bCs w:val="0"/>
                <w:i w:val="0"/>
                <w:iCs w:val="0"/>
                <w:smallCaps w:val="0"/>
                <w:color w:val="000000"/>
                <w:kern w:val="0"/>
                <w:sz w:val="18"/>
                <w:szCs w:val="18"/>
              </w:rPr>
            </w:pPr>
          </w:p>
        </w:tc>
        <w:tc>
          <w:tcPr>
            <w:vMerge w:val="continue"/>
            <w:tcBorders>
              <w:bottom w:val="single" w:color="000000" w:sz="8" w:space="0"/>
              <w:right w:val="single" w:color="000000" w:sz="8" w:space="0"/>
            </w:tcBorders>
            <w:vAlign w:val="center"/>
          </w:tcPr>
          <w:p w14:paraId="5E29AE21">
            <w:pPr>
              <w:rPr>
                <w:rFonts w:ascii="宋体" w:hAnsi="宋体" w:cs="宋体"/>
                <w:b w:val="0"/>
                <w:bCs w:val="0"/>
                <w:i w:val="0"/>
                <w:iCs w:val="0"/>
                <w:smallCaps w:val="0"/>
                <w:color w:val="000000"/>
                <w:kern w:val="0"/>
                <w:sz w:val="18"/>
                <w:szCs w:val="18"/>
              </w:rPr>
            </w:pP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14:paraId="7A7E97E9">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生态环境成本指标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600E4389">
            <w:pPr>
              <w:pStyle w:val="31"/>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340F23B5">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14:paraId="2BFCF5DB">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EC82A85">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1F98A921">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5FC85ED3">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14:paraId="26D64B3E">
        <w:tblPrEx>
          <w:tblCellMar>
            <w:top w:w="15" w:type="dxa"/>
            <w:left w:w="15" w:type="dxa"/>
            <w:bottom w:w="15" w:type="dxa"/>
            <w:right w:w="15" w:type="dxa"/>
          </w:tblCellMar>
        </w:tblPrEx>
        <w:trPr>
          <w:trHeight w:val="375" w:hRule="atLeast"/>
          <w:tblHeader/>
          <w:tblCellSpacing w:w="0" w:type="dxa"/>
          <w:jc w:val="center"/>
        </w:trPr>
        <w:tc>
          <w:tcPr>
            <w:vMerge w:val="continue"/>
            <w:tcBorders>
              <w:left w:val="single" w:color="000000" w:sz="8" w:space="0"/>
              <w:right w:val="single" w:color="000000" w:sz="8" w:space="0"/>
            </w:tcBorders>
            <w:vAlign w:val="center"/>
          </w:tcPr>
          <w:p w14:paraId="378B01DF">
            <w:pPr>
              <w:rPr>
                <w:rFonts w:ascii="宋体" w:hAnsi="宋体" w:cs="宋体"/>
                <w:b w:val="0"/>
                <w:bCs w:val="0"/>
                <w:i w:val="0"/>
                <w:iCs w:val="0"/>
                <w:smallCaps w:val="0"/>
                <w:color w:val="000000"/>
                <w:kern w:val="0"/>
                <w:sz w:val="18"/>
                <w:szCs w:val="18"/>
              </w:rPr>
            </w:pPr>
          </w:p>
        </w:tc>
        <w:tc>
          <w:tcPr>
            <w:tcW w:w="1206" w:type="dxa"/>
            <w:vMerge w:val="restart"/>
            <w:tcBorders>
              <w:right w:val="single" w:color="000000" w:sz="8" w:space="0"/>
            </w:tcBorders>
            <w:noWrap w:val="0"/>
            <w:tcMar>
              <w:top w:w="0" w:type="dxa"/>
              <w:left w:w="108" w:type="dxa"/>
              <w:bottom w:w="0" w:type="dxa"/>
              <w:right w:w="118" w:type="dxa"/>
            </w:tcMar>
            <w:vAlign w:val="center"/>
          </w:tcPr>
          <w:p w14:paraId="43C80F7B">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产出指标</w:t>
            </w: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14:paraId="1D0ACCDC">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数量指标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01852A74">
            <w:pPr>
              <w:pStyle w:val="31"/>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686452D8">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14:paraId="5041704B">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3E367534">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345DC757">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1BFEEF6B">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14:paraId="6AE5329F">
        <w:tblPrEx>
          <w:tblCellMar>
            <w:top w:w="15" w:type="dxa"/>
            <w:left w:w="15" w:type="dxa"/>
            <w:bottom w:w="15" w:type="dxa"/>
            <w:right w:w="15" w:type="dxa"/>
          </w:tblCellMar>
        </w:tblPrEx>
        <w:trPr>
          <w:trHeight w:val="405" w:hRule="atLeast"/>
          <w:tblHeader/>
          <w:tblCellSpacing w:w="0" w:type="dxa"/>
          <w:jc w:val="center"/>
        </w:trPr>
        <w:tc>
          <w:tcPr>
            <w:vMerge w:val="continue"/>
            <w:tcBorders>
              <w:left w:val="single" w:color="000000" w:sz="8" w:space="0"/>
              <w:right w:val="single" w:color="000000" w:sz="8" w:space="0"/>
            </w:tcBorders>
            <w:vAlign w:val="center"/>
          </w:tcPr>
          <w:p w14:paraId="314D74A0">
            <w:pPr>
              <w:rPr>
                <w:rFonts w:ascii="宋体" w:hAnsi="宋体" w:cs="宋体"/>
                <w:b w:val="0"/>
                <w:bCs w:val="0"/>
                <w:i w:val="0"/>
                <w:iCs w:val="0"/>
                <w:smallCaps w:val="0"/>
                <w:color w:val="000000"/>
                <w:kern w:val="0"/>
                <w:sz w:val="18"/>
                <w:szCs w:val="18"/>
              </w:rPr>
            </w:pPr>
          </w:p>
        </w:tc>
        <w:tc>
          <w:tcPr>
            <w:vMerge w:val="continue"/>
            <w:tcBorders>
              <w:right w:val="single" w:color="000000" w:sz="8" w:space="0"/>
            </w:tcBorders>
            <w:vAlign w:val="center"/>
          </w:tcPr>
          <w:p w14:paraId="2C910D3E">
            <w:pPr>
              <w:rPr>
                <w:rFonts w:ascii="宋体" w:hAnsi="宋体" w:cs="宋体"/>
                <w:b w:val="0"/>
                <w:bCs w:val="0"/>
                <w:i w:val="0"/>
                <w:iCs w:val="0"/>
                <w:smallCaps w:val="0"/>
                <w:color w:val="000000"/>
                <w:kern w:val="0"/>
                <w:sz w:val="18"/>
                <w:szCs w:val="18"/>
              </w:rPr>
            </w:pP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14:paraId="4668C8CD">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质量指标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73DADCEF">
            <w:pPr>
              <w:pStyle w:val="31"/>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7753BD9C">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14:paraId="263928C8">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6E3BE47E">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15F20AB0">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396BE4B">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14:paraId="74FEB192">
        <w:tblPrEx>
          <w:tblCellMar>
            <w:top w:w="15" w:type="dxa"/>
            <w:left w:w="15" w:type="dxa"/>
            <w:bottom w:w="15" w:type="dxa"/>
            <w:right w:w="15" w:type="dxa"/>
          </w:tblCellMar>
        </w:tblPrEx>
        <w:trPr>
          <w:trHeight w:val="386" w:hRule="atLeast"/>
          <w:tblHeader/>
          <w:tblCellSpacing w:w="0" w:type="dxa"/>
          <w:jc w:val="center"/>
        </w:trPr>
        <w:tc>
          <w:tcPr>
            <w:vMerge w:val="continue"/>
            <w:tcBorders>
              <w:left w:val="single" w:color="000000" w:sz="8" w:space="0"/>
              <w:right w:val="single" w:color="000000" w:sz="8" w:space="0"/>
            </w:tcBorders>
            <w:vAlign w:val="center"/>
          </w:tcPr>
          <w:p w14:paraId="11CEDD24">
            <w:pPr>
              <w:rPr>
                <w:rFonts w:ascii="宋体" w:hAnsi="宋体" w:cs="宋体"/>
                <w:b w:val="0"/>
                <w:bCs w:val="0"/>
                <w:i w:val="0"/>
                <w:iCs w:val="0"/>
                <w:smallCaps w:val="0"/>
                <w:color w:val="000000"/>
                <w:kern w:val="0"/>
                <w:sz w:val="18"/>
                <w:szCs w:val="18"/>
              </w:rPr>
            </w:pPr>
          </w:p>
        </w:tc>
        <w:tc>
          <w:tcPr>
            <w:vMerge w:val="continue"/>
            <w:tcBorders>
              <w:right w:val="single" w:color="000000" w:sz="8" w:space="0"/>
            </w:tcBorders>
            <w:vAlign w:val="center"/>
          </w:tcPr>
          <w:p w14:paraId="2C4EC4CC">
            <w:pPr>
              <w:rPr>
                <w:rFonts w:ascii="宋体" w:hAnsi="宋体" w:cs="宋体"/>
                <w:b w:val="0"/>
                <w:bCs w:val="0"/>
                <w:i w:val="0"/>
                <w:iCs w:val="0"/>
                <w:smallCaps w:val="0"/>
                <w:color w:val="000000"/>
                <w:kern w:val="0"/>
                <w:sz w:val="18"/>
                <w:szCs w:val="18"/>
              </w:rPr>
            </w:pP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14:paraId="27BBFAC9">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时效指标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5646DCDA">
            <w:pPr>
              <w:pStyle w:val="31"/>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6CE05222">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14:paraId="2925B998">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7FE8C634">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10BA5D4F">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572F716D">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14:paraId="7D70419A">
        <w:tblPrEx>
          <w:tblCellMar>
            <w:top w:w="15" w:type="dxa"/>
            <w:left w:w="15" w:type="dxa"/>
            <w:bottom w:w="15" w:type="dxa"/>
            <w:right w:w="15" w:type="dxa"/>
          </w:tblCellMar>
        </w:tblPrEx>
        <w:trPr>
          <w:trHeight w:val="434" w:hRule="atLeast"/>
          <w:tblHeader/>
          <w:tblCellSpacing w:w="0" w:type="dxa"/>
          <w:jc w:val="center"/>
        </w:trPr>
        <w:tc>
          <w:tcPr>
            <w:vMerge w:val="continue"/>
            <w:tcBorders>
              <w:left w:val="single" w:color="000000" w:sz="8" w:space="0"/>
              <w:right w:val="single" w:color="000000" w:sz="8" w:space="0"/>
            </w:tcBorders>
            <w:vAlign w:val="center"/>
          </w:tcPr>
          <w:p w14:paraId="0C6E0DCE">
            <w:pPr>
              <w:rPr>
                <w:rFonts w:ascii="宋体" w:hAnsi="宋体" w:cs="宋体"/>
                <w:b w:val="0"/>
                <w:bCs w:val="0"/>
                <w:i w:val="0"/>
                <w:iCs w:val="0"/>
                <w:smallCaps w:val="0"/>
                <w:color w:val="000000"/>
                <w:kern w:val="0"/>
                <w:sz w:val="18"/>
                <w:szCs w:val="18"/>
              </w:rPr>
            </w:pPr>
          </w:p>
        </w:tc>
        <w:tc>
          <w:tcPr>
            <w:tcW w:w="1206" w:type="dxa"/>
            <w:vMerge w:val="restart"/>
            <w:tcBorders>
              <w:bottom w:val="single" w:color="000000" w:sz="8" w:space="0"/>
              <w:right w:val="single" w:color="000000" w:sz="8" w:space="0"/>
            </w:tcBorders>
            <w:noWrap w:val="0"/>
            <w:tcMar>
              <w:top w:w="0" w:type="dxa"/>
              <w:left w:w="108" w:type="dxa"/>
              <w:bottom w:w="10" w:type="dxa"/>
              <w:right w:w="118" w:type="dxa"/>
            </w:tcMar>
            <w:vAlign w:val="center"/>
          </w:tcPr>
          <w:p w14:paraId="39AA0A6A">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效益指标</w:t>
            </w: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14:paraId="69FCA041">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经济效益指标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6057B6BE">
            <w:pPr>
              <w:pStyle w:val="31"/>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047A43A6">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14:paraId="288485C8">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08862762">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2A90E571">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1FC4098B">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14:paraId="17B2DFAD">
        <w:tblPrEx>
          <w:tblCellMar>
            <w:top w:w="15" w:type="dxa"/>
            <w:left w:w="15" w:type="dxa"/>
            <w:bottom w:w="15" w:type="dxa"/>
            <w:right w:w="15" w:type="dxa"/>
          </w:tblCellMar>
        </w:tblPrEx>
        <w:trPr>
          <w:trHeight w:val="427" w:hRule="atLeast"/>
          <w:tblHeader/>
          <w:tblCellSpacing w:w="0" w:type="dxa"/>
          <w:jc w:val="center"/>
        </w:trPr>
        <w:tc>
          <w:tcPr>
            <w:vMerge w:val="continue"/>
            <w:tcBorders>
              <w:left w:val="single" w:color="000000" w:sz="8" w:space="0"/>
              <w:right w:val="single" w:color="000000" w:sz="8" w:space="0"/>
            </w:tcBorders>
            <w:vAlign w:val="center"/>
          </w:tcPr>
          <w:p w14:paraId="309651B1">
            <w:pPr>
              <w:rPr>
                <w:rFonts w:ascii="宋体" w:hAnsi="宋体" w:cs="宋体"/>
                <w:b w:val="0"/>
                <w:bCs w:val="0"/>
                <w:i w:val="0"/>
                <w:iCs w:val="0"/>
                <w:smallCaps w:val="0"/>
                <w:color w:val="000000"/>
                <w:kern w:val="0"/>
                <w:sz w:val="18"/>
                <w:szCs w:val="18"/>
              </w:rPr>
            </w:pPr>
          </w:p>
        </w:tc>
        <w:tc>
          <w:tcPr>
            <w:vMerge w:val="continue"/>
            <w:tcBorders>
              <w:bottom w:val="single" w:color="000000" w:sz="8" w:space="0"/>
              <w:right w:val="single" w:color="000000" w:sz="8" w:space="0"/>
            </w:tcBorders>
            <w:vAlign w:val="center"/>
          </w:tcPr>
          <w:p w14:paraId="692A4713">
            <w:pPr>
              <w:rPr>
                <w:rFonts w:ascii="宋体" w:hAnsi="宋体" w:cs="宋体"/>
                <w:b w:val="0"/>
                <w:bCs w:val="0"/>
                <w:i w:val="0"/>
                <w:iCs w:val="0"/>
                <w:smallCaps w:val="0"/>
                <w:color w:val="000000"/>
                <w:kern w:val="0"/>
                <w:sz w:val="18"/>
                <w:szCs w:val="18"/>
              </w:rPr>
            </w:pP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14:paraId="1698EDF0">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社会效益指标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222A2BC1">
            <w:pPr>
              <w:pStyle w:val="31"/>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5CE54C03">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14:paraId="5BB01751">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2169C2AB">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273B4FE3">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25E1F81E">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14:paraId="1EA8038A">
        <w:tblPrEx>
          <w:tblCellMar>
            <w:top w:w="15" w:type="dxa"/>
            <w:left w:w="15" w:type="dxa"/>
            <w:bottom w:w="15" w:type="dxa"/>
            <w:right w:w="15" w:type="dxa"/>
          </w:tblCellMar>
        </w:tblPrEx>
        <w:trPr>
          <w:trHeight w:val="405" w:hRule="atLeast"/>
          <w:tblHeader/>
          <w:tblCellSpacing w:w="0" w:type="dxa"/>
          <w:jc w:val="center"/>
        </w:trPr>
        <w:tc>
          <w:tcPr>
            <w:vMerge w:val="continue"/>
            <w:tcBorders>
              <w:left w:val="single" w:color="000000" w:sz="8" w:space="0"/>
              <w:right w:val="single" w:color="000000" w:sz="8" w:space="0"/>
            </w:tcBorders>
            <w:vAlign w:val="center"/>
          </w:tcPr>
          <w:p w14:paraId="4A2296EC">
            <w:pPr>
              <w:rPr>
                <w:rFonts w:ascii="宋体" w:hAnsi="宋体" w:cs="宋体"/>
                <w:b w:val="0"/>
                <w:bCs w:val="0"/>
                <w:i w:val="0"/>
                <w:iCs w:val="0"/>
                <w:smallCaps w:val="0"/>
                <w:color w:val="000000"/>
                <w:kern w:val="0"/>
                <w:sz w:val="18"/>
                <w:szCs w:val="18"/>
              </w:rPr>
            </w:pPr>
          </w:p>
        </w:tc>
        <w:tc>
          <w:tcPr>
            <w:vMerge w:val="continue"/>
            <w:tcBorders>
              <w:bottom w:val="single" w:color="000000" w:sz="8" w:space="0"/>
              <w:right w:val="single" w:color="000000" w:sz="8" w:space="0"/>
            </w:tcBorders>
            <w:vAlign w:val="center"/>
          </w:tcPr>
          <w:p w14:paraId="3B2A0F33">
            <w:pPr>
              <w:rPr>
                <w:rFonts w:ascii="宋体" w:hAnsi="宋体" w:cs="宋体"/>
                <w:b w:val="0"/>
                <w:bCs w:val="0"/>
                <w:i w:val="0"/>
                <w:iCs w:val="0"/>
                <w:smallCaps w:val="0"/>
                <w:color w:val="000000"/>
                <w:kern w:val="0"/>
                <w:sz w:val="18"/>
                <w:szCs w:val="18"/>
              </w:rPr>
            </w:pP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14:paraId="79BA6F79">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生态效益指标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04352208">
            <w:pPr>
              <w:pStyle w:val="31"/>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3C376779">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14:paraId="4324DEE0">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137D76DB">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205A0C1">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60FF88AC">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14:paraId="5CD88B32">
        <w:tblPrEx>
          <w:tblCellMar>
            <w:top w:w="15" w:type="dxa"/>
            <w:left w:w="15" w:type="dxa"/>
            <w:bottom w:w="15" w:type="dxa"/>
            <w:right w:w="15" w:type="dxa"/>
          </w:tblCellMar>
        </w:tblPrEx>
        <w:trPr>
          <w:trHeight w:val="855" w:hRule="atLeast"/>
          <w:tblHeader/>
          <w:tblCellSpacing w:w="0" w:type="dxa"/>
          <w:jc w:val="center"/>
        </w:trPr>
        <w:tc>
          <w:tcPr>
            <w:vMerge w:val="continue"/>
            <w:tcBorders>
              <w:left w:val="single" w:color="000000" w:sz="8" w:space="0"/>
              <w:right w:val="single" w:color="000000" w:sz="8" w:space="0"/>
            </w:tcBorders>
            <w:vAlign w:val="center"/>
          </w:tcPr>
          <w:p w14:paraId="79D19395">
            <w:pPr>
              <w:rPr>
                <w:rFonts w:ascii="宋体" w:hAnsi="宋体" w:cs="宋体"/>
                <w:b w:val="0"/>
                <w:bCs w:val="0"/>
                <w:i w:val="0"/>
                <w:iCs w:val="0"/>
                <w:smallCaps w:val="0"/>
                <w:color w:val="000000"/>
                <w:kern w:val="0"/>
                <w:sz w:val="18"/>
                <w:szCs w:val="18"/>
              </w:rPr>
            </w:pPr>
          </w:p>
        </w:tc>
        <w:tc>
          <w:tcPr>
            <w:tcW w:w="1206" w:type="dxa"/>
            <w:tcBorders>
              <w:bottom w:val="single" w:color="000000" w:sz="8" w:space="0"/>
              <w:right w:val="single" w:color="000000" w:sz="8" w:space="0"/>
            </w:tcBorders>
            <w:noWrap w:val="0"/>
            <w:tcMar>
              <w:top w:w="0" w:type="dxa"/>
              <w:left w:w="108" w:type="dxa"/>
              <w:bottom w:w="10" w:type="dxa"/>
              <w:right w:w="118" w:type="dxa"/>
            </w:tcMar>
            <w:vAlign w:val="center"/>
          </w:tcPr>
          <w:p w14:paraId="418E3544">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满意度</w:t>
            </w:r>
          </w:p>
          <w:p w14:paraId="3C71FB05">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指标</w:t>
            </w: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14:paraId="09A1E35A">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服务对象满意度指标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3DFBDBFE">
            <w:pPr>
              <w:pStyle w:val="31"/>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0CB3FD6B">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14:paraId="64F0BBEF">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56C58B96">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72D77F4F">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6AFEDEEC">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14:paraId="54718F9A">
        <w:tblPrEx>
          <w:tblCellMar>
            <w:top w:w="15" w:type="dxa"/>
            <w:left w:w="15" w:type="dxa"/>
            <w:bottom w:w="15" w:type="dxa"/>
            <w:right w:w="15" w:type="dxa"/>
          </w:tblCellMar>
        </w:tblPrEx>
        <w:trPr>
          <w:trHeight w:val="300" w:hRule="atLeast"/>
          <w:tblHeader/>
          <w:tblCellSpacing w:w="0" w:type="dxa"/>
          <w:jc w:val="center"/>
        </w:trPr>
        <w:tc>
          <w:tcPr>
            <w:tcW w:w="6706" w:type="dxa"/>
            <w:gridSpan w:val="8"/>
            <w:tcBorders>
              <w:top w:val="single" w:color="000000" w:sz="8" w:space="0"/>
              <w:left w:val="single" w:color="000000" w:sz="8" w:space="0"/>
              <w:bottom w:val="single" w:color="000000" w:sz="8" w:space="0"/>
              <w:right w:val="single" w:color="000000" w:sz="8" w:space="0"/>
            </w:tcBorders>
            <w:noWrap w:val="0"/>
            <w:tcMar>
              <w:top w:w="10" w:type="dxa"/>
              <w:left w:w="118" w:type="dxa"/>
              <w:bottom w:w="10" w:type="dxa"/>
              <w:right w:w="118" w:type="dxa"/>
            </w:tcMar>
            <w:vAlign w:val="center"/>
          </w:tcPr>
          <w:p w14:paraId="28E117D0">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总分</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64B788D5">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100</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321795D9">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0DE76D71">
            <w:pPr>
              <w:pStyle w:val="31"/>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bl>
    <w:p w14:paraId="2B465C7C">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二、项目支出绩效评价报告</w:t>
      </w:r>
    </w:p>
    <w:p w14:paraId="0D77FBD8">
      <w:pPr>
        <w:pStyle w:val="31"/>
        <w:widowControl/>
        <w:spacing w:before="100" w:after="100"/>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w:t>
      </w:r>
    </w:p>
    <w:p w14:paraId="283B148F">
      <w:pPr>
        <w:pStyle w:val="31"/>
        <w:widowControl/>
        <w:spacing w:before="100" w:after="100" w:line="600" w:lineRule="atLeast"/>
        <w:ind w:left="0" w:right="0" w:firstLine="640"/>
        <w:jc w:val="left"/>
        <w:outlineLvl w:val="1"/>
        <w:rPr>
          <w:rFonts w:ascii="Times New Roman" w:hAnsi="Times New Roman" w:eastAsia="Times New Roman" w:cs="Times New Roman"/>
          <w:kern w:val="0"/>
          <w:sz w:val="24"/>
        </w:rPr>
      </w:pPr>
      <w:bookmarkStart w:id="28" w:name="_Toc15665"/>
      <w:r>
        <w:rPr>
          <w:rFonts w:ascii="黑体" w:hAnsi="黑体" w:eastAsia="黑体" w:cs="黑体"/>
          <w:spacing w:val="0"/>
          <w:kern w:val="0"/>
          <w:sz w:val="32"/>
          <w:szCs w:val="32"/>
        </w:rPr>
        <w:t>三、部门整体支出绩效自评表</w:t>
      </w:r>
      <w:bookmarkEnd w:id="28"/>
    </w:p>
    <w:p w14:paraId="2F957D05">
      <w:pPr>
        <w:pStyle w:val="31"/>
        <w:widowControl/>
        <w:spacing w:before="100" w:after="100" w:line="600" w:lineRule="atLeast"/>
        <w:ind w:left="0" w:right="0" w:firstLine="640"/>
        <w:jc w:val="left"/>
        <w:rPr>
          <w:rFonts w:ascii="Times New Roman" w:hAnsi="Times New Roman" w:eastAsia="Times New Roman" w:cs="Times New Roman"/>
          <w:kern w:val="0"/>
          <w:sz w:val="24"/>
        </w:rPr>
      </w:pPr>
      <w:r>
        <w:rPr>
          <w:rFonts w:ascii="楷体" w:hAnsi="楷体" w:eastAsia="楷体" w:cs="楷体"/>
          <w:spacing w:val="0"/>
          <w:kern w:val="0"/>
          <w:sz w:val="32"/>
          <w:szCs w:val="32"/>
        </w:rPr>
        <w:t>注：部门整体支出绩效自评表仅针对省级部门及其所属单位，各市县财政部门可根据实际情况确认是否需公开。</w:t>
      </w:r>
    </w:p>
    <w:tbl>
      <w:tblPr>
        <w:tblStyle w:val="32"/>
        <w:tblW w:w="16955" w:type="dxa"/>
        <w:tblCellSpacing w:w="0" w:type="dxa"/>
        <w:tblInd w:w="-190" w:type="dxa"/>
        <w:tblLayout w:type="fixed"/>
        <w:tblCellMar>
          <w:top w:w="15" w:type="dxa"/>
          <w:left w:w="15" w:type="dxa"/>
          <w:bottom w:w="15" w:type="dxa"/>
          <w:right w:w="15" w:type="dxa"/>
        </w:tblCellMar>
      </w:tblPr>
      <w:tblGrid>
        <w:gridCol w:w="2748"/>
        <w:gridCol w:w="1346"/>
        <w:gridCol w:w="2226"/>
        <w:gridCol w:w="1346"/>
        <w:gridCol w:w="1346"/>
        <w:gridCol w:w="1566"/>
        <w:gridCol w:w="1051"/>
        <w:gridCol w:w="1126"/>
        <w:gridCol w:w="1126"/>
        <w:gridCol w:w="3075"/>
      </w:tblGrid>
      <w:tr w14:paraId="6A15B874">
        <w:tblPrEx>
          <w:tblCellMar>
            <w:top w:w="15" w:type="dxa"/>
            <w:left w:w="15" w:type="dxa"/>
            <w:bottom w:w="15" w:type="dxa"/>
            <w:right w:w="15" w:type="dxa"/>
          </w:tblCellMar>
        </w:tblPrEx>
        <w:trPr>
          <w:trHeight w:val="716" w:hRule="atLeast"/>
          <w:tblHeader/>
          <w:tblCellSpacing w:w="0" w:type="dxa"/>
        </w:trPr>
        <w:tc>
          <w:tcPr>
            <w:tcW w:w="17020" w:type="dxa"/>
            <w:gridSpan w:val="10"/>
            <w:tcBorders>
              <w:top w:val="dashSmallGap" w:color="BBBBBB" w:sz="8" w:space="0"/>
              <w:left w:val="dashSmallGap" w:color="BBBBBB" w:sz="8" w:space="0"/>
              <w:bottom w:val="dashSmallGap" w:color="BBBBBB" w:sz="8" w:space="0"/>
              <w:right w:val="dashSmallGap" w:color="BBBBBB" w:sz="8" w:space="0"/>
            </w:tcBorders>
            <w:noWrap w:val="0"/>
            <w:tcMar>
              <w:top w:w="10" w:type="dxa"/>
              <w:left w:w="118" w:type="dxa"/>
              <w:bottom w:w="10" w:type="dxa"/>
              <w:right w:w="118" w:type="dxa"/>
            </w:tcMar>
            <w:vAlign w:val="center"/>
          </w:tcPr>
          <w:p w14:paraId="4278B98E">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36"/>
                <w:szCs w:val="36"/>
              </w:rPr>
              <w:t>部门整体绩效自评表</w:t>
            </w:r>
          </w:p>
        </w:tc>
      </w:tr>
      <w:tr w14:paraId="5DC47A60">
        <w:tblPrEx>
          <w:tblCellMar>
            <w:top w:w="15" w:type="dxa"/>
            <w:left w:w="15" w:type="dxa"/>
            <w:bottom w:w="15" w:type="dxa"/>
            <w:right w:w="15" w:type="dxa"/>
          </w:tblCellMar>
        </w:tblPrEx>
        <w:trPr>
          <w:trHeight w:val="638" w:hRule="atLeast"/>
          <w:tblHeader/>
          <w:tblCellSpacing w:w="0" w:type="dxa"/>
        </w:trPr>
        <w:tc>
          <w:tcPr>
            <w:tcW w:w="17020" w:type="dxa"/>
            <w:gridSpan w:val="10"/>
            <w:tcBorders>
              <w:left w:val="dashSmallGap" w:color="BBBBBB" w:sz="8" w:space="0"/>
              <w:bottom w:val="dashSmallGap" w:color="BBBBBB" w:sz="8" w:space="0"/>
              <w:right w:val="dashSmallGap" w:color="BBBBBB" w:sz="8" w:space="0"/>
            </w:tcBorders>
            <w:noWrap w:val="0"/>
            <w:tcMar>
              <w:top w:w="0" w:type="dxa"/>
              <w:left w:w="118" w:type="dxa"/>
              <w:bottom w:w="10" w:type="dxa"/>
              <w:right w:w="118" w:type="dxa"/>
            </w:tcMar>
            <w:vAlign w:val="center"/>
          </w:tcPr>
          <w:p w14:paraId="7C97D956">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4"/>
              </w:rPr>
              <w:t>（     年度）</w:t>
            </w:r>
          </w:p>
        </w:tc>
      </w:tr>
      <w:tr w14:paraId="75CBA46D">
        <w:tblPrEx>
          <w:tblCellMar>
            <w:top w:w="15" w:type="dxa"/>
            <w:left w:w="15" w:type="dxa"/>
            <w:bottom w:w="15" w:type="dxa"/>
            <w:right w:w="15" w:type="dxa"/>
          </w:tblCellMar>
        </w:tblPrEx>
        <w:trPr>
          <w:trHeight w:val="638" w:hRule="atLeast"/>
          <w:tblHeader/>
          <w:tblCellSpacing w:w="0" w:type="dxa"/>
        </w:trPr>
        <w:tc>
          <w:tcPr>
            <w:tcW w:w="3534" w:type="dxa"/>
            <w:gridSpan w:val="3"/>
            <w:tcBorders>
              <w:top w:val="single" w:color="000000" w:sz="8" w:space="0"/>
              <w:left w:val="single" w:color="000000" w:sz="8" w:space="0"/>
              <w:bottom w:val="single" w:color="000000" w:sz="8" w:space="0"/>
              <w:right w:val="single" w:color="000000" w:sz="8" w:space="0"/>
            </w:tcBorders>
            <w:noWrap w:val="0"/>
            <w:tcMar>
              <w:top w:w="10" w:type="dxa"/>
              <w:left w:w="118" w:type="dxa"/>
              <w:bottom w:w="10" w:type="dxa"/>
              <w:right w:w="118" w:type="dxa"/>
            </w:tcMar>
            <w:vAlign w:val="center"/>
          </w:tcPr>
          <w:p w14:paraId="4C418F02">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部门（单位）名称</w:t>
            </w:r>
          </w:p>
        </w:tc>
        <w:tc>
          <w:tcPr>
            <w:tcW w:w="1929" w:type="dxa"/>
            <w:gridSpan w:val="2"/>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4FAD6DA9">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282"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62F3CD4C">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部门预算编码</w:t>
            </w:r>
          </w:p>
        </w:tc>
        <w:tc>
          <w:tcPr>
            <w:tcW w:w="10409" w:type="dxa"/>
            <w:gridSpan w:val="4"/>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6EBCFBEF">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14:paraId="448AED2B">
        <w:tblPrEx>
          <w:tblCellMar>
            <w:top w:w="15" w:type="dxa"/>
            <w:left w:w="15" w:type="dxa"/>
            <w:bottom w:w="15" w:type="dxa"/>
            <w:right w:w="15" w:type="dxa"/>
          </w:tblCellMar>
        </w:tblPrEx>
        <w:trPr>
          <w:trHeight w:val="891" w:hRule="atLeast"/>
          <w:tblHeader/>
          <w:tblCellSpacing w:w="0" w:type="dxa"/>
        </w:trPr>
        <w:tc>
          <w:tcPr>
            <w:tcW w:w="883" w:type="dxa"/>
            <w:vMerge w:val="restart"/>
            <w:tcBorders>
              <w:left w:val="single" w:color="000000" w:sz="8" w:space="0"/>
              <w:right w:val="single" w:color="000000" w:sz="8" w:space="0"/>
            </w:tcBorders>
            <w:noWrap w:val="0"/>
            <w:tcMar>
              <w:top w:w="0" w:type="dxa"/>
              <w:left w:w="118" w:type="dxa"/>
              <w:bottom w:w="0" w:type="dxa"/>
              <w:right w:w="118" w:type="dxa"/>
            </w:tcMar>
            <w:vAlign w:val="center"/>
          </w:tcPr>
          <w:p w14:paraId="18ACC0A0">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金额（万元</w:t>
            </w:r>
          </w:p>
          <w:p w14:paraId="4DE52F0D">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w:t>
            </w:r>
          </w:p>
        </w:tc>
        <w:tc>
          <w:tcPr>
            <w:tcW w:w="2696"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01841C8F">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14:paraId="33FC799E">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年初预算数</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14:paraId="00475A11">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全年预算数</w:t>
            </w:r>
          </w:p>
        </w:tc>
        <w:tc>
          <w:tcPr>
            <w:tcW w:w="1282"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5EE652C0">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全年执行数 </w:t>
            </w:r>
          </w:p>
        </w:tc>
        <w:tc>
          <w:tcPr>
            <w:tcW w:w="8404" w:type="dxa"/>
            <w:gridSpan w:val="2"/>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3EB4D103">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分值</w:t>
            </w:r>
          </w:p>
        </w:tc>
        <w:tc>
          <w:tcPr>
            <w:tcW w:w="897"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50A5B188">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执行率</w:t>
            </w:r>
          </w:p>
        </w:tc>
        <w:tc>
          <w:tcPr>
            <w:tcW w:w="1198"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24C07882">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得分</w:t>
            </w:r>
          </w:p>
        </w:tc>
      </w:tr>
      <w:tr w14:paraId="5516EF29">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right w:val="single" w:color="000000" w:sz="8" w:space="0"/>
            </w:tcBorders>
            <w:vAlign w:val="center"/>
          </w:tcPr>
          <w:p w14:paraId="6B957044">
            <w:pPr>
              <w:rPr>
                <w:rFonts w:ascii="宋体" w:hAnsi="宋体" w:cs="宋体"/>
                <w:b w:val="0"/>
                <w:bCs w:val="0"/>
                <w:i w:val="0"/>
                <w:iCs w:val="0"/>
                <w:smallCaps w:val="0"/>
                <w:color w:val="000000"/>
                <w:spacing w:val="0"/>
                <w:kern w:val="0"/>
                <w:sz w:val="22"/>
                <w:szCs w:val="22"/>
              </w:rPr>
            </w:pPr>
          </w:p>
        </w:tc>
        <w:tc>
          <w:tcPr>
            <w:tcW w:w="2696"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538E7F12">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资金总额</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14:paraId="1A789709">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14:paraId="1286CF52">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282" w:type="dxa"/>
            <w:tcBorders>
              <w:bottom w:val="single" w:color="000000" w:sz="8" w:space="0"/>
              <w:right w:val="single" w:color="000000" w:sz="8" w:space="0"/>
            </w:tcBorders>
            <w:noWrap w:val="0"/>
            <w:tcMar>
              <w:top w:w="0" w:type="dxa"/>
              <w:left w:w="108" w:type="dxa"/>
              <w:bottom w:w="10" w:type="dxa"/>
              <w:right w:w="118" w:type="dxa"/>
            </w:tcMar>
            <w:vAlign w:val="center"/>
          </w:tcPr>
          <w:p w14:paraId="6C3EB778">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404"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042095CA">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14:paraId="04E86FDF">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14:paraId="1045BA1E">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14:paraId="72CACBDA">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right w:val="single" w:color="000000" w:sz="8" w:space="0"/>
            </w:tcBorders>
            <w:vAlign w:val="center"/>
          </w:tcPr>
          <w:p w14:paraId="3C56BDFB">
            <w:pPr>
              <w:rPr>
                <w:rFonts w:ascii="宋体" w:hAnsi="宋体" w:cs="宋体"/>
                <w:b w:val="0"/>
                <w:bCs w:val="0"/>
                <w:i w:val="0"/>
                <w:iCs w:val="0"/>
                <w:smallCaps w:val="0"/>
                <w:color w:val="000000"/>
                <w:spacing w:val="0"/>
                <w:kern w:val="0"/>
                <w:sz w:val="22"/>
                <w:szCs w:val="22"/>
              </w:rPr>
            </w:pPr>
          </w:p>
        </w:tc>
        <w:tc>
          <w:tcPr>
            <w:tcW w:w="2696"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6DDD3964">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项目支出</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14:paraId="0FCEEA55">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14:paraId="45E7B1E7">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282" w:type="dxa"/>
            <w:tcBorders>
              <w:bottom w:val="single" w:color="000000" w:sz="8" w:space="0"/>
              <w:right w:val="single" w:color="000000" w:sz="8" w:space="0"/>
            </w:tcBorders>
            <w:noWrap w:val="0"/>
            <w:tcMar>
              <w:top w:w="0" w:type="dxa"/>
              <w:left w:w="108" w:type="dxa"/>
              <w:bottom w:w="10" w:type="dxa"/>
              <w:right w:w="118" w:type="dxa"/>
            </w:tcMar>
            <w:vAlign w:val="center"/>
          </w:tcPr>
          <w:p w14:paraId="6C3423C7">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404"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D9233AD">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14:paraId="74ED2D02">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14:paraId="167D350D">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14:paraId="00AAC0E7">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right w:val="single" w:color="000000" w:sz="8" w:space="0"/>
            </w:tcBorders>
            <w:vAlign w:val="center"/>
          </w:tcPr>
          <w:p w14:paraId="33B3042B">
            <w:pPr>
              <w:rPr>
                <w:rFonts w:ascii="宋体" w:hAnsi="宋体" w:cs="宋体"/>
                <w:b w:val="0"/>
                <w:bCs w:val="0"/>
                <w:i w:val="0"/>
                <w:iCs w:val="0"/>
                <w:smallCaps w:val="0"/>
                <w:color w:val="000000"/>
                <w:spacing w:val="0"/>
                <w:kern w:val="0"/>
                <w:sz w:val="22"/>
                <w:szCs w:val="22"/>
              </w:rPr>
            </w:pPr>
          </w:p>
        </w:tc>
        <w:tc>
          <w:tcPr>
            <w:tcW w:w="2696"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7506DB15">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基本支出</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14:paraId="71EE924D">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14:paraId="71A2500F">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282" w:type="dxa"/>
            <w:tcBorders>
              <w:bottom w:val="single" w:color="000000" w:sz="8" w:space="0"/>
              <w:right w:val="single" w:color="000000" w:sz="8" w:space="0"/>
            </w:tcBorders>
            <w:noWrap w:val="0"/>
            <w:tcMar>
              <w:top w:w="0" w:type="dxa"/>
              <w:left w:w="108" w:type="dxa"/>
              <w:bottom w:w="10" w:type="dxa"/>
              <w:right w:w="118" w:type="dxa"/>
            </w:tcMar>
            <w:vAlign w:val="center"/>
          </w:tcPr>
          <w:p w14:paraId="2A32F81E">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404"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223A59A8">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14:paraId="1BAB968C">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14:paraId="6489F589">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14:paraId="3363CA9E">
        <w:tblPrEx>
          <w:tblCellMar>
            <w:top w:w="15" w:type="dxa"/>
            <w:left w:w="15" w:type="dxa"/>
            <w:bottom w:w="15" w:type="dxa"/>
            <w:right w:w="15" w:type="dxa"/>
          </w:tblCellMar>
        </w:tblPrEx>
        <w:trPr>
          <w:trHeight w:val="638" w:hRule="atLeast"/>
          <w:tblHeader/>
          <w:tblCellSpacing w:w="0" w:type="dxa"/>
        </w:trPr>
        <w:tc>
          <w:tcPr>
            <w:tcW w:w="883" w:type="dxa"/>
            <w:vMerge w:val="restart"/>
            <w:tcBorders>
              <w:left w:val="single" w:color="000000" w:sz="8" w:space="0"/>
              <w:bottom w:val="single" w:color="000000" w:sz="8" w:space="0"/>
              <w:right w:val="single" w:color="000000" w:sz="8" w:space="0"/>
            </w:tcBorders>
            <w:noWrap w:val="0"/>
            <w:tcMar>
              <w:top w:w="0" w:type="dxa"/>
              <w:left w:w="118" w:type="dxa"/>
              <w:bottom w:w="10" w:type="dxa"/>
              <w:right w:w="118" w:type="dxa"/>
            </w:tcMar>
            <w:vAlign w:val="center"/>
          </w:tcPr>
          <w:p w14:paraId="1DD92C59">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年度总体目标</w:t>
            </w:r>
          </w:p>
        </w:tc>
        <w:tc>
          <w:tcPr>
            <w:tcW w:w="4580" w:type="dxa"/>
            <w:gridSpan w:val="4"/>
            <w:tcBorders>
              <w:bottom w:val="single" w:color="000000" w:sz="8" w:space="0"/>
              <w:right w:val="single" w:color="000000" w:sz="8" w:space="0"/>
            </w:tcBorders>
            <w:noWrap w:val="0"/>
            <w:tcMar>
              <w:top w:w="0" w:type="dxa"/>
              <w:left w:w="108" w:type="dxa"/>
              <w:bottom w:w="10" w:type="dxa"/>
              <w:right w:w="118" w:type="dxa"/>
            </w:tcMar>
            <w:vAlign w:val="center"/>
          </w:tcPr>
          <w:p w14:paraId="47EA48FE">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预期目标</w:t>
            </w:r>
          </w:p>
        </w:tc>
        <w:tc>
          <w:tcPr>
            <w:tcW w:w="11647" w:type="dxa"/>
            <w:gridSpan w:val="5"/>
            <w:tcBorders>
              <w:bottom w:val="single" w:color="000000" w:sz="8" w:space="0"/>
              <w:right w:val="single" w:color="000000" w:sz="8" w:space="0"/>
            </w:tcBorders>
            <w:noWrap w:val="0"/>
            <w:tcMar>
              <w:top w:w="0" w:type="dxa"/>
              <w:left w:w="108" w:type="dxa"/>
              <w:bottom w:w="10" w:type="dxa"/>
              <w:right w:w="118" w:type="dxa"/>
            </w:tcMar>
            <w:vAlign w:val="center"/>
          </w:tcPr>
          <w:p w14:paraId="48340A73">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目标实际完成情况</w:t>
            </w:r>
          </w:p>
        </w:tc>
      </w:tr>
      <w:tr w14:paraId="02DE4DF5">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14:paraId="04778893">
            <w:pPr>
              <w:rPr>
                <w:rFonts w:ascii="宋体" w:hAnsi="宋体" w:cs="宋体"/>
                <w:b w:val="0"/>
                <w:bCs w:val="0"/>
                <w:i w:val="0"/>
                <w:iCs w:val="0"/>
                <w:smallCaps w:val="0"/>
                <w:color w:val="000000"/>
                <w:spacing w:val="0"/>
                <w:kern w:val="0"/>
                <w:sz w:val="22"/>
                <w:szCs w:val="22"/>
              </w:rPr>
            </w:pPr>
          </w:p>
        </w:tc>
        <w:tc>
          <w:tcPr>
            <w:tcW w:w="4580" w:type="dxa"/>
            <w:gridSpan w:val="4"/>
            <w:tcBorders>
              <w:bottom w:val="single" w:color="000000" w:sz="8" w:space="0"/>
              <w:right w:val="single" w:color="000000" w:sz="8" w:space="0"/>
            </w:tcBorders>
            <w:noWrap w:val="0"/>
            <w:tcMar>
              <w:top w:w="0" w:type="dxa"/>
              <w:left w:w="108" w:type="dxa"/>
              <w:bottom w:w="10" w:type="dxa"/>
              <w:right w:w="118" w:type="dxa"/>
            </w:tcMar>
            <w:vAlign w:val="center"/>
          </w:tcPr>
          <w:p w14:paraId="1CA9FB90">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647" w:type="dxa"/>
            <w:gridSpan w:val="5"/>
            <w:tcBorders>
              <w:bottom w:val="single" w:color="000000" w:sz="8" w:space="0"/>
              <w:right w:val="single" w:color="000000" w:sz="8" w:space="0"/>
            </w:tcBorders>
            <w:noWrap w:val="0"/>
            <w:tcMar>
              <w:top w:w="0" w:type="dxa"/>
              <w:left w:w="108" w:type="dxa"/>
              <w:bottom w:w="10" w:type="dxa"/>
              <w:right w:w="118" w:type="dxa"/>
            </w:tcMar>
            <w:vAlign w:val="center"/>
          </w:tcPr>
          <w:p w14:paraId="5E986520">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14:paraId="2F72C8DD">
        <w:tblPrEx>
          <w:tblCellMar>
            <w:top w:w="15" w:type="dxa"/>
            <w:left w:w="15" w:type="dxa"/>
            <w:bottom w:w="15" w:type="dxa"/>
            <w:right w:w="15" w:type="dxa"/>
          </w:tblCellMar>
        </w:tblPrEx>
        <w:trPr>
          <w:trHeight w:val="891" w:hRule="atLeast"/>
          <w:tblHeader/>
          <w:tblCellSpacing w:w="0" w:type="dxa"/>
        </w:trPr>
        <w:tc>
          <w:tcPr>
            <w:tcW w:w="883" w:type="dxa"/>
            <w:vMerge w:val="restart"/>
            <w:tcBorders>
              <w:left w:val="single" w:color="000000" w:sz="8" w:space="0"/>
              <w:bottom w:val="single" w:color="000000" w:sz="8" w:space="0"/>
              <w:right w:val="single" w:color="000000" w:sz="8" w:space="0"/>
            </w:tcBorders>
            <w:noWrap w:val="0"/>
            <w:tcMar>
              <w:top w:w="0" w:type="dxa"/>
              <w:left w:w="118" w:type="dxa"/>
              <w:bottom w:w="10" w:type="dxa"/>
              <w:right w:w="118" w:type="dxa"/>
            </w:tcMar>
            <w:vAlign w:val="center"/>
          </w:tcPr>
          <w:p w14:paraId="67280C93">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绩效</w:t>
            </w:r>
          </w:p>
          <w:p w14:paraId="7FDF3F9E">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指标</w:t>
            </w:r>
          </w:p>
        </w:tc>
        <w:tc>
          <w:tcPr>
            <w:tcW w:w="1106" w:type="dxa"/>
            <w:tcBorders>
              <w:bottom w:val="single" w:color="000000" w:sz="8" w:space="0"/>
              <w:right w:val="single" w:color="000000" w:sz="8" w:space="0"/>
            </w:tcBorders>
            <w:noWrap w:val="0"/>
            <w:tcMar>
              <w:top w:w="0" w:type="dxa"/>
              <w:left w:w="108" w:type="dxa"/>
              <w:bottom w:w="10" w:type="dxa"/>
              <w:right w:w="118" w:type="dxa"/>
            </w:tcMar>
            <w:vAlign w:val="center"/>
          </w:tcPr>
          <w:p w14:paraId="4D41B215">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一级指标</w:t>
            </w: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14:paraId="5D4C2C92">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二级指标</w:t>
            </w:r>
          </w:p>
        </w:tc>
        <w:tc>
          <w:tcPr>
            <w:tcW w:w="957"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3A1BDC6A">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三级指标</w:t>
            </w:r>
          </w:p>
        </w:tc>
        <w:tc>
          <w:tcPr>
            <w:tcW w:w="1017"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04ED3563">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年度指标值</w:t>
            </w:r>
          </w:p>
        </w:tc>
        <w:tc>
          <w:tcPr>
            <w:tcW w:w="8802" w:type="dxa"/>
            <w:gridSpan w:val="2"/>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02E7C907">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实际完成值</w:t>
            </w:r>
          </w:p>
        </w:tc>
        <w:tc>
          <w:tcPr>
            <w:tcW w:w="885"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1A5FFEF2">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指标分值</w:t>
            </w:r>
          </w:p>
        </w:tc>
        <w:tc>
          <w:tcPr>
            <w:tcW w:w="897"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2F99759F">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自评得分</w:t>
            </w:r>
          </w:p>
        </w:tc>
        <w:tc>
          <w:tcPr>
            <w:tcW w:w="1198"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14:paraId="6B80A799">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偏差原因及分析</w:t>
            </w:r>
          </w:p>
        </w:tc>
      </w:tr>
      <w:tr w14:paraId="04608A94">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14:paraId="1AC31662">
            <w:pPr>
              <w:rPr>
                <w:rFonts w:ascii="宋体" w:hAnsi="宋体" w:cs="宋体"/>
                <w:b w:val="0"/>
                <w:bCs w:val="0"/>
                <w:i w:val="0"/>
                <w:iCs w:val="0"/>
                <w:smallCaps w:val="0"/>
                <w:color w:val="000000"/>
                <w:spacing w:val="0"/>
                <w:kern w:val="0"/>
                <w:sz w:val="22"/>
                <w:szCs w:val="22"/>
              </w:rPr>
            </w:pPr>
          </w:p>
        </w:tc>
        <w:tc>
          <w:tcPr>
            <w:tcW w:w="1106" w:type="dxa"/>
            <w:vMerge w:val="restart"/>
            <w:tcBorders>
              <w:bottom w:val="single" w:color="000000" w:sz="8" w:space="0"/>
              <w:right w:val="single" w:color="000000" w:sz="8" w:space="0"/>
            </w:tcBorders>
            <w:noWrap w:val="0"/>
            <w:tcMar>
              <w:top w:w="0" w:type="dxa"/>
              <w:left w:w="108" w:type="dxa"/>
              <w:bottom w:w="10" w:type="dxa"/>
              <w:right w:w="118" w:type="dxa"/>
            </w:tcMar>
            <w:vAlign w:val="center"/>
          </w:tcPr>
          <w:p w14:paraId="39D12553">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成本指标</w:t>
            </w: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14:paraId="4EEF58B9">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经济成本指标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14:paraId="5A417A34">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14:paraId="0956A856">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3B149A7B">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14:paraId="56438802">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14:paraId="798FE13F">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14:paraId="6A98C860">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14:paraId="5085F912">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14:paraId="3A64A2D5">
            <w:pPr>
              <w:rPr>
                <w:rFonts w:ascii="宋体" w:hAnsi="宋体" w:cs="宋体"/>
                <w:b w:val="0"/>
                <w:bCs w:val="0"/>
                <w:i w:val="0"/>
                <w:iCs w:val="0"/>
                <w:smallCaps w:val="0"/>
                <w:color w:val="000000"/>
                <w:spacing w:val="0"/>
                <w:kern w:val="0"/>
                <w:sz w:val="22"/>
                <w:szCs w:val="22"/>
              </w:rPr>
            </w:pPr>
          </w:p>
        </w:tc>
        <w:tc>
          <w:tcPr>
            <w:vMerge w:val="continue"/>
            <w:tcBorders>
              <w:bottom w:val="single" w:color="000000" w:sz="8" w:space="0"/>
              <w:right w:val="single" w:color="000000" w:sz="8" w:space="0"/>
            </w:tcBorders>
            <w:vAlign w:val="center"/>
          </w:tcPr>
          <w:p w14:paraId="670A3E2A">
            <w:pPr>
              <w:rPr>
                <w:rFonts w:ascii="宋体" w:hAnsi="宋体" w:cs="宋体"/>
                <w:b w:val="0"/>
                <w:bCs w:val="0"/>
                <w:i w:val="0"/>
                <w:iCs w:val="0"/>
                <w:smallCaps w:val="0"/>
                <w:color w:val="000000"/>
                <w:spacing w:val="0"/>
                <w:kern w:val="0"/>
                <w:sz w:val="22"/>
                <w:szCs w:val="22"/>
              </w:rPr>
            </w:pP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14:paraId="19FC4017">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社会成本指标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14:paraId="4F79519F">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14:paraId="00BC1E83">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088A13A3">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14:paraId="37156AF5">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14:paraId="74EE66AE">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14:paraId="3405D603">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14:paraId="1AF03851">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14:paraId="0A380168">
            <w:pPr>
              <w:rPr>
                <w:rFonts w:ascii="宋体" w:hAnsi="宋体" w:cs="宋体"/>
                <w:b w:val="0"/>
                <w:bCs w:val="0"/>
                <w:i w:val="0"/>
                <w:iCs w:val="0"/>
                <w:smallCaps w:val="0"/>
                <w:color w:val="000000"/>
                <w:spacing w:val="0"/>
                <w:kern w:val="0"/>
                <w:sz w:val="22"/>
                <w:szCs w:val="22"/>
              </w:rPr>
            </w:pPr>
          </w:p>
        </w:tc>
        <w:tc>
          <w:tcPr>
            <w:vMerge w:val="continue"/>
            <w:tcBorders>
              <w:bottom w:val="single" w:color="000000" w:sz="8" w:space="0"/>
              <w:right w:val="single" w:color="000000" w:sz="8" w:space="0"/>
            </w:tcBorders>
            <w:vAlign w:val="center"/>
          </w:tcPr>
          <w:p w14:paraId="35C32E57">
            <w:pPr>
              <w:rPr>
                <w:rFonts w:ascii="宋体" w:hAnsi="宋体" w:cs="宋体"/>
                <w:b w:val="0"/>
                <w:bCs w:val="0"/>
                <w:i w:val="0"/>
                <w:iCs w:val="0"/>
                <w:smallCaps w:val="0"/>
                <w:color w:val="000000"/>
                <w:spacing w:val="0"/>
                <w:kern w:val="0"/>
                <w:sz w:val="22"/>
                <w:szCs w:val="22"/>
              </w:rPr>
            </w:pP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14:paraId="0BF2A8F9">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生态环境成本指标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14:paraId="329C4437">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14:paraId="2A619754">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D6F3087">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14:paraId="465F8300">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14:paraId="3B7ECF77">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14:paraId="09EB0ADB">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14:paraId="40D4C6D8">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14:paraId="1F48489C">
            <w:pPr>
              <w:rPr>
                <w:rFonts w:ascii="宋体" w:hAnsi="宋体" w:cs="宋体"/>
                <w:b w:val="0"/>
                <w:bCs w:val="0"/>
                <w:i w:val="0"/>
                <w:iCs w:val="0"/>
                <w:smallCaps w:val="0"/>
                <w:color w:val="000000"/>
                <w:spacing w:val="0"/>
                <w:kern w:val="0"/>
                <w:sz w:val="22"/>
                <w:szCs w:val="22"/>
              </w:rPr>
            </w:pPr>
          </w:p>
        </w:tc>
        <w:tc>
          <w:tcPr>
            <w:tcW w:w="1106" w:type="dxa"/>
            <w:vMerge w:val="restart"/>
            <w:tcBorders>
              <w:bottom w:val="single" w:color="000000" w:sz="8" w:space="0"/>
              <w:right w:val="single" w:color="000000" w:sz="8" w:space="0"/>
            </w:tcBorders>
            <w:noWrap w:val="0"/>
            <w:tcMar>
              <w:top w:w="0" w:type="dxa"/>
              <w:left w:w="108" w:type="dxa"/>
              <w:bottom w:w="10" w:type="dxa"/>
              <w:right w:w="118" w:type="dxa"/>
            </w:tcMar>
            <w:vAlign w:val="center"/>
          </w:tcPr>
          <w:p w14:paraId="0F3E1C2E">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产出指标</w:t>
            </w: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14:paraId="691B1A48">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数量指标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14:paraId="1B4DF2C1">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14:paraId="3BC77948">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24D4540C">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14:paraId="6F9F1595">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14:paraId="31DF94F8">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14:paraId="73B4E505">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14:paraId="5E54CFBB">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14:paraId="10F666B6">
            <w:pPr>
              <w:rPr>
                <w:rFonts w:ascii="宋体" w:hAnsi="宋体" w:cs="宋体"/>
                <w:b w:val="0"/>
                <w:bCs w:val="0"/>
                <w:i w:val="0"/>
                <w:iCs w:val="0"/>
                <w:smallCaps w:val="0"/>
                <w:color w:val="000000"/>
                <w:spacing w:val="0"/>
                <w:kern w:val="0"/>
                <w:sz w:val="22"/>
                <w:szCs w:val="22"/>
              </w:rPr>
            </w:pPr>
          </w:p>
        </w:tc>
        <w:tc>
          <w:tcPr>
            <w:vMerge w:val="continue"/>
            <w:tcBorders>
              <w:bottom w:val="single" w:color="000000" w:sz="8" w:space="0"/>
              <w:right w:val="single" w:color="000000" w:sz="8" w:space="0"/>
            </w:tcBorders>
            <w:vAlign w:val="center"/>
          </w:tcPr>
          <w:p w14:paraId="4C893547">
            <w:pPr>
              <w:rPr>
                <w:rFonts w:ascii="宋体" w:hAnsi="宋体" w:cs="宋体"/>
                <w:b w:val="0"/>
                <w:bCs w:val="0"/>
                <w:i w:val="0"/>
                <w:iCs w:val="0"/>
                <w:smallCaps w:val="0"/>
                <w:color w:val="000000"/>
                <w:spacing w:val="0"/>
                <w:kern w:val="0"/>
                <w:sz w:val="22"/>
                <w:szCs w:val="22"/>
              </w:rPr>
            </w:pP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14:paraId="268F6148">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质量指标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14:paraId="072D3665">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14:paraId="609014EA">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AA0B442">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14:paraId="73572E96">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14:paraId="2C19D3EF">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14:paraId="623520AF">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14:paraId="7053AB33">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14:paraId="6F58FDCB">
            <w:pPr>
              <w:rPr>
                <w:rFonts w:ascii="宋体" w:hAnsi="宋体" w:cs="宋体"/>
                <w:b w:val="0"/>
                <w:bCs w:val="0"/>
                <w:i w:val="0"/>
                <w:iCs w:val="0"/>
                <w:smallCaps w:val="0"/>
                <w:color w:val="000000"/>
                <w:spacing w:val="0"/>
                <w:kern w:val="0"/>
                <w:sz w:val="22"/>
                <w:szCs w:val="22"/>
              </w:rPr>
            </w:pPr>
          </w:p>
        </w:tc>
        <w:tc>
          <w:tcPr>
            <w:vMerge w:val="continue"/>
            <w:tcBorders>
              <w:bottom w:val="single" w:color="000000" w:sz="8" w:space="0"/>
              <w:right w:val="single" w:color="000000" w:sz="8" w:space="0"/>
            </w:tcBorders>
            <w:vAlign w:val="center"/>
          </w:tcPr>
          <w:p w14:paraId="44C8F826">
            <w:pPr>
              <w:rPr>
                <w:rFonts w:ascii="宋体" w:hAnsi="宋体" w:cs="宋体"/>
                <w:b w:val="0"/>
                <w:bCs w:val="0"/>
                <w:i w:val="0"/>
                <w:iCs w:val="0"/>
                <w:smallCaps w:val="0"/>
                <w:color w:val="000000"/>
                <w:spacing w:val="0"/>
                <w:kern w:val="0"/>
                <w:sz w:val="22"/>
                <w:szCs w:val="22"/>
              </w:rPr>
            </w:pP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14:paraId="0FFBB4EC">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时效指标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14:paraId="49EC6BE8">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14:paraId="73EC5632">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978D245">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14:paraId="7E54E998">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14:paraId="2DA2C4C2">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14:paraId="26D81E76">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14:paraId="5F25BB39">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14:paraId="51B91F2F">
            <w:pPr>
              <w:rPr>
                <w:rFonts w:ascii="宋体" w:hAnsi="宋体" w:cs="宋体"/>
                <w:b w:val="0"/>
                <w:bCs w:val="0"/>
                <w:i w:val="0"/>
                <w:iCs w:val="0"/>
                <w:smallCaps w:val="0"/>
                <w:color w:val="000000"/>
                <w:spacing w:val="0"/>
                <w:kern w:val="0"/>
                <w:sz w:val="22"/>
                <w:szCs w:val="22"/>
              </w:rPr>
            </w:pPr>
          </w:p>
        </w:tc>
        <w:tc>
          <w:tcPr>
            <w:tcW w:w="1106" w:type="dxa"/>
            <w:vMerge w:val="restart"/>
            <w:tcBorders>
              <w:bottom w:val="single" w:color="000000" w:sz="8" w:space="0"/>
              <w:right w:val="single" w:color="000000" w:sz="8" w:space="0"/>
            </w:tcBorders>
            <w:noWrap w:val="0"/>
            <w:tcMar>
              <w:top w:w="0" w:type="dxa"/>
              <w:left w:w="108" w:type="dxa"/>
              <w:bottom w:w="10" w:type="dxa"/>
              <w:right w:w="118" w:type="dxa"/>
            </w:tcMar>
            <w:vAlign w:val="center"/>
          </w:tcPr>
          <w:p w14:paraId="404B6DA2">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效益指标</w:t>
            </w: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14:paraId="6D862B25">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经济效益指标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14:paraId="3F7CBE54">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14:paraId="56032385">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9E575E2">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14:paraId="3BCD1236">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14:paraId="5DF6B7ED">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14:paraId="39437A0C">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14:paraId="5BFE45EF">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14:paraId="11E8B380">
            <w:pPr>
              <w:rPr>
                <w:rFonts w:ascii="宋体" w:hAnsi="宋体" w:cs="宋体"/>
                <w:b w:val="0"/>
                <w:bCs w:val="0"/>
                <w:i w:val="0"/>
                <w:iCs w:val="0"/>
                <w:smallCaps w:val="0"/>
                <w:color w:val="000000"/>
                <w:spacing w:val="0"/>
                <w:kern w:val="0"/>
                <w:sz w:val="22"/>
                <w:szCs w:val="22"/>
              </w:rPr>
            </w:pPr>
          </w:p>
        </w:tc>
        <w:tc>
          <w:tcPr>
            <w:vMerge w:val="continue"/>
            <w:tcBorders>
              <w:bottom w:val="single" w:color="000000" w:sz="8" w:space="0"/>
              <w:right w:val="single" w:color="000000" w:sz="8" w:space="0"/>
            </w:tcBorders>
            <w:vAlign w:val="center"/>
          </w:tcPr>
          <w:p w14:paraId="11696A4D">
            <w:pPr>
              <w:rPr>
                <w:rFonts w:ascii="宋体" w:hAnsi="宋体" w:cs="宋体"/>
                <w:b w:val="0"/>
                <w:bCs w:val="0"/>
                <w:i w:val="0"/>
                <w:iCs w:val="0"/>
                <w:smallCaps w:val="0"/>
                <w:color w:val="000000"/>
                <w:spacing w:val="0"/>
                <w:kern w:val="0"/>
                <w:sz w:val="22"/>
                <w:szCs w:val="22"/>
              </w:rPr>
            </w:pP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14:paraId="0C213B39">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社会效益指标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14:paraId="139DFEF3">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14:paraId="3E914E08">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C1A402A">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14:paraId="57A06375">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14:paraId="588C92E0">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14:paraId="03604384">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14:paraId="6CB085C4">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14:paraId="710EDE2F">
            <w:pPr>
              <w:rPr>
                <w:rFonts w:ascii="宋体" w:hAnsi="宋体" w:cs="宋体"/>
                <w:b w:val="0"/>
                <w:bCs w:val="0"/>
                <w:i w:val="0"/>
                <w:iCs w:val="0"/>
                <w:smallCaps w:val="0"/>
                <w:color w:val="000000"/>
                <w:spacing w:val="0"/>
                <w:kern w:val="0"/>
                <w:sz w:val="22"/>
                <w:szCs w:val="22"/>
              </w:rPr>
            </w:pPr>
          </w:p>
        </w:tc>
        <w:tc>
          <w:tcPr>
            <w:vMerge w:val="continue"/>
            <w:tcBorders>
              <w:bottom w:val="single" w:color="000000" w:sz="8" w:space="0"/>
              <w:right w:val="single" w:color="000000" w:sz="8" w:space="0"/>
            </w:tcBorders>
            <w:vAlign w:val="center"/>
          </w:tcPr>
          <w:p w14:paraId="30713BF8">
            <w:pPr>
              <w:rPr>
                <w:rFonts w:ascii="宋体" w:hAnsi="宋体" w:cs="宋体"/>
                <w:b w:val="0"/>
                <w:bCs w:val="0"/>
                <w:i w:val="0"/>
                <w:iCs w:val="0"/>
                <w:smallCaps w:val="0"/>
                <w:color w:val="000000"/>
                <w:spacing w:val="0"/>
                <w:kern w:val="0"/>
                <w:sz w:val="22"/>
                <w:szCs w:val="22"/>
              </w:rPr>
            </w:pP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14:paraId="29ADE8E3">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生态效益指标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14:paraId="13BA485A">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14:paraId="67B7BAF8">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3F9F5759">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14:paraId="4D4C9BF3">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14:paraId="05AE95E3">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14:paraId="01824F4D">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14:paraId="6E72B561">
        <w:tblPrEx>
          <w:tblCellMar>
            <w:top w:w="15" w:type="dxa"/>
            <w:left w:w="15" w:type="dxa"/>
            <w:bottom w:w="15" w:type="dxa"/>
            <w:right w:w="15" w:type="dxa"/>
          </w:tblCellMar>
        </w:tblPrEx>
        <w:trPr>
          <w:trHeight w:val="891" w:hRule="atLeast"/>
          <w:tblHeader/>
          <w:tblCellSpacing w:w="0" w:type="dxa"/>
        </w:trPr>
        <w:tc>
          <w:tcPr>
            <w:vMerge w:val="continue"/>
            <w:tcBorders>
              <w:left w:val="single" w:color="000000" w:sz="8" w:space="0"/>
              <w:bottom w:val="single" w:color="000000" w:sz="8" w:space="0"/>
              <w:right w:val="single" w:color="000000" w:sz="8" w:space="0"/>
            </w:tcBorders>
            <w:vAlign w:val="center"/>
          </w:tcPr>
          <w:p w14:paraId="1773BFD6">
            <w:pPr>
              <w:rPr>
                <w:rFonts w:ascii="宋体" w:hAnsi="宋体" w:cs="宋体"/>
                <w:b w:val="0"/>
                <w:bCs w:val="0"/>
                <w:i w:val="0"/>
                <w:iCs w:val="0"/>
                <w:smallCaps w:val="0"/>
                <w:color w:val="000000"/>
                <w:spacing w:val="0"/>
                <w:kern w:val="0"/>
                <w:sz w:val="22"/>
                <w:szCs w:val="22"/>
              </w:rPr>
            </w:pPr>
          </w:p>
        </w:tc>
        <w:tc>
          <w:tcPr>
            <w:tcW w:w="1106" w:type="dxa"/>
            <w:tcBorders>
              <w:bottom w:val="single" w:color="000000" w:sz="8" w:space="0"/>
              <w:right w:val="single" w:color="000000" w:sz="8" w:space="0"/>
            </w:tcBorders>
            <w:noWrap w:val="0"/>
            <w:tcMar>
              <w:top w:w="0" w:type="dxa"/>
              <w:left w:w="108" w:type="dxa"/>
              <w:bottom w:w="10" w:type="dxa"/>
              <w:right w:w="118" w:type="dxa"/>
            </w:tcMar>
            <w:vAlign w:val="center"/>
          </w:tcPr>
          <w:p w14:paraId="18E1DC4F">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满意度指标</w:t>
            </w: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14:paraId="5063F927">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服务对象满意度指标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14:paraId="4EE45DA3">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14:paraId="4B6B568C">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14:paraId="45C6D2C8">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14:paraId="7AF7A4D3">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14:paraId="5C9BBAC3">
            <w:pPr>
              <w:pStyle w:val="31"/>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14:paraId="7906968F">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14:paraId="03950FB3">
        <w:tblPrEx>
          <w:tblCellMar>
            <w:top w:w="15" w:type="dxa"/>
            <w:left w:w="15" w:type="dxa"/>
            <w:bottom w:w="15" w:type="dxa"/>
            <w:right w:w="15" w:type="dxa"/>
          </w:tblCellMar>
        </w:tblPrEx>
        <w:trPr>
          <w:trHeight w:val="638" w:hRule="atLeast"/>
          <w:tblHeader/>
          <w:tblCellSpacing w:w="0" w:type="dxa"/>
        </w:trPr>
        <w:tc>
          <w:tcPr>
            <w:tcW w:w="5418" w:type="dxa"/>
            <w:gridSpan w:val="5"/>
            <w:tcBorders>
              <w:left w:val="single" w:color="000000" w:sz="8" w:space="0"/>
              <w:bottom w:val="single" w:color="000000" w:sz="8" w:space="0"/>
              <w:right w:val="single" w:color="000000" w:sz="8" w:space="0"/>
            </w:tcBorders>
            <w:noWrap w:val="0"/>
            <w:tcMar>
              <w:top w:w="0" w:type="dxa"/>
              <w:left w:w="118" w:type="dxa"/>
              <w:bottom w:w="10" w:type="dxa"/>
              <w:right w:w="118" w:type="dxa"/>
            </w:tcMar>
            <w:vAlign w:val="center"/>
          </w:tcPr>
          <w:p w14:paraId="2ADBB7D8">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总分值、评价总分 (S)</w:t>
            </w:r>
          </w:p>
        </w:tc>
        <w:tc>
          <w:tcPr>
            <w:tcW w:w="11647" w:type="dxa"/>
            <w:gridSpan w:val="5"/>
            <w:tcBorders>
              <w:bottom w:val="single" w:color="000000" w:sz="8" w:space="0"/>
              <w:right w:val="single" w:color="000000" w:sz="8" w:space="0"/>
            </w:tcBorders>
            <w:noWrap w:val="0"/>
            <w:tcMar>
              <w:top w:w="0" w:type="dxa"/>
              <w:left w:w="108" w:type="dxa"/>
              <w:bottom w:w="10" w:type="dxa"/>
              <w:right w:w="118" w:type="dxa"/>
            </w:tcMar>
            <w:vAlign w:val="center"/>
          </w:tcPr>
          <w:p w14:paraId="5E7EEF62">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14:paraId="7CA8B751">
        <w:tblPrEx>
          <w:tblCellMar>
            <w:top w:w="15" w:type="dxa"/>
            <w:left w:w="15" w:type="dxa"/>
            <w:bottom w:w="15" w:type="dxa"/>
            <w:right w:w="15" w:type="dxa"/>
          </w:tblCellMar>
        </w:tblPrEx>
        <w:trPr>
          <w:trHeight w:val="638" w:hRule="atLeast"/>
          <w:tblHeader/>
          <w:tblCellSpacing w:w="0" w:type="dxa"/>
        </w:trPr>
        <w:tc>
          <w:tcPr>
            <w:tcW w:w="1944" w:type="dxa"/>
            <w:gridSpan w:val="2"/>
            <w:tcBorders>
              <w:left w:val="single" w:color="000000" w:sz="8" w:space="0"/>
              <w:bottom w:val="single" w:color="000000" w:sz="8" w:space="0"/>
              <w:right w:val="single" w:color="000000" w:sz="8" w:space="0"/>
            </w:tcBorders>
            <w:noWrap w:val="0"/>
            <w:tcMar>
              <w:top w:w="0" w:type="dxa"/>
              <w:left w:w="118" w:type="dxa"/>
              <w:bottom w:w="10" w:type="dxa"/>
              <w:right w:w="118" w:type="dxa"/>
            </w:tcMar>
            <w:vAlign w:val="center"/>
          </w:tcPr>
          <w:p w14:paraId="49885466">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评价等级 </w:t>
            </w:r>
          </w:p>
        </w:tc>
        <w:tc>
          <w:tcPr>
            <w:tcW w:w="15121" w:type="dxa"/>
            <w:gridSpan w:val="8"/>
            <w:tcBorders>
              <w:bottom w:val="single" w:color="000000" w:sz="8" w:space="0"/>
              <w:right w:val="single" w:color="000000" w:sz="8" w:space="0"/>
            </w:tcBorders>
            <w:noWrap w:val="0"/>
            <w:tcMar>
              <w:top w:w="0" w:type="dxa"/>
              <w:left w:w="108" w:type="dxa"/>
              <w:bottom w:w="10" w:type="dxa"/>
              <w:right w:w="118" w:type="dxa"/>
            </w:tcMar>
            <w:vAlign w:val="center"/>
          </w:tcPr>
          <w:p w14:paraId="105364D5">
            <w:pPr>
              <w:pStyle w:val="31"/>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bl>
    <w:p w14:paraId="46D9C473">
      <w:pPr>
        <w:pStyle w:val="31"/>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14:paraId="0BDED140">
      <w:pPr>
        <w:pStyle w:val="30"/>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24"/>
        </w:rPr>
        <w:t> </w:t>
      </w:r>
    </w:p>
    <w:p w14:paraId="469C38CE">
      <w:pPr>
        <w:pStyle w:val="30"/>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24"/>
        </w:rPr>
        <w:t> </w:t>
      </w:r>
    </w:p>
    <w:p w14:paraId="547C5EEC">
      <w:pPr>
        <w:pStyle w:val="31"/>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14:paraId="52963A0F">
      <w:pPr>
        <w:pStyle w:val="31"/>
        <w:widowControl/>
        <w:spacing w:before="240" w:after="240"/>
        <w:jc w:val="left"/>
        <w:rPr>
          <w:rFonts w:ascii="Times New Roman" w:hAnsi="Times New Roman" w:eastAsia="Times New Roman" w:cs="Times New Roman"/>
          <w:kern w:val="0"/>
          <w:sz w:val="24"/>
        </w:rPr>
      </w:pPr>
      <w:r>
        <w:rPr>
          <w:rFonts w:ascii="Calibri" w:hAnsi="Calibri" w:eastAsia="Calibri" w:cs="Calibri"/>
          <w:kern w:val="0"/>
          <w:szCs w:val="21"/>
        </w:rPr>
        <w:t> </w:t>
      </w:r>
    </w:p>
    <w:bookmarkEnd w:id="1"/>
    <w:p w14:paraId="7E13F0D4">
      <w:pPr>
        <w:adjustRightInd w:val="0"/>
        <w:snapToGrid w:val="0"/>
        <w:rPr>
          <w:rFonts w:hint="eastAsia" w:ascii="宋体" w:hAnsi="宋体"/>
          <w:b/>
          <w:sz w:val="32"/>
          <w:szCs w:val="32"/>
        </w:rPr>
      </w:pPr>
    </w:p>
    <w:p w14:paraId="16B721BE">
      <w:pPr>
        <w:adjustRightInd w:val="0"/>
        <w:snapToGrid w:val="0"/>
        <w:rPr>
          <w:rFonts w:hint="eastAsia" w:ascii="宋体" w:hAnsi="宋体"/>
          <w:b/>
          <w:sz w:val="32"/>
          <w:szCs w:val="32"/>
        </w:rPr>
      </w:pPr>
    </w:p>
    <w:p w14:paraId="064DC7E7">
      <w:pPr>
        <w:tabs>
          <w:tab w:val="left" w:pos="8415"/>
        </w:tabs>
      </w:pPr>
    </w:p>
    <w:sectPr>
      <w:footerReference r:id="rId6" w:type="default"/>
      <w:pgSz w:w="11906" w:h="16838"/>
      <w:pgMar w:top="1440" w:right="1083" w:bottom="1440" w:left="1083" w:header="0" w:footer="72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B096D">
    <w:pPr>
      <w:pStyle w:val="13"/>
      <w:tabs>
        <w:tab w:val="center" w:pos="5400"/>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F4E46">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09F85">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777AAA">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gL3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ZIC97LAQAAnAMAAA4AAAAAAAAAAQAgAAAAHgEAAGRycy9lMm9E&#10;b2MueG1sUEsFBgAAAAAGAAYAWQEAAFsFAAAAAA==&#10;">
              <v:fill on="f" focussize="0,0"/>
              <v:stroke on="f"/>
              <v:imagedata o:title=""/>
              <o:lock v:ext="edit" aspectratio="f"/>
              <v:textbox inset="0mm,0mm,0mm,0mm" style="mso-fit-shape-to-text:t;">
                <w:txbxContent>
                  <w:p w14:paraId="60777AAA">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DC037">
    <w:pPr>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D24759">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39</w:t>
                          </w:r>
                          <w:r>
                            <w:rPr>
                              <w:rFonts w:ascii="宋体" w:hAnsi="宋体" w:eastAsia="宋体" w:cs="宋体"/>
                              <w:sz w:val="18"/>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VjX3ssBAACc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rFTaDEcYsDv3z/dvnx6/LzK1lW&#10;q5usUB+gxsTHgKlpuPdDzp78gM5MfFDR5i9SIhhHfc9XfeWQiMiP1qv1usKQwNh8QRz29DxESG+l&#10;tyQbDY04wKIrP72HNKbOKbma8w/aGPTz2ri/HIiZPSz3PvaYrTTsh6nxvW/PyKfH2TfU4apTYt45&#10;lDavyWzE2djPxjFEfejKHuV6EO6OCZsoveUKI+xUGIdW2E0Llrfiz3vJevq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lY197LAQAAnAMAAA4AAAAAAAAAAQAgAAAAHgEAAGRycy9lMm9E&#10;b2MueG1sUEsFBgAAAAAGAAYAWQEAAFsFAAAAAA==&#10;">
              <v:fill on="f" focussize="0,0"/>
              <v:stroke on="f"/>
              <v:imagedata o:title=""/>
              <o:lock v:ext="edit" aspectratio="f"/>
              <v:textbox inset="0mm,0mm,0mm,0mm" style="mso-fit-shape-to-text:t;">
                <w:txbxContent>
                  <w:p w14:paraId="3ED24759">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39</w:t>
                    </w:r>
                    <w:r>
                      <w:rPr>
                        <w:rFonts w:ascii="宋体" w:hAnsi="宋体" w:eastAsia="宋体" w:cs="宋体"/>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U0YWQxNzI1ODIzZWU1Y2Q3NTg2NGU4ZGUwYTVjNWU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68A6"/>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56D6"/>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7F2F15"/>
    <w:rsid w:val="00836830"/>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10863"/>
    <w:rsid w:val="00B27D51"/>
    <w:rsid w:val="00B326F7"/>
    <w:rsid w:val="00B32BEE"/>
    <w:rsid w:val="00B373AF"/>
    <w:rsid w:val="00B4208A"/>
    <w:rsid w:val="00B57D7A"/>
    <w:rsid w:val="00B76620"/>
    <w:rsid w:val="00B840CE"/>
    <w:rsid w:val="00B96C3D"/>
    <w:rsid w:val="00BD0928"/>
    <w:rsid w:val="00BD380A"/>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B7316"/>
    <w:rsid w:val="00EE533B"/>
    <w:rsid w:val="00F04882"/>
    <w:rsid w:val="00F63327"/>
    <w:rsid w:val="00F80A29"/>
    <w:rsid w:val="00FA7CA5"/>
    <w:rsid w:val="00FD08EC"/>
    <w:rsid w:val="00FD7690"/>
    <w:rsid w:val="0FC06F04"/>
    <w:rsid w:val="12D76496"/>
    <w:rsid w:val="29057462"/>
    <w:rsid w:val="3978471D"/>
    <w:rsid w:val="50785205"/>
    <w:rsid w:val="597E58BD"/>
    <w:rsid w:val="5BD7618C"/>
    <w:rsid w:val="640051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29"/>
    <w:qFormat/>
    <w:uiPriority w:val="0"/>
    <w:pPr>
      <w:keepNext/>
      <w:keepLines/>
      <w:spacing w:before="260" w:after="260" w:line="416" w:lineRule="auto"/>
      <w:outlineLvl w:val="2"/>
    </w:pPr>
    <w:rPr>
      <w:b/>
      <w:bCs/>
      <w:sz w:val="32"/>
      <w:szCs w:val="32"/>
    </w:rPr>
  </w:style>
  <w:style w:type="paragraph" w:styleId="7">
    <w:name w:val="heading 4"/>
    <w:basedOn w:val="1"/>
    <w:next w:val="1"/>
    <w:link w:val="24"/>
    <w:qFormat/>
    <w:uiPriority w:val="0"/>
    <w:pPr>
      <w:keepNext/>
      <w:keepLines/>
      <w:spacing w:before="280" w:after="290" w:line="376" w:lineRule="auto"/>
      <w:outlineLvl w:val="3"/>
    </w:pPr>
    <w:rPr>
      <w:rFonts w:ascii="Cambria" w:hAnsi="Cambria"/>
      <w:b/>
      <w:bCs/>
      <w:sz w:val="28"/>
      <w:szCs w:val="28"/>
    </w:rPr>
  </w:style>
  <w:style w:type="character" w:default="1" w:styleId="21">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spacing w:after="120"/>
      <w:ind w:left="420" w:leftChars="200"/>
    </w:pPr>
    <w:rPr>
      <w:rFonts w:ascii="Times New Roman" w:hAnsi="Times New Roman"/>
    </w:rPr>
  </w:style>
  <w:style w:type="paragraph" w:styleId="8">
    <w:name w:val="toc 7"/>
    <w:basedOn w:val="1"/>
    <w:next w:val="1"/>
    <w:autoRedefine/>
    <w:uiPriority w:val="0"/>
    <w:pPr>
      <w:ind w:left="1260"/>
      <w:jc w:val="left"/>
    </w:pPr>
    <w:rPr>
      <w:sz w:val="20"/>
      <w:szCs w:val="20"/>
    </w:rPr>
  </w:style>
  <w:style w:type="paragraph" w:styleId="9">
    <w:name w:val="Document Map"/>
    <w:basedOn w:val="1"/>
    <w:qFormat/>
    <w:uiPriority w:val="0"/>
    <w:pPr>
      <w:shd w:val="clear" w:color="auto" w:fill="000080"/>
    </w:pPr>
  </w:style>
  <w:style w:type="paragraph" w:styleId="10">
    <w:name w:val="toc 5"/>
    <w:basedOn w:val="1"/>
    <w:next w:val="1"/>
    <w:autoRedefine/>
    <w:qFormat/>
    <w:uiPriority w:val="0"/>
    <w:pPr>
      <w:ind w:left="840"/>
      <w:jc w:val="left"/>
    </w:pPr>
    <w:rPr>
      <w:sz w:val="20"/>
      <w:szCs w:val="20"/>
    </w:rPr>
  </w:style>
  <w:style w:type="paragraph" w:styleId="11">
    <w:name w:val="toc 3"/>
    <w:basedOn w:val="1"/>
    <w:next w:val="1"/>
    <w:uiPriority w:val="0"/>
    <w:pPr>
      <w:adjustRightInd w:val="0"/>
      <w:snapToGrid w:val="0"/>
      <w:spacing w:line="360" w:lineRule="auto"/>
      <w:ind w:firstLine="400" w:firstLineChars="400"/>
      <w:jc w:val="left"/>
    </w:pPr>
    <w:rPr>
      <w:sz w:val="24"/>
      <w:szCs w:val="20"/>
    </w:rPr>
  </w:style>
  <w:style w:type="paragraph" w:styleId="12">
    <w:name w:val="toc 8"/>
    <w:basedOn w:val="1"/>
    <w:next w:val="1"/>
    <w:autoRedefine/>
    <w:qFormat/>
    <w:uiPriority w:val="0"/>
    <w:pPr>
      <w:ind w:left="1470"/>
      <w:jc w:val="left"/>
    </w:pPr>
    <w:rPr>
      <w:sz w:val="20"/>
      <w:szCs w:val="20"/>
    </w:rPr>
  </w:style>
  <w:style w:type="paragraph" w:styleId="13">
    <w:name w:val="footer"/>
    <w:basedOn w:val="1"/>
    <w:link w:val="27"/>
    <w:uiPriority w:val="0"/>
    <w:pPr>
      <w:tabs>
        <w:tab w:val="center" w:pos="4153"/>
        <w:tab w:val="right" w:pos="8306"/>
      </w:tabs>
      <w:snapToGrid w:val="0"/>
      <w:jc w:val="left"/>
    </w:pPr>
    <w:rPr>
      <w:sz w:val="18"/>
      <w:szCs w:val="18"/>
    </w:rPr>
  </w:style>
  <w:style w:type="paragraph" w:styleId="1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adjustRightInd w:val="0"/>
      <w:snapToGrid w:val="0"/>
      <w:spacing w:line="360" w:lineRule="auto"/>
      <w:jc w:val="left"/>
    </w:pPr>
    <w:rPr>
      <w:b/>
      <w:bCs/>
      <w:sz w:val="24"/>
      <w:szCs w:val="20"/>
    </w:rPr>
  </w:style>
  <w:style w:type="paragraph" w:styleId="16">
    <w:name w:val="toc 4"/>
    <w:basedOn w:val="1"/>
    <w:next w:val="1"/>
    <w:autoRedefine/>
    <w:qFormat/>
    <w:uiPriority w:val="0"/>
    <w:pPr>
      <w:ind w:left="630"/>
      <w:jc w:val="left"/>
    </w:pPr>
    <w:rPr>
      <w:sz w:val="20"/>
      <w:szCs w:val="20"/>
    </w:rPr>
  </w:style>
  <w:style w:type="paragraph" w:styleId="17">
    <w:name w:val="toc 6"/>
    <w:basedOn w:val="1"/>
    <w:next w:val="1"/>
    <w:autoRedefine/>
    <w:uiPriority w:val="0"/>
    <w:pPr>
      <w:ind w:left="1050"/>
      <w:jc w:val="left"/>
    </w:pPr>
    <w:rPr>
      <w:sz w:val="20"/>
      <w:szCs w:val="20"/>
    </w:rPr>
  </w:style>
  <w:style w:type="paragraph" w:styleId="18">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9">
    <w:name w:val="toc 9"/>
    <w:basedOn w:val="1"/>
    <w:next w:val="1"/>
    <w:autoRedefine/>
    <w:qFormat/>
    <w:uiPriority w:val="0"/>
    <w:pPr>
      <w:ind w:left="1680"/>
      <w:jc w:val="left"/>
    </w:pPr>
    <w:rPr>
      <w:sz w:val="20"/>
      <w:szCs w:val="20"/>
    </w:rPr>
  </w:style>
  <w:style w:type="character" w:styleId="22">
    <w:name w:val="page number"/>
    <w:basedOn w:val="21"/>
    <w:uiPriority w:val="0"/>
  </w:style>
  <w:style w:type="character" w:styleId="23">
    <w:name w:val="Hyperlink"/>
    <w:basedOn w:val="21"/>
    <w:qFormat/>
    <w:uiPriority w:val="0"/>
    <w:rPr>
      <w:color w:val="0000FF"/>
      <w:u w:val="single"/>
    </w:rPr>
  </w:style>
  <w:style w:type="character" w:customStyle="1" w:styleId="24">
    <w:name w:val="标题 4 字符"/>
    <w:basedOn w:val="21"/>
    <w:link w:val="7"/>
    <w:qFormat/>
    <w:uiPriority w:val="0"/>
    <w:rPr>
      <w:rFonts w:ascii="Cambria" w:hAnsi="Cambria"/>
      <w:b/>
      <w:bCs/>
      <w:kern w:val="2"/>
      <w:sz w:val="28"/>
      <w:szCs w:val="28"/>
    </w:rPr>
  </w:style>
  <w:style w:type="paragraph" w:styleId="25">
    <w:name w:val="No Spacing"/>
    <w:link w:val="26"/>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6">
    <w:name w:val="无间隔 字符"/>
    <w:link w:val="25"/>
    <w:qFormat/>
    <w:locked/>
    <w:uiPriority w:val="0"/>
    <w:rPr>
      <w:rFonts w:eastAsia="仿宋_GB2312"/>
      <w:sz w:val="30"/>
      <w:szCs w:val="22"/>
      <w:lang w:bidi="ar-SA"/>
    </w:rPr>
  </w:style>
  <w:style w:type="character" w:customStyle="1" w:styleId="27">
    <w:name w:val="页脚 字符"/>
    <w:basedOn w:val="21"/>
    <w:link w:val="13"/>
    <w:qFormat/>
    <w:uiPriority w:val="0"/>
    <w:rPr>
      <w:kern w:val="2"/>
      <w:sz w:val="18"/>
      <w:szCs w:val="18"/>
    </w:rPr>
  </w:style>
  <w:style w:type="paragraph" w:styleId="28">
    <w:name w:val="List Paragraph"/>
    <w:basedOn w:val="1"/>
    <w:qFormat/>
    <w:uiPriority w:val="0"/>
    <w:pPr>
      <w:ind w:firstLine="420" w:firstLineChars="200"/>
    </w:pPr>
  </w:style>
  <w:style w:type="character" w:customStyle="1" w:styleId="29">
    <w:name w:val="标题 3 字符"/>
    <w:basedOn w:val="21"/>
    <w:link w:val="6"/>
    <w:qFormat/>
    <w:uiPriority w:val="0"/>
    <w:rPr>
      <w:b/>
      <w:bCs/>
      <w:kern w:val="2"/>
      <w:sz w:val="32"/>
      <w:szCs w:val="32"/>
    </w:rPr>
  </w:style>
  <w:style w:type="paragraph" w:customStyle="1" w:styleId="30">
    <w:name w:val="p"/>
    <w:basedOn w:val="1"/>
    <w:qFormat/>
    <w:uiPriority w:val="0"/>
  </w:style>
  <w:style w:type="paragraph" w:customStyle="1" w:styleId="31">
    <w:name w:val="MsoNormal"/>
    <w:basedOn w:val="1"/>
    <w:qFormat/>
    <w:uiPriority w:val="0"/>
  </w:style>
  <w:style w:type="table" w:customStyle="1" w:styleId="32">
    <w:name w:val="MsoNormalTable"/>
    <w:basedOn w:val="20"/>
    <w:qFormat/>
    <w:uiPriority w:val="0"/>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dr="http://schemas.openxmlformats.org/drawingml/2006/chartDrawing" xmlns:c="http://schemas.openxmlformats.org/drawingml/2006/chart"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44</Pages>
  <Words>10498</Words>
  <Characters>12595</Characters>
  <Lines>1</Lines>
  <Paragraphs>1</Paragraphs>
  <TotalTime>18</TotalTime>
  <ScaleCrop>false</ScaleCrop>
  <LinksUpToDate>false</LinksUpToDate>
  <CharactersWithSpaces>13636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文小杰</cp:lastModifiedBy>
  <cp:lastPrinted>2024-09-29T02:31:00Z</cp:lastPrinted>
  <dcterms:modified xsi:type="dcterms:W3CDTF">2024-10-09T01:31:47Z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A903CF5F40FD4C6591C9D2F202E50CE4_13</vt:lpwstr>
  </property>
</Properties>
</file>