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78EA2">
      <w:pPr>
        <w:widowControl/>
        <w:rPr>
          <w:sz w:val="32"/>
          <w:szCs w:val="32"/>
        </w:rPr>
      </w:pPr>
      <w:r>
        <w:rPr>
          <w:rFonts w:hint="eastAsia"/>
          <w:sz w:val="32"/>
          <w:szCs w:val="32"/>
        </w:rPr>
        <w:t>附件</w:t>
      </w:r>
      <w:r>
        <w:rPr>
          <w:rFonts w:hint="eastAsia"/>
          <w:sz w:val="32"/>
          <w:szCs w:val="32"/>
          <w:lang w:val="en-US" w:eastAsia="zh-CN"/>
        </w:rPr>
        <w:t>2</w:t>
      </w:r>
      <w:r>
        <w:rPr>
          <w:rFonts w:hint="eastAsia"/>
          <w:sz w:val="32"/>
          <w:szCs w:val="32"/>
        </w:rPr>
        <w:t>：</w:t>
      </w:r>
    </w:p>
    <w:p w14:paraId="0FC6E866">
      <w:pPr>
        <w:widowControl/>
        <w:rPr>
          <w:sz w:val="32"/>
          <w:szCs w:val="32"/>
        </w:rPr>
      </w:pPr>
    </w:p>
    <w:p w14:paraId="7053F060">
      <w:pPr>
        <w:widowControl/>
        <w:jc w:val="center"/>
        <w:rPr>
          <w:sz w:val="84"/>
          <w:szCs w:val="84"/>
        </w:rPr>
      </w:pPr>
    </w:p>
    <w:p w14:paraId="68A3CE95">
      <w:pPr>
        <w:widowControl/>
        <w:jc w:val="center"/>
        <w:rPr>
          <w:rFonts w:ascii="方正小标宋简体" w:eastAsia="方正小标宋简体"/>
          <w:sz w:val="84"/>
          <w:szCs w:val="84"/>
        </w:rPr>
      </w:pPr>
      <w:r>
        <w:rPr>
          <w:rFonts w:hint="eastAsia" w:ascii="方正小标宋简体" w:eastAsia="方正小标宋简体"/>
          <w:sz w:val="84"/>
          <w:szCs w:val="84"/>
          <w:lang w:val="en-US" w:eastAsia="zh-CN"/>
        </w:rPr>
        <w:t>2023</w:t>
      </w:r>
      <w:r>
        <w:rPr>
          <w:rFonts w:hint="eastAsia" w:ascii="方正小标宋简体" w:eastAsia="方正小标宋简体"/>
          <w:sz w:val="84"/>
          <w:szCs w:val="84"/>
        </w:rPr>
        <w:t>年度</w:t>
      </w:r>
    </w:p>
    <w:p w14:paraId="7FE45127">
      <w:pPr>
        <w:widowControl/>
        <w:jc w:val="center"/>
        <w:rPr>
          <w:sz w:val="84"/>
          <w:szCs w:val="84"/>
        </w:rPr>
      </w:pPr>
    </w:p>
    <w:p w14:paraId="6CA7C9C3">
      <w:pPr>
        <w:widowControl/>
        <w:jc w:val="center"/>
        <w:rPr>
          <w:rFonts w:ascii="方正小标宋简体" w:eastAsia="方正小标宋简体"/>
          <w:sz w:val="84"/>
          <w:szCs w:val="84"/>
        </w:rPr>
      </w:pPr>
      <w:r>
        <w:rPr>
          <w:rFonts w:hint="eastAsia" w:ascii="方正小标宋简体" w:eastAsia="方正小标宋简体"/>
          <w:sz w:val="84"/>
          <w:szCs w:val="84"/>
        </w:rPr>
        <w:t>福建省</w:t>
      </w:r>
      <w:r>
        <w:rPr>
          <w:rFonts w:hint="eastAsia" w:ascii="方正小标宋简体" w:eastAsia="方正小标宋简体"/>
          <w:sz w:val="84"/>
          <w:szCs w:val="84"/>
          <w:lang w:eastAsia="zh-CN"/>
        </w:rPr>
        <w:t>龙岩市上杭县珊瑚乡</w:t>
      </w:r>
      <w:r>
        <w:rPr>
          <w:rFonts w:hint="eastAsia" w:ascii="方正小标宋简体" w:eastAsia="方正小标宋简体"/>
          <w:sz w:val="84"/>
          <w:szCs w:val="84"/>
        </w:rPr>
        <w:t>部门预算</w:t>
      </w:r>
    </w:p>
    <w:p w14:paraId="38E2F706">
      <w:pPr>
        <w:widowControl/>
        <w:rPr>
          <w:sz w:val="84"/>
          <w:szCs w:val="84"/>
        </w:rPr>
      </w:pPr>
      <w:r>
        <w:rPr>
          <w:sz w:val="84"/>
          <w:szCs w:val="84"/>
        </w:rPr>
        <w:br w:type="page"/>
      </w:r>
    </w:p>
    <w:p w14:paraId="2AD5BF62">
      <w:pPr>
        <w:pStyle w:val="4"/>
        <w:jc w:val="center"/>
        <w:rPr>
          <w:rFonts w:asciiTheme="majorEastAsia" w:hAnsiTheme="majorEastAsia" w:eastAsiaTheme="majorEastAsia"/>
          <w:b/>
          <w:sz w:val="36"/>
          <w:lang w:eastAsia="zh-CN"/>
        </w:rPr>
      </w:pPr>
      <w:r>
        <w:rPr>
          <w:rFonts w:hint="eastAsia" w:asciiTheme="majorEastAsia" w:hAnsiTheme="majorEastAsia" w:eastAsiaTheme="majorEastAsia"/>
          <w:b/>
          <w:sz w:val="36"/>
          <w:lang w:eastAsia="zh-CN"/>
        </w:rPr>
        <w:t>目  录</w:t>
      </w:r>
    </w:p>
    <w:p w14:paraId="00671FFD">
      <w:pPr>
        <w:pStyle w:val="4"/>
        <w:rPr>
          <w:rFonts w:asciiTheme="majorEastAsia" w:hAnsiTheme="majorEastAsia" w:eastAsiaTheme="majorEastAsia"/>
          <w:sz w:val="36"/>
          <w:lang w:eastAsia="zh-CN"/>
        </w:rPr>
      </w:pPr>
    </w:p>
    <w:p w14:paraId="64E96783">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b/>
          <w:sz w:val="36"/>
          <w:lang w:val="en-US" w:eastAsia="zh-CN"/>
        </w:rPr>
      </w:pPr>
      <w:r>
        <w:rPr>
          <w:rFonts w:hint="eastAsia" w:asciiTheme="majorEastAsia" w:hAnsiTheme="majorEastAsia" w:eastAsiaTheme="majorEastAsia"/>
          <w:b/>
          <w:sz w:val="36"/>
          <w:lang w:eastAsia="zh-CN"/>
        </w:rPr>
        <w:t>第一部分 部门概况</w:t>
      </w:r>
      <w:r>
        <w:rPr>
          <w:rFonts w:asciiTheme="majorEastAsia" w:hAnsiTheme="majorEastAsia" w:eastAsiaTheme="majorEastAsia"/>
          <w:b/>
          <w:sz w:val="36"/>
          <w:lang w:eastAsia="zh-CN"/>
        </w:rPr>
        <w:t>…………………………………</w:t>
      </w:r>
      <w:r>
        <w:rPr>
          <w:rFonts w:hint="eastAsia" w:asciiTheme="majorEastAsia" w:hAnsiTheme="majorEastAsia" w:eastAsiaTheme="majorEastAsia"/>
          <w:b/>
          <w:sz w:val="36"/>
          <w:lang w:val="en-US" w:eastAsia="zh-CN"/>
        </w:rPr>
        <w:t>1</w:t>
      </w:r>
    </w:p>
    <w:p w14:paraId="47485E7C">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一、部门主要职责</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w:t>
      </w:r>
    </w:p>
    <w:p w14:paraId="501957EF">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二、部门预算单位构成</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2</w:t>
      </w:r>
    </w:p>
    <w:p w14:paraId="533419DD">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三、部门主要工作任务</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2</w:t>
      </w:r>
    </w:p>
    <w:p w14:paraId="500DD417">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b/>
          <w:sz w:val="36"/>
          <w:lang w:val="en-US" w:eastAsia="zh-CN"/>
        </w:rPr>
      </w:pPr>
      <w:r>
        <w:rPr>
          <w:rFonts w:hint="eastAsia" w:asciiTheme="majorEastAsia" w:hAnsiTheme="majorEastAsia" w:eastAsiaTheme="majorEastAsia"/>
          <w:b/>
          <w:sz w:val="36"/>
          <w:lang w:eastAsia="zh-CN"/>
        </w:rPr>
        <w:t xml:space="preserve">第二部分 </w:t>
      </w:r>
      <w:r>
        <w:rPr>
          <w:rFonts w:hint="eastAsia" w:ascii="仿宋" w:hAnsi="仿宋" w:eastAsia="仿宋" w:cs="仿宋_GB2312"/>
          <w:sz w:val="32"/>
          <w:szCs w:val="32"/>
          <w:lang w:val="en-US" w:eastAsia="zh-CN"/>
        </w:rPr>
        <w:t>2023</w:t>
      </w:r>
      <w:r>
        <w:rPr>
          <w:rFonts w:hint="eastAsia" w:asciiTheme="majorEastAsia" w:hAnsiTheme="majorEastAsia" w:eastAsiaTheme="majorEastAsia"/>
          <w:b/>
          <w:sz w:val="36"/>
          <w:lang w:eastAsia="zh-CN"/>
        </w:rPr>
        <w:t>年度部门预算表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7</w:t>
      </w:r>
    </w:p>
    <w:p w14:paraId="460C34CD">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一、收支预算总表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7</w:t>
      </w:r>
    </w:p>
    <w:p w14:paraId="03D93006">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二、收入预算总表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7</w:t>
      </w:r>
    </w:p>
    <w:p w14:paraId="30292C9E">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三、支出预算总表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8</w:t>
      </w:r>
    </w:p>
    <w:p w14:paraId="151BCFF7">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四、财政拨款收支预算总表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9</w:t>
      </w:r>
    </w:p>
    <w:p w14:paraId="7418B20A">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五、一般公共预算拨款支出预算表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9</w:t>
      </w:r>
    </w:p>
    <w:p w14:paraId="5841B70F">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六、政府性基金拨款支出预算表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10</w:t>
      </w:r>
    </w:p>
    <w:p w14:paraId="11AB4DD8">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七、一般公共预算支出经济分类情况表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10</w:t>
      </w:r>
    </w:p>
    <w:p w14:paraId="7CE8E036">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八、一般公共预算基本支出经济分类情况表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10</w:t>
      </w:r>
    </w:p>
    <w:p w14:paraId="2DB29961">
      <w:pPr>
        <w:pStyle w:val="4"/>
        <w:keepNext w:val="0"/>
        <w:keepLines w:val="0"/>
        <w:pageBreakBefore w:val="0"/>
        <w:kinsoku/>
        <w:wordWrap/>
        <w:overflowPunct/>
        <w:topLinePunct w:val="0"/>
        <w:bidi w:val="0"/>
        <w:adjustRightInd/>
        <w:snapToGrid/>
        <w:jc w:val="distribute"/>
        <w:textAlignment w:val="auto"/>
        <w:rPr>
          <w:rFonts w:hint="default" w:asciiTheme="majorEastAsia" w:hAnsiTheme="majorEastAsia" w:eastAsiaTheme="majorEastAsia"/>
          <w:sz w:val="36"/>
          <w:lang w:val="en-US" w:eastAsia="zh-CN"/>
        </w:rPr>
      </w:pPr>
      <w:r>
        <w:rPr>
          <w:rFonts w:hint="eastAsia" w:asciiTheme="majorEastAsia" w:hAnsiTheme="majorEastAsia" w:eastAsiaTheme="majorEastAsia"/>
          <w:sz w:val="36"/>
          <w:lang w:eastAsia="zh-CN"/>
        </w:rPr>
        <w:t>九、一般公共预算“三公”经费支出预算表</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14</w:t>
      </w:r>
    </w:p>
    <w:p w14:paraId="44B9161C">
      <w:pPr>
        <w:keepNext w:val="0"/>
        <w:keepLines w:val="0"/>
        <w:pageBreakBefore w:val="0"/>
        <w:widowControl/>
        <w:kinsoku/>
        <w:wordWrap/>
        <w:overflowPunct/>
        <w:topLinePunct w:val="0"/>
        <w:bidi w:val="0"/>
        <w:adjustRightInd/>
        <w:snapToGrid/>
        <w:jc w:val="distribute"/>
        <w:textAlignment w:val="auto"/>
        <w:rPr>
          <w:rFonts w:hint="default" w:asciiTheme="majorEastAsia" w:hAnsiTheme="majorEastAsia" w:eastAsiaTheme="majorEastAsia"/>
          <w:b/>
          <w:sz w:val="40"/>
          <w:lang w:val="en-US" w:eastAsia="zh-CN"/>
        </w:rPr>
      </w:pPr>
      <w:r>
        <w:rPr>
          <w:rFonts w:hint="eastAsia" w:asciiTheme="majorEastAsia" w:hAnsiTheme="majorEastAsia" w:eastAsiaTheme="majorEastAsia"/>
          <w:b/>
          <w:sz w:val="40"/>
        </w:rPr>
        <w:t xml:space="preserve">第三部分 </w:t>
      </w:r>
      <w:r>
        <w:rPr>
          <w:rFonts w:hint="eastAsia" w:ascii="仿宋" w:hAnsi="仿宋" w:eastAsia="仿宋" w:cs="仿宋_GB2312"/>
          <w:kern w:val="0"/>
          <w:sz w:val="32"/>
          <w:szCs w:val="32"/>
          <w:lang w:val="en-US" w:eastAsia="zh-CN"/>
        </w:rPr>
        <w:t>2023</w:t>
      </w:r>
      <w:r>
        <w:rPr>
          <w:rFonts w:hint="eastAsia" w:asciiTheme="majorEastAsia" w:hAnsiTheme="majorEastAsia" w:eastAsiaTheme="majorEastAsia"/>
          <w:b/>
          <w:sz w:val="40"/>
        </w:rPr>
        <w:t>年度部门预算情况说明</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14</w:t>
      </w:r>
    </w:p>
    <w:p w14:paraId="6BF45F26">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一、预算收支总体情况</w:t>
      </w:r>
      <w:r>
        <w:rPr>
          <w:rFonts w:asciiTheme="majorEastAsia" w:hAnsiTheme="majorEastAsia" w:eastAsiaTheme="majorEastAsia"/>
          <w:sz w:val="36"/>
        </w:rPr>
        <w:t>………………………………</w:t>
      </w:r>
      <w:r>
        <w:rPr>
          <w:rFonts w:hint="eastAsia" w:asciiTheme="majorEastAsia" w:hAnsiTheme="majorEastAsia" w:eastAsiaTheme="majorEastAsia"/>
          <w:sz w:val="36"/>
          <w:lang w:val="en-US" w:eastAsia="zh-CN"/>
        </w:rPr>
        <w:t>14</w:t>
      </w:r>
    </w:p>
    <w:p w14:paraId="3A051DE9">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二、一般公共预算拨款支出情况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15</w:t>
      </w:r>
    </w:p>
    <w:p w14:paraId="447B1024">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三、政府性基金预算拨款支出情况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15</w:t>
      </w:r>
    </w:p>
    <w:p w14:paraId="7ED3EEF9">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四、财政拨款预算基本支出情况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16</w:t>
      </w:r>
    </w:p>
    <w:p w14:paraId="5DACC076">
      <w:pPr>
        <w:keepNext w:val="0"/>
        <w:keepLines w:val="0"/>
        <w:pageBreakBefore w:val="0"/>
        <w:widowControl/>
        <w:kinsoku/>
        <w:wordWrap/>
        <w:overflowPunct/>
        <w:topLinePunct w:val="0"/>
        <w:bidi w:val="0"/>
        <w:adjustRightInd/>
        <w:snapToGrid/>
        <w:jc w:val="distribute"/>
        <w:textAlignment w:val="auto"/>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五、一般公共预算“三公”经费支出情况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16</w:t>
      </w:r>
    </w:p>
    <w:p w14:paraId="51ABDCBD">
      <w:pPr>
        <w:widowControl/>
        <w:jc w:val="distribute"/>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六、预算绩效目标情况</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17</w:t>
      </w:r>
    </w:p>
    <w:p w14:paraId="718B5008">
      <w:pPr>
        <w:widowControl/>
        <w:jc w:val="distribute"/>
        <w:rPr>
          <w:rFonts w:hint="default" w:cs="Times New Roman" w:asciiTheme="majorEastAsia" w:hAnsiTheme="majorEastAsia" w:eastAsiaTheme="majorEastAsia"/>
          <w:kern w:val="0"/>
          <w:sz w:val="36"/>
          <w:szCs w:val="20"/>
          <w:lang w:val="en-US" w:eastAsia="zh-CN"/>
        </w:rPr>
      </w:pPr>
      <w:r>
        <w:rPr>
          <w:rFonts w:hint="eastAsia" w:cs="Times New Roman" w:asciiTheme="majorEastAsia" w:hAnsiTheme="majorEastAsia" w:eastAsiaTheme="majorEastAsia"/>
          <w:kern w:val="0"/>
          <w:sz w:val="36"/>
          <w:szCs w:val="20"/>
        </w:rPr>
        <w:t>七、其他重要事项说明</w:t>
      </w:r>
      <w:r>
        <w:rPr>
          <w:rFonts w:cs="Times New Roman" w:asciiTheme="majorEastAsia" w:hAnsiTheme="majorEastAsia" w:eastAsiaTheme="majorEastAsia"/>
          <w:kern w:val="0"/>
          <w:sz w:val="36"/>
          <w:szCs w:val="20"/>
        </w:rPr>
        <w:t>………………………………</w:t>
      </w:r>
      <w:r>
        <w:rPr>
          <w:rFonts w:hint="eastAsia" w:cs="Times New Roman" w:asciiTheme="majorEastAsia" w:hAnsiTheme="majorEastAsia" w:eastAsiaTheme="majorEastAsia"/>
          <w:kern w:val="0"/>
          <w:sz w:val="36"/>
          <w:szCs w:val="20"/>
          <w:lang w:val="en-US" w:eastAsia="zh-CN"/>
        </w:rPr>
        <w:t>17</w:t>
      </w:r>
    </w:p>
    <w:p w14:paraId="70B81CFE">
      <w:pPr>
        <w:pStyle w:val="4"/>
        <w:spacing w:before="3"/>
        <w:jc w:val="distribute"/>
        <w:rPr>
          <w:rFonts w:hint="default" w:eastAsiaTheme="minorEastAsia"/>
          <w:sz w:val="26"/>
          <w:lang w:val="en-US" w:eastAsia="zh-CN"/>
        </w:rPr>
      </w:pPr>
      <w:r>
        <w:rPr>
          <w:rFonts w:hint="eastAsia" w:asciiTheme="majorEastAsia" w:hAnsiTheme="majorEastAsia" w:eastAsiaTheme="majorEastAsia"/>
          <w:b/>
          <w:sz w:val="40"/>
          <w:lang w:eastAsia="zh-CN"/>
        </w:rPr>
        <w:t>第四部分 名词解释</w:t>
      </w:r>
      <w:r>
        <w:rPr>
          <w:rFonts w:asciiTheme="majorEastAsia" w:hAnsiTheme="majorEastAsia" w:eastAsiaTheme="majorEastAsia"/>
          <w:sz w:val="36"/>
          <w:lang w:eastAsia="zh-CN"/>
        </w:rPr>
        <w:t>………………………………</w:t>
      </w:r>
      <w:r>
        <w:rPr>
          <w:rFonts w:hint="eastAsia" w:asciiTheme="majorEastAsia" w:hAnsiTheme="majorEastAsia" w:eastAsiaTheme="majorEastAsia"/>
          <w:sz w:val="36"/>
          <w:lang w:val="en-US" w:eastAsia="zh-CN"/>
        </w:rPr>
        <w:t>18</w:t>
      </w:r>
    </w:p>
    <w:p w14:paraId="2C3AB9E9">
      <w:pPr>
        <w:widowControl/>
      </w:pPr>
      <w:r>
        <w:tab/>
      </w:r>
    </w:p>
    <w:p w14:paraId="1E31DF09">
      <w:pPr>
        <w:pStyle w:val="4"/>
        <w:jc w:val="center"/>
        <w:rPr>
          <w:rFonts w:hint="eastAsia" w:ascii="黑体" w:hAnsi="黑体" w:eastAsia="黑体"/>
          <w:sz w:val="36"/>
          <w:szCs w:val="36"/>
          <w:lang w:eastAsia="zh-CN"/>
        </w:rPr>
        <w:sectPr>
          <w:footerReference r:id="rId5" w:type="default"/>
          <w:pgSz w:w="11906" w:h="16838"/>
          <w:pgMar w:top="1440" w:right="1800" w:bottom="1440" w:left="1800" w:header="851" w:footer="992" w:gutter="0"/>
          <w:cols w:space="425" w:num="1"/>
          <w:docGrid w:type="lines" w:linePitch="312" w:charSpace="0"/>
        </w:sectPr>
      </w:pPr>
    </w:p>
    <w:p w14:paraId="05EC87DA">
      <w:pPr>
        <w:pStyle w:val="4"/>
        <w:jc w:val="center"/>
        <w:rPr>
          <w:rFonts w:ascii="黑体" w:hAnsi="黑体" w:eastAsia="黑体"/>
          <w:sz w:val="36"/>
          <w:szCs w:val="36"/>
          <w:lang w:eastAsia="zh-CN"/>
        </w:rPr>
      </w:pPr>
      <w:r>
        <w:rPr>
          <w:rFonts w:hint="eastAsia" w:ascii="黑体" w:hAnsi="黑体" w:eastAsia="黑体"/>
          <w:sz w:val="36"/>
          <w:szCs w:val="36"/>
          <w:lang w:eastAsia="zh-CN"/>
        </w:rPr>
        <w:t>第一部分 部门概况</w:t>
      </w:r>
    </w:p>
    <w:p w14:paraId="680FD748">
      <w:pPr>
        <w:pStyle w:val="4"/>
        <w:rPr>
          <w:rFonts w:ascii="黑体" w:hAnsi="黑体" w:eastAsia="黑体"/>
          <w:sz w:val="36"/>
          <w:szCs w:val="36"/>
          <w:lang w:eastAsia="zh-CN"/>
        </w:rPr>
      </w:pPr>
    </w:p>
    <w:p w14:paraId="11F4360F">
      <w:pPr>
        <w:pStyle w:val="4"/>
        <w:keepNext w:val="0"/>
        <w:keepLines w:val="0"/>
        <w:pageBreakBefore w:val="0"/>
        <w:widowControl w:val="0"/>
        <w:kinsoku/>
        <w:wordWrap/>
        <w:overflowPunct/>
        <w:topLinePunct w:val="0"/>
        <w:bidi w:val="0"/>
        <w:adjustRightInd/>
        <w:snapToGrid/>
        <w:spacing w:line="520" w:lineRule="exact"/>
        <w:jc w:val="both"/>
        <w:textAlignment w:val="auto"/>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一、部门主要职责</w:t>
      </w:r>
    </w:p>
    <w:p w14:paraId="5D1159E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上杭县珊瑚乡党委、政府是管理全乡政治、经济、文化、教育、卫生、村镇建设、社会治安等物质文明和精神文明建设的一级基层政权组织。其主要职责是：</w:t>
      </w:r>
    </w:p>
    <w:p w14:paraId="34D161F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（一）贯彻执行党和国家的有关方针、政策、法律和法规，调查研究并拟订适合本乡实际的具体政策措施。</w:t>
      </w:r>
    </w:p>
    <w:p w14:paraId="0A5D9B0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（二）组织制订全乡经济和社会发展的中长期规划，搞好经济发展的总体布局和产业布局，制订并组织实施全乡社会主义现代化新农村建设的规划和措施。</w:t>
      </w:r>
    </w:p>
    <w:p w14:paraId="75DFE57D">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（三）完善统分结合的双层经营体制工作，巩固发展壮大村级集体经济，加强农村社会化服务体系建设，指导、协调农业生产和农村多种经营及贸易工作。</w:t>
      </w:r>
    </w:p>
    <w:p w14:paraId="6A0F148B">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（四）编制乡级财政预决算计划，做好经费的划拨和核算工作；指导、协调、监督农村村级集体经济的财务、会计、审计工作。</w:t>
      </w:r>
    </w:p>
    <w:p w14:paraId="7E13C90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（五）贯彻社会治安综合治理方针政策，落实社会治安综合治理目标责任制，加强法制宣传教育，做好人民调解、治安保卫和法律服务工作，维护全乡的社会稳定。</w:t>
      </w:r>
    </w:p>
    <w:p w14:paraId="721CB673">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（六）负责做好全乡党的建设、宣传、教育、精神文明建设及指导工、青、妇群团工作。</w:t>
      </w:r>
    </w:p>
    <w:p w14:paraId="6427CA6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rPr>
      </w:pPr>
      <w:r>
        <w:rPr>
          <w:rFonts w:hint="eastAsia" w:ascii="仿宋" w:hAnsi="仿宋" w:eastAsia="仿宋"/>
          <w:sz w:val="32"/>
          <w:szCs w:val="32"/>
        </w:rPr>
        <w:t>（七）负责做好兵员征集、现役军人家庭优抚、退伍军人的安置、救灾救济、农村社会保险和推进殡葬改革的工作。</w:t>
      </w:r>
    </w:p>
    <w:p w14:paraId="6FC6A0BA">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ascii="仿宋" w:hAnsi="仿宋" w:eastAsia="仿宋"/>
          <w:sz w:val="32"/>
          <w:szCs w:val="32"/>
        </w:rPr>
      </w:pPr>
      <w:r>
        <w:rPr>
          <w:rFonts w:hint="eastAsia" w:ascii="仿宋" w:hAnsi="仿宋" w:eastAsia="仿宋"/>
          <w:sz w:val="32"/>
          <w:szCs w:val="32"/>
        </w:rPr>
        <w:t>（八）承办县委、县政府及其工作部门交办的其他事项。</w:t>
      </w:r>
    </w:p>
    <w:p w14:paraId="08DA2523">
      <w:pPr>
        <w:pStyle w:val="4"/>
        <w:rPr>
          <w:rFonts w:hint="eastAsia" w:ascii="仿宋" w:hAnsi="仿宋" w:eastAsia="仿宋" w:cstheme="minorBidi"/>
          <w:b/>
          <w:kern w:val="2"/>
          <w:sz w:val="32"/>
          <w:szCs w:val="32"/>
          <w:lang w:eastAsia="zh-CN"/>
        </w:rPr>
      </w:pPr>
    </w:p>
    <w:p w14:paraId="7B376520">
      <w:pPr>
        <w:pStyle w:val="4"/>
        <w:rPr>
          <w:rFonts w:ascii="仿宋" w:hAnsi="仿宋" w:eastAsia="仿宋" w:cstheme="minorBidi"/>
          <w:b/>
          <w:kern w:val="2"/>
          <w:sz w:val="32"/>
          <w:szCs w:val="32"/>
          <w:lang w:eastAsia="zh-CN"/>
        </w:rPr>
      </w:pPr>
      <w:r>
        <w:rPr>
          <w:rFonts w:hint="eastAsia" w:ascii="仿宋" w:hAnsi="仿宋" w:eastAsia="仿宋" w:cstheme="minorBidi"/>
          <w:b/>
          <w:kern w:val="2"/>
          <w:sz w:val="32"/>
          <w:szCs w:val="32"/>
          <w:lang w:eastAsia="zh-CN"/>
        </w:rPr>
        <w:t>二、部门预算单位构成</w:t>
      </w:r>
    </w:p>
    <w:p w14:paraId="0FC1B91E">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从预算单位构成看，</w:t>
      </w:r>
      <w:r>
        <w:rPr>
          <w:rFonts w:hint="eastAsia" w:ascii="仿宋" w:hAnsi="仿宋" w:eastAsia="仿宋" w:cs="仿宋_GB2312"/>
          <w:sz w:val="32"/>
          <w:szCs w:val="32"/>
          <w:lang w:eastAsia="zh-CN"/>
        </w:rPr>
        <w:t>上杭县珊瑚乡</w:t>
      </w:r>
      <w:r>
        <w:rPr>
          <w:rFonts w:hint="eastAsia" w:ascii="仿宋" w:hAnsi="仿宋" w:eastAsia="仿宋"/>
          <w:sz w:val="32"/>
          <w:szCs w:val="32"/>
        </w:rPr>
        <w:t>包括</w:t>
      </w:r>
      <w:r>
        <w:rPr>
          <w:rFonts w:hint="eastAsia" w:ascii="仿宋" w:hAnsi="仿宋" w:eastAsia="仿宋" w:cs="仿宋_GB2312"/>
          <w:sz w:val="32"/>
          <w:szCs w:val="32"/>
          <w:lang w:val="en-US" w:eastAsia="zh-CN"/>
        </w:rPr>
        <w:t>1</w:t>
      </w:r>
      <w:r>
        <w:rPr>
          <w:rFonts w:hint="eastAsia" w:ascii="仿宋" w:hAnsi="仿宋" w:eastAsia="仿宋"/>
          <w:sz w:val="32"/>
          <w:szCs w:val="32"/>
        </w:rPr>
        <w:t>个机关行政处（科）室及</w:t>
      </w:r>
      <w:r>
        <w:rPr>
          <w:rFonts w:hint="eastAsia" w:ascii="仿宋" w:hAnsi="仿宋" w:eastAsia="仿宋"/>
          <w:sz w:val="32"/>
          <w:szCs w:val="32"/>
          <w:lang w:val="en-US" w:eastAsia="zh-CN"/>
        </w:rPr>
        <w:t>3</w:t>
      </w:r>
      <w:r>
        <w:rPr>
          <w:rFonts w:hint="eastAsia" w:ascii="仿宋" w:hAnsi="仿宋" w:eastAsia="仿宋"/>
          <w:sz w:val="32"/>
          <w:szCs w:val="32"/>
        </w:rPr>
        <w:t>个下属单位，其中：列入</w:t>
      </w:r>
      <w:r>
        <w:rPr>
          <w:rFonts w:hint="eastAsia" w:ascii="仿宋" w:hAnsi="仿宋" w:eastAsia="仿宋" w:cs="仿宋_GB2312"/>
          <w:sz w:val="32"/>
          <w:szCs w:val="32"/>
          <w:lang w:val="en-US" w:eastAsia="zh-CN"/>
        </w:rPr>
        <w:t>2023</w:t>
      </w:r>
      <w:r>
        <w:rPr>
          <w:rFonts w:hint="eastAsia" w:ascii="仿宋" w:hAnsi="仿宋" w:eastAsia="仿宋"/>
          <w:sz w:val="32"/>
          <w:szCs w:val="32"/>
        </w:rPr>
        <w:t>年部门预算编制范围的单位详细情况见下表:</w:t>
      </w:r>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14:paraId="4909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tcPr>
          <w:p w14:paraId="1854A396">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2130" w:type="dxa"/>
            <w:shd w:val="clear" w:color="auto" w:fill="auto"/>
          </w:tcPr>
          <w:p w14:paraId="4ABB2EAF">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2131" w:type="dxa"/>
            <w:shd w:val="clear" w:color="auto" w:fill="auto"/>
          </w:tcPr>
          <w:p w14:paraId="44887ED7">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人员编制数</w:t>
            </w:r>
          </w:p>
        </w:tc>
        <w:tc>
          <w:tcPr>
            <w:tcW w:w="2131" w:type="dxa"/>
            <w:shd w:val="clear" w:color="auto" w:fill="auto"/>
          </w:tcPr>
          <w:p w14:paraId="077140B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在职人数</w:t>
            </w:r>
          </w:p>
        </w:tc>
      </w:tr>
      <w:tr w14:paraId="6F14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19815561">
            <w:pPr>
              <w:keepNext w:val="0"/>
              <w:keepLines w:val="0"/>
              <w:pageBreakBefore w:val="0"/>
              <w:widowControl w:val="0"/>
              <w:tabs>
                <w:tab w:val="left" w:pos="7513"/>
              </w:tabs>
              <w:kinsoku/>
              <w:wordWrap/>
              <w:overflowPunct/>
              <w:topLinePunct w:val="0"/>
              <w:autoSpaceDE/>
              <w:autoSpaceDN/>
              <w:bidi w:val="0"/>
              <w:adjustRightInd w:val="0"/>
              <w:snapToGrid w:val="0"/>
              <w:spacing w:line="440" w:lineRule="exact"/>
              <w:jc w:val="both"/>
              <w:textAlignment w:val="auto"/>
              <w:rPr>
                <w:rFonts w:hint="eastAsia" w:ascii="仿宋" w:hAnsi="仿宋" w:eastAsia="仿宋"/>
                <w:sz w:val="32"/>
                <w:szCs w:val="32"/>
                <w:lang w:eastAsia="zh-CN"/>
              </w:rPr>
            </w:pPr>
            <w:r>
              <w:rPr>
                <w:rFonts w:hint="eastAsia" w:ascii="仿宋" w:hAnsi="仿宋" w:eastAsia="仿宋"/>
                <w:sz w:val="32"/>
                <w:szCs w:val="32"/>
                <w:lang w:eastAsia="zh-CN"/>
              </w:rPr>
              <w:t>上杭县珊瑚乡人民政府本级</w:t>
            </w:r>
          </w:p>
        </w:tc>
        <w:tc>
          <w:tcPr>
            <w:tcW w:w="2130" w:type="dxa"/>
            <w:shd w:val="clear" w:color="auto" w:fill="auto"/>
            <w:vAlign w:val="center"/>
          </w:tcPr>
          <w:p w14:paraId="077E8B03">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财政拨款</w:t>
            </w:r>
          </w:p>
        </w:tc>
        <w:tc>
          <w:tcPr>
            <w:tcW w:w="2131" w:type="dxa"/>
            <w:shd w:val="clear" w:color="auto" w:fill="auto"/>
            <w:vAlign w:val="center"/>
          </w:tcPr>
          <w:p w14:paraId="412DCC53">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19</w:t>
            </w:r>
          </w:p>
        </w:tc>
        <w:tc>
          <w:tcPr>
            <w:tcW w:w="2131" w:type="dxa"/>
            <w:shd w:val="clear" w:color="auto" w:fill="auto"/>
            <w:vAlign w:val="center"/>
          </w:tcPr>
          <w:p w14:paraId="6270E2B6">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17</w:t>
            </w:r>
          </w:p>
        </w:tc>
      </w:tr>
      <w:tr w14:paraId="4B21B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038D62C4">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综合便民服务中心</w:t>
            </w:r>
          </w:p>
        </w:tc>
        <w:tc>
          <w:tcPr>
            <w:tcW w:w="2130" w:type="dxa"/>
            <w:shd w:val="clear" w:color="auto" w:fill="auto"/>
            <w:vAlign w:val="center"/>
          </w:tcPr>
          <w:p w14:paraId="663AF095">
            <w:pPr>
              <w:adjustRightInd w:val="0"/>
              <w:snapToGrid w:val="0"/>
              <w:spacing w:line="600" w:lineRule="exact"/>
              <w:jc w:val="both"/>
              <w:rPr>
                <w:rFonts w:ascii="仿宋" w:hAnsi="仿宋" w:eastAsia="仿宋"/>
                <w:sz w:val="32"/>
                <w:szCs w:val="32"/>
              </w:rPr>
            </w:pPr>
            <w:r>
              <w:rPr>
                <w:rFonts w:hint="eastAsia" w:ascii="仿宋" w:hAnsi="仿宋" w:eastAsia="仿宋"/>
                <w:sz w:val="32"/>
                <w:szCs w:val="32"/>
                <w:lang w:eastAsia="zh-CN"/>
              </w:rPr>
              <w:t>财政拨款</w:t>
            </w:r>
          </w:p>
        </w:tc>
        <w:tc>
          <w:tcPr>
            <w:tcW w:w="2131" w:type="dxa"/>
            <w:shd w:val="clear" w:color="auto" w:fill="auto"/>
            <w:vAlign w:val="center"/>
          </w:tcPr>
          <w:p w14:paraId="26F06CB8">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9</w:t>
            </w:r>
          </w:p>
        </w:tc>
        <w:tc>
          <w:tcPr>
            <w:tcW w:w="2131" w:type="dxa"/>
            <w:shd w:val="clear" w:color="auto" w:fill="auto"/>
            <w:vAlign w:val="center"/>
          </w:tcPr>
          <w:p w14:paraId="66FA5AA4">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7</w:t>
            </w:r>
          </w:p>
        </w:tc>
      </w:tr>
      <w:tr w14:paraId="69462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012F29E4">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综合执法队伍</w:t>
            </w:r>
          </w:p>
        </w:tc>
        <w:tc>
          <w:tcPr>
            <w:tcW w:w="2130" w:type="dxa"/>
            <w:shd w:val="clear" w:color="auto" w:fill="auto"/>
            <w:vAlign w:val="center"/>
          </w:tcPr>
          <w:p w14:paraId="51645407">
            <w:pPr>
              <w:adjustRightInd w:val="0"/>
              <w:snapToGrid w:val="0"/>
              <w:spacing w:line="600" w:lineRule="exact"/>
              <w:jc w:val="both"/>
              <w:rPr>
                <w:rFonts w:ascii="仿宋" w:hAnsi="仿宋" w:eastAsia="仿宋"/>
                <w:sz w:val="32"/>
                <w:szCs w:val="32"/>
              </w:rPr>
            </w:pPr>
            <w:r>
              <w:rPr>
                <w:rFonts w:hint="eastAsia" w:ascii="仿宋" w:hAnsi="仿宋" w:eastAsia="仿宋"/>
                <w:sz w:val="32"/>
                <w:szCs w:val="32"/>
                <w:lang w:eastAsia="zh-CN"/>
              </w:rPr>
              <w:t>财政拨款</w:t>
            </w:r>
          </w:p>
        </w:tc>
        <w:tc>
          <w:tcPr>
            <w:tcW w:w="2131" w:type="dxa"/>
            <w:shd w:val="clear" w:color="auto" w:fill="auto"/>
            <w:vAlign w:val="center"/>
          </w:tcPr>
          <w:p w14:paraId="53AEE4BD">
            <w:pPr>
              <w:tabs>
                <w:tab w:val="left" w:pos="7513"/>
              </w:tabs>
              <w:adjustRightInd w:val="0"/>
              <w:snapToGrid w:val="0"/>
              <w:spacing w:line="600" w:lineRule="exact"/>
              <w:jc w:val="both"/>
              <w:rPr>
                <w:rFonts w:hint="eastAsia" w:ascii="仿宋" w:hAnsi="仿宋" w:eastAsia="仿宋"/>
                <w:sz w:val="32"/>
                <w:szCs w:val="32"/>
                <w:lang w:val="en-US" w:eastAsia="zh-CN"/>
              </w:rPr>
            </w:pPr>
            <w:r>
              <w:rPr>
                <w:rFonts w:hint="eastAsia" w:ascii="仿宋" w:hAnsi="仿宋" w:eastAsia="仿宋"/>
                <w:sz w:val="32"/>
                <w:szCs w:val="32"/>
                <w:lang w:val="en-US" w:eastAsia="zh-CN"/>
              </w:rPr>
              <w:t>5</w:t>
            </w:r>
          </w:p>
        </w:tc>
        <w:tc>
          <w:tcPr>
            <w:tcW w:w="2131" w:type="dxa"/>
            <w:shd w:val="clear" w:color="auto" w:fill="auto"/>
            <w:vAlign w:val="center"/>
          </w:tcPr>
          <w:p w14:paraId="50975CC9">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3</w:t>
            </w:r>
          </w:p>
        </w:tc>
      </w:tr>
      <w:tr w14:paraId="50DF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shd w:val="clear" w:color="auto" w:fill="auto"/>
            <w:vAlign w:val="center"/>
          </w:tcPr>
          <w:p w14:paraId="676AE415">
            <w:pPr>
              <w:tabs>
                <w:tab w:val="left" w:pos="7513"/>
              </w:tabs>
              <w:adjustRightInd w:val="0"/>
              <w:snapToGrid w:val="0"/>
              <w:spacing w:line="600" w:lineRule="exact"/>
              <w:jc w:val="both"/>
              <w:rPr>
                <w:rFonts w:hint="eastAsia" w:ascii="仿宋" w:hAnsi="仿宋" w:eastAsia="仿宋"/>
                <w:sz w:val="32"/>
                <w:szCs w:val="32"/>
                <w:lang w:eastAsia="zh-CN"/>
              </w:rPr>
            </w:pPr>
            <w:r>
              <w:rPr>
                <w:rFonts w:hint="eastAsia" w:ascii="仿宋" w:hAnsi="仿宋" w:eastAsia="仿宋"/>
                <w:sz w:val="32"/>
                <w:szCs w:val="32"/>
                <w:lang w:eastAsia="zh-CN"/>
              </w:rPr>
              <w:t>乡村振兴服务中心</w:t>
            </w:r>
          </w:p>
        </w:tc>
        <w:tc>
          <w:tcPr>
            <w:tcW w:w="2130" w:type="dxa"/>
            <w:shd w:val="clear" w:color="auto" w:fill="auto"/>
            <w:vAlign w:val="center"/>
          </w:tcPr>
          <w:p w14:paraId="0707FD42">
            <w:pPr>
              <w:adjustRightInd w:val="0"/>
              <w:snapToGrid w:val="0"/>
              <w:spacing w:line="600" w:lineRule="exact"/>
              <w:jc w:val="both"/>
              <w:rPr>
                <w:rFonts w:ascii="仿宋" w:hAnsi="仿宋" w:eastAsia="仿宋"/>
                <w:sz w:val="32"/>
                <w:szCs w:val="32"/>
              </w:rPr>
            </w:pPr>
            <w:r>
              <w:rPr>
                <w:rFonts w:hint="eastAsia" w:ascii="仿宋" w:hAnsi="仿宋" w:eastAsia="仿宋"/>
                <w:sz w:val="32"/>
                <w:szCs w:val="32"/>
                <w:lang w:eastAsia="zh-CN"/>
              </w:rPr>
              <w:t>财政拨款</w:t>
            </w:r>
          </w:p>
        </w:tc>
        <w:tc>
          <w:tcPr>
            <w:tcW w:w="2131" w:type="dxa"/>
            <w:shd w:val="clear" w:color="auto" w:fill="auto"/>
            <w:vAlign w:val="center"/>
          </w:tcPr>
          <w:p w14:paraId="68CFB186">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12</w:t>
            </w:r>
          </w:p>
        </w:tc>
        <w:tc>
          <w:tcPr>
            <w:tcW w:w="2131" w:type="dxa"/>
            <w:shd w:val="clear" w:color="auto" w:fill="auto"/>
            <w:vAlign w:val="center"/>
          </w:tcPr>
          <w:p w14:paraId="0F14AC44">
            <w:pPr>
              <w:tabs>
                <w:tab w:val="left" w:pos="7513"/>
              </w:tabs>
              <w:adjustRightInd w:val="0"/>
              <w:snapToGrid w:val="0"/>
              <w:spacing w:line="600" w:lineRule="exact"/>
              <w:jc w:val="both"/>
              <w:rPr>
                <w:rFonts w:hint="default" w:ascii="仿宋" w:hAnsi="仿宋" w:eastAsia="仿宋"/>
                <w:sz w:val="32"/>
                <w:szCs w:val="32"/>
                <w:lang w:val="en-US" w:eastAsia="zh-CN"/>
              </w:rPr>
            </w:pPr>
            <w:r>
              <w:rPr>
                <w:rFonts w:hint="eastAsia" w:ascii="仿宋" w:hAnsi="仿宋" w:eastAsia="仿宋"/>
                <w:sz w:val="32"/>
                <w:szCs w:val="32"/>
                <w:lang w:val="en-US" w:eastAsia="zh-CN"/>
              </w:rPr>
              <w:t>12</w:t>
            </w:r>
          </w:p>
        </w:tc>
      </w:tr>
    </w:tbl>
    <w:p w14:paraId="73712BFF">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2629A6EA">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三、部门主要工作任务</w:t>
      </w:r>
    </w:p>
    <w:p w14:paraId="64143C2D">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是全面贯彻党的二十大精神开局之年，做好全年工作意义重大。始终聚焦建设“五彩珊瑚”的奋斗目标，坚定信心、踔厉奋发，埋头苦干、勇毅前行，不断开创珊瑚经济社会高质量发展新局面，重点做好以下几方面工作：</w:t>
      </w:r>
    </w:p>
    <w:p w14:paraId="67858290">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default" w:ascii="Times New Roman" w:hAnsi="Times New Roman" w:eastAsia="黑体" w:cs="Times New Roman"/>
          <w:b w:val="0"/>
          <w:bCs w:val="0"/>
          <w:color w:val="auto"/>
          <w:spacing w:val="6"/>
          <w:kern w:val="2"/>
          <w:sz w:val="32"/>
          <w:szCs w:val="32"/>
          <w:lang w:val="en-US" w:eastAsia="zh-CN" w:bidi="ar-SA"/>
        </w:rPr>
      </w:pPr>
      <w:r>
        <w:rPr>
          <w:rFonts w:hint="default" w:ascii="Times New Roman" w:hAnsi="Times New Roman" w:eastAsia="黑体" w:cs="Times New Roman"/>
          <w:b w:val="0"/>
          <w:bCs w:val="0"/>
          <w:color w:val="auto"/>
          <w:spacing w:val="6"/>
          <w:kern w:val="2"/>
          <w:sz w:val="32"/>
          <w:szCs w:val="32"/>
          <w:lang w:val="en-US" w:eastAsia="zh-CN" w:bidi="ar-SA"/>
        </w:rPr>
        <w:t>一、坚持推动产业发展</w:t>
      </w:r>
    </w:p>
    <w:p w14:paraId="2D9CE1A5">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坚持创新驱动这个关键变量，着力调整产业结构，转变发展方式，重点推进产业转型，打好多极发展的组合拳。集聚各类资源要素，不断加大招商引资力度，争取2023年回迁企业超10家。持续深化“村企联建”工作，把优质企业“引进来”、村级企业“办起来”，不断发展壮大村集体经济。在稳定粮食安全的基础上，根据各村自然条件、发展基础，因地制宜、因村而异积极培育特色产业，逐渐形成“一村一品”，提升现代农业发展层次。计划完成抛荒耕地复垦323亩，扩大烤烟种植面积58亩。深化与龙岩市佳农生态农业发展有限公司合作，有序扩大山油茶等种植项目规模，培育本地特色农产品品牌。发展特色林下经济，努力培育打造中草药材基地。深入挖掘珊瑚特色文化，探索“文化+”多元融合发展模式，加大栗子湖红军渡口、思龙堂等红色景点提升工程建设力度，推进农、文、旅融合发展。认真梳理提升红色标语及内涵，修缮保护梦宏居提升至省级文保单位。结合全面从严治党新要求，深度打造明代乡贤胡广“一镇一孝廉”品牌，持续弘扬有为有守、勤政廉政文化。</w:t>
      </w:r>
    </w:p>
    <w:p w14:paraId="3B21FF99">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default" w:ascii="Times New Roman" w:hAnsi="Times New Roman" w:eastAsia="黑体" w:cs="Times New Roman"/>
          <w:b w:val="0"/>
          <w:bCs w:val="0"/>
          <w:color w:val="auto"/>
          <w:spacing w:val="6"/>
          <w:kern w:val="2"/>
          <w:sz w:val="32"/>
          <w:szCs w:val="32"/>
          <w:lang w:val="en-US" w:eastAsia="zh-CN" w:bidi="ar-SA"/>
        </w:rPr>
      </w:pPr>
      <w:r>
        <w:rPr>
          <w:rFonts w:hint="default" w:ascii="Times New Roman" w:hAnsi="Times New Roman" w:eastAsia="黑体" w:cs="Times New Roman"/>
          <w:b w:val="0"/>
          <w:bCs w:val="0"/>
          <w:color w:val="auto"/>
          <w:spacing w:val="6"/>
          <w:kern w:val="2"/>
          <w:sz w:val="32"/>
          <w:szCs w:val="32"/>
          <w:lang w:val="en-US" w:eastAsia="zh-CN" w:bidi="ar-SA"/>
        </w:rPr>
        <w:t>二、坚持统筹项目规划</w:t>
      </w:r>
    </w:p>
    <w:p w14:paraId="66060601">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立足“产业发展项目建设年”活动要求，有序推动各项目建设。加强与蛟洋工业园区和县直相关部门的沟通对接，着力推进年产40万吨新型水处理净化剂（废酸利用）项目基础厂房建设，确保2023年投产达效。坚持规划先行，实施完成上珊瑚村、下珊瑚村、下坑村、彩坑村村庄规划。争取于第一季度开工建设总投资80余万元下坑村移民文化活动中心，项目建成后将有效改善散居移民人居环境，进一步丰富散居移民文化生活。开工实施上杭县横滩饮用水源保护区水质安全保障工程（珊瑚段）项目，建设生态护岸、沟渠生态化改造、生态清淤等，力争于2023年底完工。积极争取总投资800万元珊瑚溪小流域水土流失综合治理项目落地，进一步改善河道生态环境，提高河道行洪能力，保护沿河耕地。围绕华竹畲村文化积极策划项目，谋划产业，争取民族项目资金支持。积极策划争取北溪路白改黑、梦宏居周边基础设施建设。争取立项对下坑村上塅子桥危桥改造项目及华河线部分路段拓宽硬化项目，分步实施对摸排出的道路交通安全隐患点进行改造提升、消除隐患，进一步保障群众出行安全。策划生成彩坑村一站式休闲旅游项目，包含休闲垂钓，农家乐，亲子农耕采摘体验等项目内容，着力打造一批精品乡村旅游景点，拓展珊瑚知名度，做到以“绿”为底，山水生金。</w:t>
      </w:r>
    </w:p>
    <w:p w14:paraId="52DA4F15">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default" w:ascii="Times New Roman" w:hAnsi="Times New Roman" w:eastAsia="黑体" w:cs="Times New Roman"/>
          <w:b w:val="0"/>
          <w:bCs w:val="0"/>
          <w:color w:val="auto"/>
          <w:spacing w:val="6"/>
          <w:kern w:val="2"/>
          <w:sz w:val="32"/>
          <w:szCs w:val="32"/>
          <w:lang w:val="en-US" w:eastAsia="zh-CN" w:bidi="ar-SA"/>
        </w:rPr>
      </w:pPr>
      <w:r>
        <w:rPr>
          <w:rFonts w:hint="default" w:ascii="Times New Roman" w:hAnsi="Times New Roman" w:eastAsia="黑体" w:cs="Times New Roman"/>
          <w:b w:val="0"/>
          <w:bCs w:val="0"/>
          <w:color w:val="auto"/>
          <w:spacing w:val="6"/>
          <w:kern w:val="2"/>
          <w:sz w:val="32"/>
          <w:szCs w:val="32"/>
          <w:lang w:val="en-US" w:eastAsia="zh-CN" w:bidi="ar-SA"/>
        </w:rPr>
        <w:t>三、坚持改善人居环境</w:t>
      </w:r>
    </w:p>
    <w:p w14:paraId="3C6FB657">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巩固提炼下坑村“两治一拆”百日攻坚行动经验做法，着力构建人居环境整治长效机制，推进上珊瑚村、下珊瑚村、彩坑村空心房、裸房治理，在全乡形成“环境整治村村抓,家家户户都行动”的良好氛围。争取策划入库地灾治理工程包，投入100余万元，完成全乡5个地灾点治理。规范农村宅基地审批管理，落实落细“网格化”巡查机制，坚决遏制新增违建。坚持“绿水青山就是金山银山”理念，盯紧生态环境保护，全面落实河湖长制、林长制、土长制，打好蓝天、碧水、净土保卫战。实施完成松材线虫病预防性采伐715亩、松材线虫病以菌治虫除治2208亩。谋划县级水源地横滩水库饮用水水源保护区及上游水生态环境修复治理项目，总投资2000余万元，拟对横滩饮用水源保护区及上游支流开展水生态环境综合治理，进一步保障水质安全，现已完成可行性报告编制，正在申报省级及中央环保项目库。</w:t>
      </w:r>
    </w:p>
    <w:p w14:paraId="2BA18DF8">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default" w:ascii="Times New Roman" w:hAnsi="Times New Roman" w:eastAsia="黑体" w:cs="Times New Roman"/>
          <w:b w:val="0"/>
          <w:bCs w:val="0"/>
          <w:color w:val="auto"/>
          <w:spacing w:val="6"/>
          <w:kern w:val="2"/>
          <w:sz w:val="32"/>
          <w:szCs w:val="32"/>
          <w:lang w:val="en-US" w:eastAsia="zh-CN" w:bidi="ar-SA"/>
        </w:rPr>
      </w:pPr>
      <w:r>
        <w:rPr>
          <w:rFonts w:hint="default" w:ascii="Times New Roman" w:hAnsi="Times New Roman" w:eastAsia="黑体" w:cs="Times New Roman"/>
          <w:b w:val="0"/>
          <w:bCs w:val="0"/>
          <w:color w:val="auto"/>
          <w:spacing w:val="6"/>
          <w:kern w:val="2"/>
          <w:sz w:val="32"/>
          <w:szCs w:val="32"/>
          <w:lang w:val="en-US" w:eastAsia="zh-CN" w:bidi="ar-SA"/>
        </w:rPr>
        <w:t>四、坚持增进民生福祉</w:t>
      </w:r>
    </w:p>
    <w:p w14:paraId="0B06D1F9">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致力提升医疗服务质量和水平，改善就医环境。进一步优化落实新冠肺炎疫情防控措施，落实“四方责任”，守护人民群众的生命安全和身体健康。持续加大教育投入，加强师资队伍建设，改善办学条件。严格落实5年过渡期和“四个不摘”要求，深化落实脱贫攻坚和乡村振兴有效衔接。加强低保动态管理工作，切实保障困难群体利益。完善公益性公墓配套设施建设和日常管理机制，抓好殡葬管理改革工作。启动实施长者食堂建设，解决独居、留守老人“做饭难、吃饭难”，行动不便老人“就餐难”等问题。深化开展移风易俗工作，巩固市级文明乡、文明村创建成果，弘扬传递珊瑚正能量。</w:t>
      </w:r>
    </w:p>
    <w:p w14:paraId="75B92B51">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default" w:ascii="Times New Roman" w:hAnsi="Times New Roman" w:eastAsia="黑体" w:cs="Times New Roman"/>
          <w:b w:val="0"/>
          <w:bCs w:val="0"/>
          <w:color w:val="auto"/>
          <w:spacing w:val="6"/>
          <w:kern w:val="2"/>
          <w:sz w:val="32"/>
          <w:szCs w:val="32"/>
          <w:lang w:val="en-US" w:eastAsia="zh-CN" w:bidi="ar-SA"/>
        </w:rPr>
      </w:pPr>
      <w:r>
        <w:rPr>
          <w:rFonts w:hint="default" w:ascii="Times New Roman" w:hAnsi="Times New Roman" w:eastAsia="黑体" w:cs="Times New Roman"/>
          <w:b w:val="0"/>
          <w:bCs w:val="0"/>
          <w:color w:val="auto"/>
          <w:spacing w:val="6"/>
          <w:kern w:val="2"/>
          <w:sz w:val="32"/>
          <w:szCs w:val="32"/>
          <w:lang w:val="en-US" w:eastAsia="zh-CN" w:bidi="ar-SA"/>
        </w:rPr>
        <w:t>五、坚持深化社会治理</w:t>
      </w:r>
    </w:p>
    <w:p w14:paraId="4BD96105">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坚持和发展新时代“枫桥经验”，完善社会矛盾纠纷多元预防调解联动机制和信访维稳工作机制。持续开展电信网络新型违法犯罪活动、涉麻制毒、非法集资等专项治理，抓好“八五”普法工作，持续争创平安和谐乡。总结提升安全生产专项整治三年行动经验做法，突出抓好烟花爆竹、在建项目、在建房屋等重点领域安全生产监管，确保安全生产形势稳定。持续开展道路交通安全隐患大排查大整治行动，坚决遏制重特大事故发生。强化应急队伍建设和物资储备管理，常态化开展应急演练，进一步提升综合防灾减灾救灾能力。</w:t>
      </w:r>
    </w:p>
    <w:p w14:paraId="17DCED49">
      <w:pPr>
        <w:keepNext w:val="0"/>
        <w:keepLines w:val="0"/>
        <w:pageBreakBefore w:val="0"/>
        <w:widowControl w:val="0"/>
        <w:kinsoku/>
        <w:wordWrap/>
        <w:overflowPunct/>
        <w:topLinePunct w:val="0"/>
        <w:autoSpaceDE/>
        <w:autoSpaceDN/>
        <w:bidi w:val="0"/>
        <w:adjustRightInd/>
        <w:snapToGrid/>
        <w:spacing w:line="560" w:lineRule="exact"/>
        <w:ind w:firstLine="664" w:firstLineChars="200"/>
        <w:jc w:val="both"/>
        <w:textAlignment w:val="auto"/>
        <w:rPr>
          <w:rFonts w:hint="default" w:ascii="Times New Roman" w:hAnsi="Times New Roman" w:cs="Times New Roman"/>
          <w:color w:val="auto"/>
          <w:spacing w:val="6"/>
        </w:rPr>
      </w:pPr>
      <w:r>
        <w:rPr>
          <w:rFonts w:hint="default" w:ascii="Times New Roman" w:hAnsi="Times New Roman" w:eastAsia="黑体" w:cs="Times New Roman"/>
          <w:b w:val="0"/>
          <w:bCs w:val="0"/>
          <w:color w:val="auto"/>
          <w:spacing w:val="6"/>
          <w:kern w:val="2"/>
          <w:sz w:val="32"/>
          <w:szCs w:val="32"/>
          <w:lang w:val="en-US" w:eastAsia="zh-CN" w:bidi="ar-SA"/>
        </w:rPr>
        <w:t>六、加强政府自身建设</w:t>
      </w:r>
    </w:p>
    <w:p w14:paraId="2FE62348">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强化政治建设，提升忠诚履职能力。始终坚持理论学习，站稳政治立场，忠诚拥护“两个确立”，坚决做到“两个维护”</w:t>
      </w:r>
      <w:r>
        <w:rPr>
          <w:rFonts w:hint="eastAsia" w:ascii="仿宋_GB2312" w:hAnsi="仿宋_GB2312" w:eastAsia="仿宋_GB2312" w:cs="仿宋_GB2312"/>
          <w:sz w:val="32"/>
          <w:szCs w:val="32"/>
          <w:lang w:val="en-US" w:eastAsia="zh-CN"/>
        </w:rPr>
        <w:t>，</w:t>
      </w:r>
      <w:bookmarkStart w:id="0" w:name="_GoBack"/>
      <w:bookmarkEnd w:id="0"/>
      <w:r>
        <w:rPr>
          <w:rFonts w:hint="default" w:ascii="仿宋_GB2312" w:hAnsi="仿宋_GB2312" w:eastAsia="仿宋_GB2312" w:cs="仿宋_GB2312"/>
          <w:sz w:val="32"/>
          <w:szCs w:val="32"/>
          <w:lang w:val="en-US" w:eastAsia="zh-CN"/>
        </w:rPr>
        <w:t>深入学习贯彻落实党的二十大精神，确保中央、省、市、县各项决策部署在珊瑚落地见效。加强县委十四届第一轮第二批巡察成果综合运用，克服“一阵风”思想，构建长效机制，做好“后半篇文章”。</w:t>
      </w:r>
    </w:p>
    <w:p w14:paraId="0A20EB1B">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强化法治建设，提升依法行政能力。深入贯彻落实习近平法治思想，运用法治思维和法治方式解决问题、化解矛盾，让法治思维贯彻政府工作全过程。完善决策机制,坚持重大行政决策合法性审查和集体讨论制度,不断提高政府依法决策水平。依法接受人大法律监督、监察监督，自觉接受政协民主监督，主动接受社会和舆论监督，不断提升依法行政能力水平。</w:t>
      </w:r>
    </w:p>
    <w:p w14:paraId="19F639E1">
      <w:pPr>
        <w:keepNext w:val="0"/>
        <w:keepLines w:val="0"/>
        <w:pageBreakBefore w:val="0"/>
        <w:widowControl w:val="0"/>
        <w:tabs>
          <w:tab w:val="left" w:pos="7513"/>
        </w:tabs>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b w:val="0"/>
          <w:kern w:val="2"/>
          <w:sz w:val="32"/>
          <w:szCs w:val="32"/>
          <w:lang w:val="en-US" w:eastAsia="zh-CN" w:bidi="ar-SA"/>
        </w:rPr>
      </w:pPr>
      <w:r>
        <w:rPr>
          <w:rFonts w:hint="default" w:ascii="仿宋_GB2312" w:hAnsi="仿宋_GB2312" w:eastAsia="仿宋_GB2312" w:cs="仿宋_GB2312"/>
          <w:b w:val="0"/>
          <w:kern w:val="2"/>
          <w:sz w:val="32"/>
          <w:szCs w:val="32"/>
          <w:lang w:val="en-US" w:eastAsia="zh-CN" w:bidi="ar-SA"/>
        </w:rPr>
        <w:t>强化廉政建设，提升干净干事能力。认真履行政府系统全面从严治党主体责任，深入落实“一岗双责”职责，严防重点领域和关键环节廉政风险。严格贯彻中央八项规定及其实施细则精神，持之以恒纠正“四风”树新风，力戒形式主义、官僚主义，严控“三公”经费支出，坚持过“紧日子”。反对铺张浪费，杜绝形象工程。</w:t>
      </w:r>
    </w:p>
    <w:p w14:paraId="20366DE5">
      <w:pPr>
        <w:ind w:firstLine="640" w:firstLineChars="200"/>
        <w:rPr>
          <w:rFonts w:ascii="仿宋" w:hAnsi="仿宋" w:eastAsia="仿宋" w:cs="仿宋_GB2312"/>
          <w:sz w:val="32"/>
          <w:szCs w:val="32"/>
        </w:rPr>
      </w:pPr>
    </w:p>
    <w:p w14:paraId="05ED38DC">
      <w:pPr>
        <w:pStyle w:val="4"/>
        <w:jc w:val="center"/>
        <w:rPr>
          <w:rFonts w:ascii="黑体" w:hAnsi="黑体" w:eastAsia="黑体"/>
          <w:color w:val="auto"/>
          <w:sz w:val="36"/>
          <w:szCs w:val="36"/>
          <w:lang w:eastAsia="zh-CN"/>
        </w:rPr>
      </w:pPr>
      <w:r>
        <w:rPr>
          <w:rFonts w:hint="eastAsia" w:ascii="黑体" w:hAnsi="黑体" w:eastAsia="黑体"/>
          <w:color w:val="auto"/>
          <w:sz w:val="36"/>
          <w:szCs w:val="36"/>
          <w:lang w:eastAsia="zh-CN"/>
        </w:rPr>
        <w:t xml:space="preserve">第二部分 </w:t>
      </w:r>
      <w:r>
        <w:rPr>
          <w:rFonts w:hint="eastAsia" w:ascii="黑体" w:hAnsi="黑体" w:eastAsia="黑体"/>
          <w:color w:val="auto"/>
          <w:sz w:val="36"/>
          <w:szCs w:val="36"/>
          <w:lang w:val="en-US" w:eastAsia="zh-CN"/>
        </w:rPr>
        <w:t>2023</w:t>
      </w:r>
      <w:r>
        <w:rPr>
          <w:rFonts w:hint="eastAsia" w:ascii="黑体" w:hAnsi="黑体" w:eastAsia="黑体"/>
          <w:color w:val="auto"/>
          <w:sz w:val="36"/>
          <w:szCs w:val="36"/>
          <w:lang w:eastAsia="zh-CN"/>
        </w:rPr>
        <w:t>年度部门预算表</w:t>
      </w:r>
    </w:p>
    <w:p w14:paraId="4D706F45">
      <w:pPr>
        <w:pStyle w:val="4"/>
        <w:rPr>
          <w:rFonts w:asciiTheme="majorEastAsia" w:hAnsiTheme="majorEastAsia" w:eastAsiaTheme="majorEastAsia"/>
          <w:sz w:val="36"/>
          <w:lang w:eastAsia="zh-CN"/>
        </w:rPr>
      </w:pPr>
    </w:p>
    <w:p w14:paraId="4F1AE3BD">
      <w:pPr>
        <w:tabs>
          <w:tab w:val="left" w:pos="7513"/>
        </w:tabs>
        <w:adjustRightInd w:val="0"/>
        <w:snapToGrid w:val="0"/>
        <w:spacing w:line="600" w:lineRule="exact"/>
        <w:rPr>
          <w:rFonts w:hint="eastAsia" w:ascii="仿宋" w:hAnsi="仿宋" w:eastAsia="仿宋"/>
          <w:sz w:val="32"/>
          <w:szCs w:val="32"/>
        </w:rPr>
      </w:pPr>
      <w:r>
        <w:rPr>
          <w:rFonts w:hint="eastAsia" w:ascii="仿宋" w:hAnsi="仿宋" w:eastAsia="仿宋"/>
          <w:sz w:val="32"/>
          <w:szCs w:val="32"/>
        </w:rPr>
        <w:t>一、收支预算总表</w:t>
      </w:r>
    </w:p>
    <w:tbl>
      <w:tblPr>
        <w:tblStyle w:val="9"/>
        <w:tblpPr w:leftFromText="180" w:rightFromText="180" w:vertAnchor="text" w:horzAnchor="page" w:tblpX="887" w:tblpY="197"/>
        <w:tblOverlap w:val="never"/>
        <w:tblW w:w="10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96"/>
        <w:gridCol w:w="1670"/>
        <w:gridCol w:w="3678"/>
        <w:gridCol w:w="1976"/>
      </w:tblGrid>
      <w:tr w14:paraId="352EF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10320" w:type="dxa"/>
            <w:gridSpan w:val="4"/>
            <w:tcBorders>
              <w:top w:val="nil"/>
              <w:left w:val="nil"/>
              <w:bottom w:val="nil"/>
              <w:right w:val="nil"/>
            </w:tcBorders>
            <w:shd w:val="clear" w:color="auto" w:fill="auto"/>
            <w:noWrap/>
            <w:vAlign w:val="center"/>
          </w:tcPr>
          <w:p w14:paraId="625F611C">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年度收支预算总表</w:t>
            </w:r>
          </w:p>
        </w:tc>
      </w:tr>
      <w:tr w14:paraId="630D9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996" w:type="dxa"/>
            <w:tcBorders>
              <w:top w:val="nil"/>
              <w:left w:val="nil"/>
              <w:bottom w:val="nil"/>
              <w:right w:val="nil"/>
            </w:tcBorders>
            <w:shd w:val="clear" w:color="auto" w:fill="auto"/>
            <w:noWrap/>
            <w:vAlign w:val="bottom"/>
          </w:tcPr>
          <w:p w14:paraId="66EF2040">
            <w:pPr>
              <w:rPr>
                <w:rFonts w:hint="eastAsia" w:ascii="宋体" w:hAnsi="宋体" w:eastAsia="宋体" w:cs="宋体"/>
                <w:i w:val="0"/>
                <w:iCs w:val="0"/>
                <w:color w:val="000000"/>
                <w:sz w:val="24"/>
                <w:szCs w:val="24"/>
                <w:u w:val="none"/>
              </w:rPr>
            </w:pPr>
          </w:p>
        </w:tc>
        <w:tc>
          <w:tcPr>
            <w:tcW w:w="1670" w:type="dxa"/>
            <w:tcBorders>
              <w:top w:val="nil"/>
              <w:left w:val="nil"/>
              <w:bottom w:val="nil"/>
              <w:right w:val="nil"/>
            </w:tcBorders>
            <w:shd w:val="clear" w:color="auto" w:fill="auto"/>
            <w:noWrap/>
            <w:vAlign w:val="bottom"/>
          </w:tcPr>
          <w:p w14:paraId="7C82C3E9">
            <w:pPr>
              <w:rPr>
                <w:rFonts w:hint="eastAsia" w:ascii="宋体" w:hAnsi="宋体" w:eastAsia="宋体" w:cs="宋体"/>
                <w:i w:val="0"/>
                <w:iCs w:val="0"/>
                <w:color w:val="000000"/>
                <w:sz w:val="24"/>
                <w:szCs w:val="24"/>
                <w:u w:val="none"/>
              </w:rPr>
            </w:pPr>
          </w:p>
        </w:tc>
        <w:tc>
          <w:tcPr>
            <w:tcW w:w="3678" w:type="dxa"/>
            <w:tcBorders>
              <w:top w:val="nil"/>
              <w:left w:val="nil"/>
              <w:bottom w:val="nil"/>
              <w:right w:val="nil"/>
            </w:tcBorders>
            <w:shd w:val="clear" w:color="auto" w:fill="auto"/>
            <w:noWrap/>
            <w:vAlign w:val="bottom"/>
          </w:tcPr>
          <w:p w14:paraId="02DAA558">
            <w:pPr>
              <w:rPr>
                <w:rFonts w:hint="eastAsia" w:ascii="宋体" w:hAnsi="宋体" w:eastAsia="宋体" w:cs="宋体"/>
                <w:i w:val="0"/>
                <w:iCs w:val="0"/>
                <w:color w:val="000000"/>
                <w:sz w:val="24"/>
                <w:szCs w:val="24"/>
                <w:u w:val="none"/>
              </w:rPr>
            </w:pPr>
          </w:p>
        </w:tc>
        <w:tc>
          <w:tcPr>
            <w:tcW w:w="1976" w:type="dxa"/>
            <w:tcBorders>
              <w:top w:val="nil"/>
              <w:left w:val="nil"/>
              <w:bottom w:val="nil"/>
              <w:right w:val="nil"/>
            </w:tcBorders>
            <w:shd w:val="clear" w:color="auto" w:fill="auto"/>
            <w:noWrap/>
            <w:vAlign w:val="center"/>
          </w:tcPr>
          <w:p w14:paraId="727E237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单位：万元</w:t>
            </w:r>
          </w:p>
        </w:tc>
      </w:tr>
      <w:tr w14:paraId="36BDE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291E">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73669">
            <w:pPr>
              <w:jc w:val="both"/>
              <w:rPr>
                <w:rFonts w:hint="eastAsia" w:ascii="宋体" w:hAnsi="宋体" w:eastAsia="宋体" w:cs="宋体"/>
                <w:b/>
                <w:bCs/>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9BA2">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BE562">
            <w:pPr>
              <w:jc w:val="both"/>
              <w:rPr>
                <w:rFonts w:hint="eastAsia" w:ascii="宋体" w:hAnsi="宋体" w:eastAsia="宋体" w:cs="宋体"/>
                <w:b/>
                <w:bCs/>
                <w:i w:val="0"/>
                <w:iCs w:val="0"/>
                <w:color w:val="000000"/>
                <w:sz w:val="22"/>
                <w:szCs w:val="22"/>
                <w:u w:val="none"/>
              </w:rPr>
            </w:pPr>
          </w:p>
        </w:tc>
      </w:tr>
      <w:tr w14:paraId="2C0B9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3C2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收入项目类别</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77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C2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支出项目类别</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2C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2212D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6B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24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r>
              <w:rPr>
                <w:rFonts w:hint="eastAsia" w:ascii="宋体" w:hAnsi="宋体" w:eastAsia="宋体" w:cs="宋体"/>
                <w:i w:val="0"/>
                <w:iCs w:val="0"/>
                <w:color w:val="000000"/>
                <w:kern w:val="0"/>
                <w:sz w:val="22"/>
                <w:szCs w:val="22"/>
                <w:u w:val="none"/>
                <w:lang w:val="en-US" w:eastAsia="zh-CN" w:bidi="ar"/>
              </w:rPr>
              <w:t xml:space="preserve"> </w:t>
            </w: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72D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一、基本支出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77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r>
              <w:rPr>
                <w:rFonts w:hint="eastAsia" w:ascii="宋体" w:hAnsi="宋体" w:eastAsia="宋体" w:cs="宋体"/>
                <w:i w:val="0"/>
                <w:iCs w:val="0"/>
                <w:color w:val="000000"/>
                <w:kern w:val="0"/>
                <w:sz w:val="22"/>
                <w:szCs w:val="22"/>
                <w:u w:val="none"/>
                <w:lang w:val="en-US" w:eastAsia="zh-CN" w:bidi="ar"/>
              </w:rPr>
              <w:t xml:space="preserve"> </w:t>
            </w:r>
          </w:p>
        </w:tc>
      </w:tr>
      <w:tr w14:paraId="2FE39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392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二、基金预算财政拨款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DE9C">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003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人员支出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7679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365.81</w:t>
            </w:r>
          </w:p>
        </w:tc>
      </w:tr>
      <w:tr w14:paraId="23E41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32D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三、财政专户拨款</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2DE4">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AF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对个人和家庭补助支出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B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91.12 </w:t>
            </w:r>
          </w:p>
        </w:tc>
      </w:tr>
      <w:tr w14:paraId="1847F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C5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四、单位其他收入</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5AE8">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2F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公用支出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58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183.97 </w:t>
            </w:r>
          </w:p>
        </w:tc>
      </w:tr>
      <w:tr w14:paraId="136B3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97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五、单位结余结转资金</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272D">
            <w:pPr>
              <w:jc w:val="right"/>
              <w:rPr>
                <w:rFonts w:hint="eastAsia" w:ascii="宋体" w:hAnsi="宋体" w:eastAsia="宋体" w:cs="宋体"/>
                <w:i w:val="0"/>
                <w:iCs w:val="0"/>
                <w:color w:val="000000"/>
                <w:sz w:val="22"/>
                <w:szCs w:val="22"/>
                <w:u w:val="none"/>
              </w:rPr>
            </w:pP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1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二、项目支出</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DEA1">
            <w:pPr>
              <w:jc w:val="right"/>
              <w:rPr>
                <w:rFonts w:hint="eastAsia" w:ascii="宋体" w:hAnsi="宋体" w:eastAsia="宋体" w:cs="宋体"/>
                <w:i w:val="0"/>
                <w:iCs w:val="0"/>
                <w:color w:val="000000"/>
                <w:sz w:val="22"/>
                <w:szCs w:val="22"/>
                <w:u w:val="none"/>
              </w:rPr>
            </w:pPr>
          </w:p>
        </w:tc>
      </w:tr>
      <w:tr w14:paraId="6682E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A5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收入合计</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EF57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640.9</w:t>
            </w:r>
          </w:p>
        </w:tc>
        <w:tc>
          <w:tcPr>
            <w:tcW w:w="36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1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支出合计</w:t>
            </w:r>
          </w:p>
        </w:tc>
        <w:tc>
          <w:tcPr>
            <w:tcW w:w="1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CD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r>
              <w:rPr>
                <w:rFonts w:hint="eastAsia" w:ascii="宋体" w:hAnsi="宋体" w:eastAsia="宋体" w:cs="宋体"/>
                <w:i w:val="0"/>
                <w:iCs w:val="0"/>
                <w:color w:val="000000"/>
                <w:kern w:val="0"/>
                <w:sz w:val="22"/>
                <w:szCs w:val="22"/>
                <w:u w:val="none"/>
                <w:lang w:val="en-US" w:eastAsia="zh-CN" w:bidi="ar"/>
              </w:rPr>
              <w:t xml:space="preserve"> </w:t>
            </w:r>
          </w:p>
        </w:tc>
      </w:tr>
    </w:tbl>
    <w:p w14:paraId="65A7705B">
      <w:pPr>
        <w:tabs>
          <w:tab w:val="left" w:pos="7513"/>
        </w:tabs>
        <w:adjustRightInd w:val="0"/>
        <w:snapToGrid w:val="0"/>
        <w:spacing w:line="600" w:lineRule="exact"/>
        <w:rPr>
          <w:rFonts w:hint="eastAsia" w:ascii="仿宋" w:hAnsi="仿宋" w:eastAsia="仿宋"/>
          <w:sz w:val="32"/>
          <w:szCs w:val="32"/>
        </w:rPr>
      </w:pPr>
    </w:p>
    <w:p w14:paraId="01B2B711">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二、收入预算总表</w:t>
      </w:r>
    </w:p>
    <w:tbl>
      <w:tblPr>
        <w:tblStyle w:val="9"/>
        <w:tblpPr w:leftFromText="180" w:rightFromText="180" w:vertAnchor="text" w:horzAnchor="page" w:tblpXSpec="center" w:tblpY="81"/>
        <w:tblOverlap w:val="never"/>
        <w:tblW w:w="106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0"/>
        <w:gridCol w:w="2550"/>
        <w:gridCol w:w="1200"/>
        <w:gridCol w:w="1140"/>
        <w:gridCol w:w="1140"/>
        <w:gridCol w:w="1140"/>
        <w:gridCol w:w="1140"/>
        <w:gridCol w:w="1140"/>
      </w:tblGrid>
      <w:tr w14:paraId="51ABA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10680" w:type="dxa"/>
            <w:gridSpan w:val="8"/>
            <w:tcBorders>
              <w:top w:val="nil"/>
              <w:left w:val="nil"/>
              <w:bottom w:val="nil"/>
              <w:right w:val="nil"/>
            </w:tcBorders>
            <w:shd w:val="clear" w:color="auto" w:fill="auto"/>
            <w:vAlign w:val="center"/>
          </w:tcPr>
          <w:p w14:paraId="597DA9C0">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年度收入预算总表</w:t>
            </w:r>
          </w:p>
        </w:tc>
      </w:tr>
      <w:tr w14:paraId="1F87F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230" w:type="dxa"/>
            <w:tcBorders>
              <w:top w:val="nil"/>
              <w:left w:val="nil"/>
              <w:bottom w:val="nil"/>
              <w:right w:val="nil"/>
            </w:tcBorders>
            <w:shd w:val="clear" w:color="auto" w:fill="auto"/>
            <w:noWrap/>
            <w:vAlign w:val="bottom"/>
          </w:tcPr>
          <w:p w14:paraId="24A9352A">
            <w:pPr>
              <w:rPr>
                <w:rFonts w:hint="eastAsia" w:ascii="宋体" w:hAnsi="宋体" w:eastAsia="宋体" w:cs="宋体"/>
                <w:i w:val="0"/>
                <w:iCs w:val="0"/>
                <w:color w:val="000000"/>
                <w:sz w:val="24"/>
                <w:szCs w:val="24"/>
                <w:u w:val="none"/>
              </w:rPr>
            </w:pPr>
          </w:p>
        </w:tc>
        <w:tc>
          <w:tcPr>
            <w:tcW w:w="2550" w:type="dxa"/>
            <w:tcBorders>
              <w:top w:val="nil"/>
              <w:left w:val="nil"/>
              <w:bottom w:val="nil"/>
              <w:right w:val="nil"/>
            </w:tcBorders>
            <w:shd w:val="clear" w:color="auto" w:fill="auto"/>
            <w:noWrap/>
            <w:vAlign w:val="bottom"/>
          </w:tcPr>
          <w:p w14:paraId="504A140B">
            <w:pPr>
              <w:rPr>
                <w:rFonts w:hint="eastAsia" w:ascii="宋体" w:hAnsi="宋体" w:eastAsia="宋体" w:cs="宋体"/>
                <w:i w:val="0"/>
                <w:iCs w:val="0"/>
                <w:color w:val="000000"/>
                <w:sz w:val="24"/>
                <w:szCs w:val="24"/>
                <w:u w:val="none"/>
              </w:rPr>
            </w:pPr>
          </w:p>
        </w:tc>
        <w:tc>
          <w:tcPr>
            <w:tcW w:w="1200" w:type="dxa"/>
            <w:tcBorders>
              <w:top w:val="nil"/>
              <w:left w:val="nil"/>
              <w:bottom w:val="nil"/>
              <w:right w:val="nil"/>
            </w:tcBorders>
            <w:shd w:val="clear" w:color="auto" w:fill="auto"/>
            <w:vAlign w:val="center"/>
          </w:tcPr>
          <w:p w14:paraId="6D610DEE">
            <w:pPr>
              <w:jc w:val="center"/>
              <w:rPr>
                <w:rFonts w:hint="eastAsia" w:ascii="黑体" w:hAnsi="宋体" w:eastAsia="黑体" w:cs="黑体"/>
                <w:i w:val="0"/>
                <w:iCs w:val="0"/>
                <w:color w:val="000000"/>
                <w:sz w:val="40"/>
                <w:szCs w:val="40"/>
                <w:u w:val="none"/>
              </w:rPr>
            </w:pPr>
          </w:p>
        </w:tc>
        <w:tc>
          <w:tcPr>
            <w:tcW w:w="1140" w:type="dxa"/>
            <w:tcBorders>
              <w:top w:val="nil"/>
              <w:left w:val="nil"/>
              <w:bottom w:val="nil"/>
              <w:right w:val="nil"/>
            </w:tcBorders>
            <w:shd w:val="clear" w:color="auto" w:fill="auto"/>
            <w:vAlign w:val="center"/>
          </w:tcPr>
          <w:p w14:paraId="1562F875">
            <w:pPr>
              <w:jc w:val="center"/>
              <w:rPr>
                <w:rFonts w:hint="eastAsia" w:ascii="宋体" w:hAnsi="宋体" w:eastAsia="宋体" w:cs="宋体"/>
                <w:i w:val="0"/>
                <w:iCs w:val="0"/>
                <w:color w:val="000000"/>
                <w:sz w:val="24"/>
                <w:szCs w:val="24"/>
                <w:u w:val="none"/>
              </w:rPr>
            </w:pPr>
          </w:p>
        </w:tc>
        <w:tc>
          <w:tcPr>
            <w:tcW w:w="1140" w:type="dxa"/>
            <w:tcBorders>
              <w:top w:val="nil"/>
              <w:left w:val="nil"/>
              <w:bottom w:val="nil"/>
              <w:right w:val="nil"/>
            </w:tcBorders>
            <w:shd w:val="clear" w:color="auto" w:fill="auto"/>
            <w:vAlign w:val="center"/>
          </w:tcPr>
          <w:p w14:paraId="40FE263C">
            <w:pPr>
              <w:jc w:val="center"/>
              <w:rPr>
                <w:rFonts w:hint="eastAsia" w:ascii="宋体" w:hAnsi="宋体" w:eastAsia="宋体" w:cs="宋体"/>
                <w:i w:val="0"/>
                <w:iCs w:val="0"/>
                <w:color w:val="000000"/>
                <w:sz w:val="24"/>
                <w:szCs w:val="24"/>
                <w:u w:val="none"/>
              </w:rPr>
            </w:pPr>
          </w:p>
        </w:tc>
        <w:tc>
          <w:tcPr>
            <w:tcW w:w="1140" w:type="dxa"/>
            <w:tcBorders>
              <w:top w:val="nil"/>
              <w:left w:val="nil"/>
              <w:bottom w:val="nil"/>
              <w:right w:val="nil"/>
            </w:tcBorders>
            <w:shd w:val="clear" w:color="auto" w:fill="auto"/>
            <w:noWrap/>
            <w:vAlign w:val="center"/>
          </w:tcPr>
          <w:p w14:paraId="0B8F5BDA">
            <w:pPr>
              <w:jc w:val="center"/>
              <w:rPr>
                <w:rFonts w:hint="eastAsia" w:ascii="宋体" w:hAnsi="宋体" w:eastAsia="宋体" w:cs="宋体"/>
                <w:i w:val="0"/>
                <w:iCs w:val="0"/>
                <w:color w:val="000000"/>
                <w:sz w:val="24"/>
                <w:szCs w:val="24"/>
                <w:u w:val="none"/>
              </w:rPr>
            </w:pPr>
          </w:p>
        </w:tc>
        <w:tc>
          <w:tcPr>
            <w:tcW w:w="2280" w:type="dxa"/>
            <w:gridSpan w:val="2"/>
            <w:tcBorders>
              <w:top w:val="nil"/>
              <w:left w:val="nil"/>
              <w:bottom w:val="single" w:color="000000" w:sz="4" w:space="0"/>
              <w:right w:val="nil"/>
            </w:tcBorders>
            <w:shd w:val="clear" w:color="auto" w:fill="auto"/>
            <w:noWrap/>
            <w:vAlign w:val="center"/>
          </w:tcPr>
          <w:p w14:paraId="1531BC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7324E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224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99DC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69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EF7D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r>
      <w:tr w14:paraId="2B27A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274DD">
            <w:pPr>
              <w:jc w:val="center"/>
              <w:rPr>
                <w:rFonts w:hint="eastAsia" w:ascii="宋体" w:hAnsi="宋体" w:eastAsia="宋体" w:cs="宋体"/>
                <w:b/>
                <w:bCs/>
                <w:i w:val="0"/>
                <w:iCs w:val="0"/>
                <w:color w:val="000000"/>
                <w:sz w:val="22"/>
                <w:szCs w:val="22"/>
                <w:u w:val="none"/>
              </w:rPr>
            </w:pP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23F18">
            <w:pPr>
              <w:jc w:val="center"/>
              <w:rPr>
                <w:rFonts w:hint="eastAsia" w:ascii="宋体" w:hAnsi="宋体" w:eastAsia="宋体" w:cs="宋体"/>
                <w:b/>
                <w:bCs/>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6A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A36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08E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基金预算拨款</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EDE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财政专户拨款</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35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单位结余结转资金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69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单位其它收入</w:t>
            </w:r>
          </w:p>
        </w:tc>
      </w:tr>
      <w:tr w14:paraId="664C9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61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F02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C1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5F9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AC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5D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53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48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9E1C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24BEE">
            <w:pPr>
              <w:jc w:val="left"/>
              <w:rPr>
                <w:rFonts w:hint="eastAsia" w:ascii="宋体" w:hAnsi="宋体" w:eastAsia="宋体" w:cs="宋体"/>
                <w:i w:val="0"/>
                <w:iCs w:val="0"/>
                <w:color w:val="000000"/>
                <w:sz w:val="22"/>
                <w:szCs w:val="22"/>
                <w:u w:val="none"/>
              </w:rPr>
            </w:pP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AE3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上杭县珊瑚乡人民政府</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1B4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640.9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B42F">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640.9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98A6C">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6C63">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AB94">
            <w:pPr>
              <w:jc w:val="center"/>
              <w:rPr>
                <w:rFonts w:hint="eastAsia" w:ascii="宋体" w:hAnsi="宋体" w:eastAsia="宋体" w:cs="宋体"/>
                <w:i w:val="0"/>
                <w:iCs w:val="0"/>
                <w:color w:val="000000"/>
                <w:sz w:val="22"/>
                <w:szCs w:val="22"/>
                <w:u w:val="none"/>
              </w:rPr>
            </w:pP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E6A1B">
            <w:pPr>
              <w:jc w:val="center"/>
              <w:rPr>
                <w:rFonts w:hint="eastAsia" w:ascii="宋体" w:hAnsi="宋体" w:eastAsia="宋体" w:cs="宋体"/>
                <w:i w:val="0"/>
                <w:iCs w:val="0"/>
                <w:color w:val="000000"/>
                <w:sz w:val="22"/>
                <w:szCs w:val="22"/>
                <w:u w:val="none"/>
              </w:rPr>
            </w:pPr>
          </w:p>
        </w:tc>
      </w:tr>
    </w:tbl>
    <w:p w14:paraId="2A0931B2">
      <w:pPr>
        <w:tabs>
          <w:tab w:val="left" w:pos="7513"/>
        </w:tabs>
        <w:adjustRightInd w:val="0"/>
        <w:snapToGrid w:val="0"/>
        <w:spacing w:line="600" w:lineRule="exact"/>
        <w:rPr>
          <w:rFonts w:hint="eastAsia" w:ascii="仿宋" w:hAnsi="仿宋" w:eastAsia="仿宋"/>
          <w:sz w:val="32"/>
          <w:szCs w:val="32"/>
        </w:rPr>
        <w:sectPr>
          <w:footerReference r:id="rId6" w:type="default"/>
          <w:pgSz w:w="11906" w:h="16838"/>
          <w:pgMar w:top="1440" w:right="1800" w:bottom="1440" w:left="1800" w:header="851" w:footer="992" w:gutter="0"/>
          <w:pgNumType w:fmt="decimal" w:start="1"/>
          <w:cols w:space="425" w:num="1"/>
          <w:docGrid w:type="lines" w:linePitch="312" w:charSpace="0"/>
        </w:sectPr>
      </w:pPr>
    </w:p>
    <w:p w14:paraId="5DB69488">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三、支出预算总表</w:t>
      </w:r>
    </w:p>
    <w:tbl>
      <w:tblPr>
        <w:tblStyle w:val="9"/>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9"/>
        <w:gridCol w:w="1115"/>
        <w:gridCol w:w="1026"/>
        <w:gridCol w:w="1345"/>
        <w:gridCol w:w="884"/>
        <w:gridCol w:w="883"/>
        <w:gridCol w:w="867"/>
        <w:gridCol w:w="883"/>
        <w:gridCol w:w="490"/>
        <w:gridCol w:w="1027"/>
        <w:gridCol w:w="1000"/>
        <w:gridCol w:w="883"/>
        <w:gridCol w:w="970"/>
        <w:gridCol w:w="970"/>
        <w:gridCol w:w="922"/>
      </w:tblGrid>
      <w:tr w14:paraId="515C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14174" w:type="dxa"/>
            <w:gridSpan w:val="15"/>
            <w:tcBorders>
              <w:top w:val="nil"/>
              <w:left w:val="nil"/>
              <w:bottom w:val="nil"/>
              <w:right w:val="nil"/>
            </w:tcBorders>
            <w:shd w:val="clear" w:color="auto" w:fill="auto"/>
            <w:noWrap/>
            <w:vAlign w:val="center"/>
          </w:tcPr>
          <w:p w14:paraId="2F4A7041">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年度支出预算总表</w:t>
            </w:r>
          </w:p>
        </w:tc>
      </w:tr>
      <w:tr w14:paraId="5A4ED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909" w:type="dxa"/>
            <w:tcBorders>
              <w:top w:val="nil"/>
              <w:left w:val="nil"/>
              <w:bottom w:val="nil"/>
              <w:right w:val="nil"/>
            </w:tcBorders>
            <w:shd w:val="clear" w:color="auto" w:fill="auto"/>
            <w:noWrap/>
            <w:vAlign w:val="center"/>
          </w:tcPr>
          <w:p w14:paraId="5A236457">
            <w:pPr>
              <w:rPr>
                <w:rFonts w:hint="eastAsia" w:ascii="宋体" w:hAnsi="宋体" w:eastAsia="宋体" w:cs="宋体"/>
                <w:i w:val="0"/>
                <w:iCs w:val="0"/>
                <w:color w:val="000000"/>
                <w:sz w:val="24"/>
                <w:szCs w:val="24"/>
                <w:u w:val="none"/>
              </w:rPr>
            </w:pPr>
          </w:p>
        </w:tc>
        <w:tc>
          <w:tcPr>
            <w:tcW w:w="1115" w:type="dxa"/>
            <w:tcBorders>
              <w:top w:val="nil"/>
              <w:left w:val="nil"/>
              <w:bottom w:val="nil"/>
              <w:right w:val="nil"/>
            </w:tcBorders>
            <w:shd w:val="clear" w:color="auto" w:fill="auto"/>
            <w:noWrap/>
            <w:vAlign w:val="center"/>
          </w:tcPr>
          <w:p w14:paraId="10BFBD89">
            <w:pPr>
              <w:rPr>
                <w:rFonts w:hint="eastAsia" w:ascii="宋体" w:hAnsi="宋体" w:eastAsia="宋体" w:cs="宋体"/>
                <w:i w:val="0"/>
                <w:iCs w:val="0"/>
                <w:color w:val="000000"/>
                <w:sz w:val="24"/>
                <w:szCs w:val="24"/>
                <w:u w:val="none"/>
              </w:rPr>
            </w:pPr>
          </w:p>
        </w:tc>
        <w:tc>
          <w:tcPr>
            <w:tcW w:w="1026" w:type="dxa"/>
            <w:tcBorders>
              <w:top w:val="nil"/>
              <w:left w:val="nil"/>
              <w:bottom w:val="nil"/>
              <w:right w:val="nil"/>
            </w:tcBorders>
            <w:shd w:val="clear" w:color="auto" w:fill="auto"/>
            <w:noWrap/>
            <w:vAlign w:val="center"/>
          </w:tcPr>
          <w:p w14:paraId="288692CF">
            <w:pPr>
              <w:rPr>
                <w:rFonts w:hint="eastAsia" w:ascii="宋体" w:hAnsi="宋体" w:eastAsia="宋体" w:cs="宋体"/>
                <w:i w:val="0"/>
                <w:iCs w:val="0"/>
                <w:color w:val="000000"/>
                <w:sz w:val="24"/>
                <w:szCs w:val="24"/>
                <w:u w:val="none"/>
              </w:rPr>
            </w:pPr>
          </w:p>
        </w:tc>
        <w:tc>
          <w:tcPr>
            <w:tcW w:w="1345" w:type="dxa"/>
            <w:tcBorders>
              <w:top w:val="nil"/>
              <w:left w:val="nil"/>
              <w:bottom w:val="nil"/>
              <w:right w:val="nil"/>
            </w:tcBorders>
            <w:shd w:val="clear" w:color="auto" w:fill="auto"/>
            <w:noWrap/>
            <w:vAlign w:val="center"/>
          </w:tcPr>
          <w:p w14:paraId="6C68C6BD">
            <w:pPr>
              <w:rPr>
                <w:rFonts w:hint="eastAsia" w:ascii="宋体" w:hAnsi="宋体" w:eastAsia="宋体" w:cs="宋体"/>
                <w:i w:val="0"/>
                <w:iCs w:val="0"/>
                <w:color w:val="000000"/>
                <w:sz w:val="24"/>
                <w:szCs w:val="24"/>
                <w:u w:val="none"/>
              </w:rPr>
            </w:pPr>
          </w:p>
        </w:tc>
        <w:tc>
          <w:tcPr>
            <w:tcW w:w="884" w:type="dxa"/>
            <w:tcBorders>
              <w:top w:val="nil"/>
              <w:left w:val="nil"/>
              <w:bottom w:val="nil"/>
              <w:right w:val="nil"/>
            </w:tcBorders>
            <w:shd w:val="clear" w:color="auto" w:fill="auto"/>
            <w:noWrap/>
            <w:vAlign w:val="center"/>
          </w:tcPr>
          <w:p w14:paraId="1451AFC8">
            <w:pPr>
              <w:rPr>
                <w:rFonts w:hint="eastAsia" w:ascii="宋体" w:hAnsi="宋体" w:eastAsia="宋体" w:cs="宋体"/>
                <w:i w:val="0"/>
                <w:iCs w:val="0"/>
                <w:color w:val="000000"/>
                <w:sz w:val="24"/>
                <w:szCs w:val="24"/>
                <w:u w:val="none"/>
              </w:rPr>
            </w:pPr>
          </w:p>
        </w:tc>
        <w:tc>
          <w:tcPr>
            <w:tcW w:w="883" w:type="dxa"/>
            <w:tcBorders>
              <w:top w:val="nil"/>
              <w:left w:val="nil"/>
              <w:bottom w:val="nil"/>
              <w:right w:val="nil"/>
            </w:tcBorders>
            <w:shd w:val="clear" w:color="auto" w:fill="auto"/>
            <w:noWrap/>
            <w:vAlign w:val="center"/>
          </w:tcPr>
          <w:p w14:paraId="04EBF223">
            <w:pPr>
              <w:rPr>
                <w:rFonts w:hint="eastAsia" w:ascii="宋体" w:hAnsi="宋体" w:eastAsia="宋体" w:cs="宋体"/>
                <w:i w:val="0"/>
                <w:iCs w:val="0"/>
                <w:color w:val="000000"/>
                <w:sz w:val="24"/>
                <w:szCs w:val="24"/>
                <w:u w:val="none"/>
              </w:rPr>
            </w:pPr>
          </w:p>
        </w:tc>
        <w:tc>
          <w:tcPr>
            <w:tcW w:w="867" w:type="dxa"/>
            <w:tcBorders>
              <w:top w:val="nil"/>
              <w:left w:val="nil"/>
              <w:bottom w:val="nil"/>
              <w:right w:val="nil"/>
            </w:tcBorders>
            <w:shd w:val="clear" w:color="auto" w:fill="auto"/>
            <w:noWrap/>
            <w:vAlign w:val="center"/>
          </w:tcPr>
          <w:p w14:paraId="761BE289">
            <w:pPr>
              <w:rPr>
                <w:rFonts w:hint="eastAsia" w:ascii="宋体" w:hAnsi="宋体" w:eastAsia="宋体" w:cs="宋体"/>
                <w:i w:val="0"/>
                <w:iCs w:val="0"/>
                <w:color w:val="000000"/>
                <w:sz w:val="24"/>
                <w:szCs w:val="24"/>
                <w:u w:val="none"/>
              </w:rPr>
            </w:pPr>
          </w:p>
        </w:tc>
        <w:tc>
          <w:tcPr>
            <w:tcW w:w="883" w:type="dxa"/>
            <w:tcBorders>
              <w:top w:val="nil"/>
              <w:left w:val="nil"/>
              <w:bottom w:val="nil"/>
              <w:right w:val="nil"/>
            </w:tcBorders>
            <w:shd w:val="clear" w:color="auto" w:fill="auto"/>
            <w:noWrap/>
            <w:vAlign w:val="center"/>
          </w:tcPr>
          <w:p w14:paraId="61DBD152">
            <w:pPr>
              <w:rPr>
                <w:rFonts w:hint="eastAsia" w:ascii="宋体" w:hAnsi="宋体" w:eastAsia="宋体" w:cs="宋体"/>
                <w:i w:val="0"/>
                <w:iCs w:val="0"/>
                <w:color w:val="000000"/>
                <w:sz w:val="24"/>
                <w:szCs w:val="24"/>
                <w:u w:val="none"/>
              </w:rPr>
            </w:pPr>
          </w:p>
        </w:tc>
        <w:tc>
          <w:tcPr>
            <w:tcW w:w="490" w:type="dxa"/>
            <w:tcBorders>
              <w:top w:val="nil"/>
              <w:left w:val="nil"/>
              <w:bottom w:val="nil"/>
              <w:right w:val="nil"/>
            </w:tcBorders>
            <w:shd w:val="clear" w:color="auto" w:fill="auto"/>
            <w:noWrap/>
            <w:vAlign w:val="center"/>
          </w:tcPr>
          <w:p w14:paraId="05BEE158">
            <w:pPr>
              <w:rPr>
                <w:rFonts w:hint="eastAsia" w:ascii="宋体" w:hAnsi="宋体" w:eastAsia="宋体" w:cs="宋体"/>
                <w:i w:val="0"/>
                <w:iCs w:val="0"/>
                <w:color w:val="000000"/>
                <w:sz w:val="24"/>
                <w:szCs w:val="24"/>
                <w:u w:val="none"/>
              </w:rPr>
            </w:pPr>
          </w:p>
        </w:tc>
        <w:tc>
          <w:tcPr>
            <w:tcW w:w="1027" w:type="dxa"/>
            <w:tcBorders>
              <w:top w:val="nil"/>
              <w:left w:val="nil"/>
              <w:bottom w:val="nil"/>
              <w:right w:val="nil"/>
            </w:tcBorders>
            <w:shd w:val="clear" w:color="auto" w:fill="auto"/>
            <w:noWrap/>
            <w:vAlign w:val="center"/>
          </w:tcPr>
          <w:p w14:paraId="5499FA47">
            <w:pPr>
              <w:rPr>
                <w:rFonts w:hint="eastAsia" w:ascii="宋体" w:hAnsi="宋体" w:eastAsia="宋体" w:cs="宋体"/>
                <w:i w:val="0"/>
                <w:iCs w:val="0"/>
                <w:color w:val="000000"/>
                <w:sz w:val="24"/>
                <w:szCs w:val="24"/>
                <w:u w:val="none"/>
              </w:rPr>
            </w:pPr>
          </w:p>
        </w:tc>
        <w:tc>
          <w:tcPr>
            <w:tcW w:w="1000" w:type="dxa"/>
            <w:tcBorders>
              <w:top w:val="nil"/>
              <w:left w:val="nil"/>
              <w:bottom w:val="nil"/>
              <w:right w:val="nil"/>
            </w:tcBorders>
            <w:shd w:val="clear" w:color="auto" w:fill="auto"/>
            <w:noWrap/>
            <w:vAlign w:val="center"/>
          </w:tcPr>
          <w:p w14:paraId="25F765F1">
            <w:pPr>
              <w:rPr>
                <w:rFonts w:hint="eastAsia" w:ascii="宋体" w:hAnsi="宋体" w:eastAsia="宋体" w:cs="宋体"/>
                <w:i w:val="0"/>
                <w:iCs w:val="0"/>
                <w:color w:val="000000"/>
                <w:sz w:val="24"/>
                <w:szCs w:val="24"/>
                <w:u w:val="none"/>
              </w:rPr>
            </w:pPr>
          </w:p>
        </w:tc>
        <w:tc>
          <w:tcPr>
            <w:tcW w:w="883" w:type="dxa"/>
            <w:tcBorders>
              <w:top w:val="nil"/>
              <w:left w:val="nil"/>
              <w:bottom w:val="nil"/>
              <w:right w:val="nil"/>
            </w:tcBorders>
            <w:shd w:val="clear" w:color="auto" w:fill="auto"/>
            <w:noWrap/>
            <w:vAlign w:val="center"/>
          </w:tcPr>
          <w:p w14:paraId="089FD75A">
            <w:pPr>
              <w:rPr>
                <w:rFonts w:hint="eastAsia" w:ascii="宋体" w:hAnsi="宋体" w:eastAsia="宋体" w:cs="宋体"/>
                <w:i w:val="0"/>
                <w:iCs w:val="0"/>
                <w:color w:val="000000"/>
                <w:sz w:val="24"/>
                <w:szCs w:val="24"/>
                <w:u w:val="none"/>
              </w:rPr>
            </w:pPr>
          </w:p>
        </w:tc>
        <w:tc>
          <w:tcPr>
            <w:tcW w:w="970" w:type="dxa"/>
            <w:tcBorders>
              <w:top w:val="nil"/>
              <w:left w:val="nil"/>
              <w:bottom w:val="nil"/>
              <w:right w:val="nil"/>
            </w:tcBorders>
            <w:shd w:val="clear" w:color="auto" w:fill="auto"/>
            <w:noWrap/>
            <w:vAlign w:val="center"/>
          </w:tcPr>
          <w:p w14:paraId="2C9EFB8E">
            <w:pPr>
              <w:rPr>
                <w:rFonts w:hint="eastAsia" w:ascii="宋体" w:hAnsi="宋体" w:eastAsia="宋体" w:cs="宋体"/>
                <w:i w:val="0"/>
                <w:iCs w:val="0"/>
                <w:color w:val="000000"/>
                <w:sz w:val="24"/>
                <w:szCs w:val="24"/>
                <w:u w:val="none"/>
              </w:rPr>
            </w:pPr>
          </w:p>
        </w:tc>
        <w:tc>
          <w:tcPr>
            <w:tcW w:w="1892" w:type="dxa"/>
            <w:gridSpan w:val="2"/>
            <w:tcBorders>
              <w:top w:val="nil"/>
              <w:left w:val="nil"/>
              <w:bottom w:val="single" w:color="000000" w:sz="4" w:space="0"/>
              <w:right w:val="nil"/>
            </w:tcBorders>
            <w:shd w:val="clear" w:color="auto" w:fill="auto"/>
            <w:noWrap/>
            <w:vAlign w:val="center"/>
          </w:tcPr>
          <w:p w14:paraId="75D953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0734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96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C11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w:t>
            </w:r>
          </w:p>
        </w:tc>
        <w:tc>
          <w:tcPr>
            <w:tcW w:w="10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156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3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DD4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8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20AC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CF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人员支出</w:t>
            </w:r>
          </w:p>
        </w:tc>
        <w:tc>
          <w:tcPr>
            <w:tcW w:w="86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46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对个人和家庭的补助支出</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A2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公用支出</w:t>
            </w:r>
          </w:p>
        </w:tc>
        <w:tc>
          <w:tcPr>
            <w:tcW w:w="4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11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8E0F">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资金来源</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76C1">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B862">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FDCD">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4386">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5913">
            <w:pPr>
              <w:keepNext w:val="0"/>
              <w:keepLines w:val="0"/>
              <w:pageBreakBefore w:val="0"/>
              <w:widowControl/>
              <w:kinsoku/>
              <w:wordWrap/>
              <w:overflowPunct/>
              <w:topLinePunct w:val="0"/>
              <w:autoSpaceDE/>
              <w:autoSpaceDN/>
              <w:bidi w:val="0"/>
              <w:adjustRightInd/>
              <w:snapToGrid/>
              <w:spacing w:line="240" w:lineRule="exact"/>
              <w:jc w:val="both"/>
              <w:rPr>
                <w:rFonts w:hint="eastAsia" w:ascii="宋体" w:hAnsi="宋体" w:eastAsia="宋体" w:cs="宋体"/>
                <w:b/>
                <w:bCs/>
                <w:i w:val="0"/>
                <w:iCs w:val="0"/>
                <w:color w:val="000000"/>
                <w:sz w:val="22"/>
                <w:szCs w:val="22"/>
                <w:u w:val="none"/>
              </w:rPr>
            </w:pPr>
          </w:p>
        </w:tc>
      </w:tr>
      <w:tr w14:paraId="50EBE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3" w:hRule="atLeast"/>
          <w:jc w:val="center"/>
        </w:trPr>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9B6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37E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147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D86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C77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F40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30A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73F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D15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2"/>
                <w:szCs w:val="22"/>
                <w:u w:val="none"/>
              </w:rPr>
            </w:pPr>
          </w:p>
        </w:tc>
        <w:tc>
          <w:tcPr>
            <w:tcW w:w="10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030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15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8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2E43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基金预算拨款</w:t>
            </w:r>
          </w:p>
        </w:tc>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A8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财政专户拨款</w:t>
            </w:r>
          </w:p>
        </w:tc>
        <w:tc>
          <w:tcPr>
            <w:tcW w:w="9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0D36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单位结余结转资金</w:t>
            </w:r>
          </w:p>
        </w:tc>
        <w:tc>
          <w:tcPr>
            <w:tcW w:w="9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80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单位其它收入</w:t>
            </w:r>
          </w:p>
        </w:tc>
      </w:tr>
      <w:tr w14:paraId="6F68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9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717B6">
            <w:pPr>
              <w:jc w:val="center"/>
              <w:rPr>
                <w:rFonts w:hint="eastAsia" w:ascii="宋体" w:hAnsi="宋体" w:eastAsia="宋体" w:cs="宋体"/>
                <w:b/>
                <w:bCs/>
                <w:i w:val="0"/>
                <w:iCs w:val="0"/>
                <w:color w:val="000000"/>
                <w:sz w:val="22"/>
                <w:szCs w:val="22"/>
                <w:u w:val="none"/>
              </w:rPr>
            </w:pPr>
          </w:p>
        </w:tc>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EFDE9">
            <w:pPr>
              <w:jc w:val="center"/>
              <w:rPr>
                <w:rFonts w:hint="eastAsia" w:ascii="宋体" w:hAnsi="宋体" w:eastAsia="宋体" w:cs="宋体"/>
                <w:b/>
                <w:bCs/>
                <w:i w:val="0"/>
                <w:iCs w:val="0"/>
                <w:color w:val="000000"/>
                <w:sz w:val="22"/>
                <w:szCs w:val="22"/>
                <w:u w:val="none"/>
              </w:rPr>
            </w:pPr>
          </w:p>
        </w:tc>
        <w:tc>
          <w:tcPr>
            <w:tcW w:w="10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F7B87">
            <w:pPr>
              <w:jc w:val="center"/>
              <w:rPr>
                <w:rFonts w:hint="eastAsia" w:ascii="宋体" w:hAnsi="宋体" w:eastAsia="宋体" w:cs="宋体"/>
                <w:b/>
                <w:bCs/>
                <w:i w:val="0"/>
                <w:iCs w:val="0"/>
                <w:color w:val="000000"/>
                <w:sz w:val="22"/>
                <w:szCs w:val="22"/>
                <w:u w:val="none"/>
              </w:rPr>
            </w:pPr>
          </w:p>
        </w:tc>
        <w:tc>
          <w:tcPr>
            <w:tcW w:w="13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D01FE3">
            <w:pPr>
              <w:jc w:val="center"/>
              <w:rPr>
                <w:rFonts w:hint="eastAsia" w:ascii="宋体" w:hAnsi="宋体" w:eastAsia="宋体" w:cs="宋体"/>
                <w:b/>
                <w:bCs/>
                <w:i w:val="0"/>
                <w:iCs w:val="0"/>
                <w:color w:val="000000"/>
                <w:sz w:val="22"/>
                <w:szCs w:val="22"/>
                <w:u w:val="none"/>
              </w:rPr>
            </w:pPr>
          </w:p>
        </w:tc>
        <w:tc>
          <w:tcPr>
            <w:tcW w:w="8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6FE99">
            <w:pPr>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B4157">
            <w:pPr>
              <w:jc w:val="center"/>
              <w:rPr>
                <w:rFonts w:hint="eastAsia" w:ascii="宋体" w:hAnsi="宋体" w:eastAsia="宋体" w:cs="宋体"/>
                <w:b/>
                <w:bCs/>
                <w:i w:val="0"/>
                <w:iCs w:val="0"/>
                <w:color w:val="000000"/>
                <w:sz w:val="22"/>
                <w:szCs w:val="22"/>
                <w:u w:val="none"/>
              </w:rPr>
            </w:pPr>
          </w:p>
        </w:tc>
        <w:tc>
          <w:tcPr>
            <w:tcW w:w="86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62C0A">
            <w:pPr>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BE3FB">
            <w:pPr>
              <w:jc w:val="center"/>
              <w:rPr>
                <w:rFonts w:hint="eastAsia" w:ascii="宋体" w:hAnsi="宋体" w:eastAsia="宋体" w:cs="宋体"/>
                <w:b/>
                <w:bCs/>
                <w:i w:val="0"/>
                <w:iCs w:val="0"/>
                <w:color w:val="000000"/>
                <w:sz w:val="22"/>
                <w:szCs w:val="22"/>
                <w:u w:val="none"/>
              </w:rPr>
            </w:pPr>
          </w:p>
        </w:tc>
        <w:tc>
          <w:tcPr>
            <w:tcW w:w="4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5D071">
            <w:pPr>
              <w:jc w:val="center"/>
              <w:rPr>
                <w:rFonts w:hint="eastAsia" w:ascii="宋体" w:hAnsi="宋体" w:eastAsia="宋体" w:cs="宋体"/>
                <w:b/>
                <w:bCs/>
                <w:i w:val="0"/>
                <w:iCs w:val="0"/>
                <w:color w:val="000000"/>
                <w:sz w:val="22"/>
                <w:szCs w:val="22"/>
                <w:u w:val="none"/>
              </w:rPr>
            </w:pPr>
          </w:p>
        </w:tc>
        <w:tc>
          <w:tcPr>
            <w:tcW w:w="10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54201">
            <w:pPr>
              <w:jc w:val="center"/>
              <w:rPr>
                <w:rFonts w:hint="eastAsia" w:ascii="宋体" w:hAnsi="宋体" w:eastAsia="宋体" w:cs="宋体"/>
                <w:b/>
                <w:bCs/>
                <w:i w:val="0"/>
                <w:iCs w:val="0"/>
                <w:color w:val="000000"/>
                <w:sz w:val="22"/>
                <w:szCs w:val="22"/>
                <w:u w:val="none"/>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AE119">
            <w:pPr>
              <w:jc w:val="center"/>
              <w:rPr>
                <w:rFonts w:hint="eastAsia" w:ascii="宋体" w:hAnsi="宋体" w:eastAsia="宋体" w:cs="宋体"/>
                <w:b/>
                <w:bCs/>
                <w:i w:val="0"/>
                <w:iCs w:val="0"/>
                <w:color w:val="000000"/>
                <w:sz w:val="22"/>
                <w:szCs w:val="22"/>
                <w:u w:val="none"/>
              </w:rPr>
            </w:pPr>
          </w:p>
        </w:tc>
        <w:tc>
          <w:tcPr>
            <w:tcW w:w="8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EF166">
            <w:pPr>
              <w:jc w:val="center"/>
              <w:rPr>
                <w:rFonts w:hint="eastAsia" w:ascii="宋体" w:hAnsi="宋体" w:eastAsia="宋体" w:cs="宋体"/>
                <w:b/>
                <w:bCs/>
                <w:i w:val="0"/>
                <w:iCs w:val="0"/>
                <w:color w:val="000000"/>
                <w:sz w:val="22"/>
                <w:szCs w:val="22"/>
                <w:u w:val="none"/>
              </w:rPr>
            </w:pPr>
          </w:p>
        </w:tc>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366F1">
            <w:pPr>
              <w:jc w:val="center"/>
              <w:rPr>
                <w:rFonts w:hint="eastAsia" w:ascii="宋体" w:hAnsi="宋体" w:eastAsia="宋体" w:cs="宋体"/>
                <w:b/>
                <w:bCs/>
                <w:i w:val="0"/>
                <w:iCs w:val="0"/>
                <w:color w:val="000000"/>
                <w:sz w:val="22"/>
                <w:szCs w:val="22"/>
                <w:u w:val="none"/>
              </w:rPr>
            </w:pPr>
          </w:p>
        </w:tc>
        <w:tc>
          <w:tcPr>
            <w:tcW w:w="9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76CA21">
            <w:pPr>
              <w:jc w:val="center"/>
              <w:rPr>
                <w:rFonts w:hint="eastAsia" w:ascii="宋体" w:hAnsi="宋体" w:eastAsia="宋体" w:cs="宋体"/>
                <w:b/>
                <w:bCs/>
                <w:i w:val="0"/>
                <w:iCs w:val="0"/>
                <w:color w:val="000000"/>
                <w:sz w:val="22"/>
                <w:szCs w:val="22"/>
                <w:u w:val="none"/>
              </w:rPr>
            </w:pPr>
          </w:p>
        </w:tc>
        <w:tc>
          <w:tcPr>
            <w:tcW w:w="9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2E230">
            <w:pPr>
              <w:jc w:val="center"/>
              <w:rPr>
                <w:rFonts w:hint="eastAsia" w:ascii="宋体" w:hAnsi="宋体" w:eastAsia="宋体" w:cs="宋体"/>
                <w:b/>
                <w:bCs/>
                <w:i w:val="0"/>
                <w:iCs w:val="0"/>
                <w:color w:val="000000"/>
                <w:sz w:val="22"/>
                <w:szCs w:val="22"/>
                <w:u w:val="none"/>
              </w:rPr>
            </w:pPr>
          </w:p>
        </w:tc>
      </w:tr>
      <w:tr w14:paraId="6DD38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A92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D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CE4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1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C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C15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36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76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96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263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350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A1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418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7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2B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27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r>
      <w:tr w14:paraId="3A01C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F833">
            <w:pPr>
              <w:jc w:val="left"/>
              <w:rPr>
                <w:rFonts w:hint="eastAsia" w:ascii="宋体" w:hAnsi="宋体" w:eastAsia="宋体" w:cs="宋体"/>
                <w:i w:val="0"/>
                <w:iCs w:val="0"/>
                <w:color w:val="000000"/>
                <w:sz w:val="22"/>
                <w:szCs w:val="22"/>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7E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上杭县珊瑚乡人民政府</w:t>
            </w:r>
          </w:p>
        </w:tc>
        <w:tc>
          <w:tcPr>
            <w:tcW w:w="10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91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500120103</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577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一般公共服务支出/政府办公厅（室）及相关机构事务</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0F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431.52 </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9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365.81 </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3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6.74 </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81D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58.97 </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12333">
            <w:pPr>
              <w:jc w:val="right"/>
              <w:rPr>
                <w:rFonts w:hint="eastAsia" w:ascii="宋体" w:hAnsi="宋体" w:eastAsia="宋体" w:cs="宋体"/>
                <w:i w:val="0"/>
                <w:iCs w:val="0"/>
                <w:color w:val="000000"/>
                <w:sz w:val="22"/>
                <w:szCs w:val="22"/>
                <w:u w:val="none"/>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3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431.52 </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8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431.52 </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6D26">
            <w:pPr>
              <w:jc w:val="right"/>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9686A">
            <w:pPr>
              <w:jc w:val="right"/>
              <w:rPr>
                <w:rFonts w:hint="eastAsia" w:ascii="宋体" w:hAnsi="宋体" w:eastAsia="宋体" w:cs="宋体"/>
                <w:i w:val="0"/>
                <w:iCs w:val="0"/>
                <w:color w:val="000000"/>
                <w:sz w:val="22"/>
                <w:szCs w:val="22"/>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502C">
            <w:pPr>
              <w:jc w:val="right"/>
              <w:rPr>
                <w:rFonts w:hint="eastAsia" w:ascii="宋体" w:hAnsi="宋体" w:eastAsia="宋体" w:cs="宋体"/>
                <w:i w:val="0"/>
                <w:iCs w:val="0"/>
                <w:color w:val="000000"/>
                <w:sz w:val="22"/>
                <w:szCs w:val="22"/>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9247">
            <w:pPr>
              <w:jc w:val="right"/>
              <w:rPr>
                <w:rFonts w:hint="eastAsia" w:ascii="宋体" w:hAnsi="宋体" w:eastAsia="宋体" w:cs="宋体"/>
                <w:i w:val="0"/>
                <w:iCs w:val="0"/>
                <w:color w:val="000000"/>
                <w:sz w:val="22"/>
                <w:szCs w:val="22"/>
                <w:u w:val="none"/>
              </w:rPr>
            </w:pPr>
          </w:p>
        </w:tc>
      </w:tr>
      <w:tr w14:paraId="39599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4967">
            <w:pPr>
              <w:rPr>
                <w:rFonts w:hint="eastAsia" w:ascii="宋体" w:hAnsi="宋体" w:eastAsia="宋体" w:cs="宋体"/>
                <w:i w:val="0"/>
                <w:iCs w:val="0"/>
                <w:color w:val="000000"/>
                <w:sz w:val="24"/>
                <w:szCs w:val="24"/>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C183">
            <w:pPr>
              <w:rPr>
                <w:rFonts w:hint="eastAsia" w:ascii="宋体" w:hAnsi="宋体" w:eastAsia="宋体" w:cs="宋体"/>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4ED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500121307</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E3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农林水支出/农村综合改革</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2A017">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CF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F819">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F64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8BA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w:t>
            </w: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FAC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5045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84.38</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A757">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BF151">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8969">
            <w:pP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94169">
            <w:pPr>
              <w:rPr>
                <w:rFonts w:hint="eastAsia" w:ascii="宋体" w:hAnsi="宋体" w:eastAsia="宋体" w:cs="宋体"/>
                <w:i w:val="0"/>
                <w:iCs w:val="0"/>
                <w:color w:val="000000"/>
                <w:sz w:val="24"/>
                <w:szCs w:val="24"/>
                <w:u w:val="none"/>
              </w:rPr>
            </w:pPr>
          </w:p>
        </w:tc>
      </w:tr>
      <w:tr w14:paraId="41F4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A0BB7">
            <w:pPr>
              <w:rPr>
                <w:rFonts w:hint="eastAsia" w:ascii="宋体" w:hAnsi="宋体" w:eastAsia="宋体" w:cs="宋体"/>
                <w:i w:val="0"/>
                <w:iCs w:val="0"/>
                <w:color w:val="000000"/>
                <w:sz w:val="24"/>
                <w:szCs w:val="24"/>
                <w:u w:val="none"/>
              </w:rPr>
            </w:pPr>
          </w:p>
        </w:tc>
        <w:tc>
          <w:tcPr>
            <w:tcW w:w="1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926A">
            <w:pPr>
              <w:rPr>
                <w:rFonts w:hint="eastAsia" w:ascii="宋体" w:hAnsi="宋体" w:eastAsia="宋体" w:cs="宋体"/>
                <w:i w:val="0"/>
                <w:iCs w:val="0"/>
                <w:color w:val="000000"/>
                <w:sz w:val="24"/>
                <w:szCs w:val="24"/>
                <w:u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A7C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500122999</w:t>
            </w:r>
          </w:p>
        </w:tc>
        <w:tc>
          <w:tcPr>
            <w:tcW w:w="1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948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其他支出/其他支出</w:t>
            </w:r>
          </w:p>
        </w:tc>
        <w:tc>
          <w:tcPr>
            <w:tcW w:w="8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1B41">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52E0C">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AB9F4">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ADE5">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w:t>
            </w:r>
          </w:p>
        </w:tc>
        <w:tc>
          <w:tcPr>
            <w:tcW w:w="4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D4E3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c>
          <w:tcPr>
            <w:tcW w:w="10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5668">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w:t>
            </w:r>
          </w:p>
        </w:tc>
        <w:tc>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30380">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w:t>
            </w:r>
          </w:p>
        </w:tc>
        <w:tc>
          <w:tcPr>
            <w:tcW w:w="8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18A8C">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6E4A7">
            <w:pPr>
              <w:rPr>
                <w:rFonts w:hint="eastAsia" w:ascii="宋体" w:hAnsi="宋体" w:eastAsia="宋体" w:cs="宋体"/>
                <w:i w:val="0"/>
                <w:iCs w:val="0"/>
                <w:color w:val="000000"/>
                <w:sz w:val="24"/>
                <w:szCs w:val="24"/>
                <w:u w:val="none"/>
              </w:rPr>
            </w:pP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8B9C8">
            <w:pPr>
              <w:rPr>
                <w:rFonts w:hint="eastAsia" w:ascii="宋体" w:hAnsi="宋体" w:eastAsia="宋体" w:cs="宋体"/>
                <w:i w:val="0"/>
                <w:iCs w:val="0"/>
                <w:color w:val="000000"/>
                <w:sz w:val="24"/>
                <w:szCs w:val="24"/>
                <w:u w:val="none"/>
              </w:rPr>
            </w:pPr>
          </w:p>
        </w:tc>
        <w:tc>
          <w:tcPr>
            <w:tcW w:w="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9EBB">
            <w:pPr>
              <w:rPr>
                <w:rFonts w:hint="eastAsia" w:ascii="宋体" w:hAnsi="宋体" w:eastAsia="宋体" w:cs="宋体"/>
                <w:i w:val="0"/>
                <w:iCs w:val="0"/>
                <w:color w:val="000000"/>
                <w:sz w:val="24"/>
                <w:szCs w:val="24"/>
                <w:u w:val="none"/>
              </w:rPr>
            </w:pPr>
          </w:p>
        </w:tc>
      </w:tr>
    </w:tbl>
    <w:p w14:paraId="3BCA47E2">
      <w:pPr>
        <w:tabs>
          <w:tab w:val="left" w:pos="7513"/>
        </w:tabs>
        <w:adjustRightInd w:val="0"/>
        <w:snapToGrid w:val="0"/>
        <w:spacing w:line="600" w:lineRule="exact"/>
        <w:rPr>
          <w:rFonts w:hint="eastAsia" w:ascii="仿宋" w:hAnsi="仿宋" w:eastAsia="仿宋"/>
          <w:sz w:val="32"/>
          <w:szCs w:val="32"/>
        </w:rPr>
        <w:sectPr>
          <w:pgSz w:w="16838" w:h="11906" w:orient="landscape"/>
          <w:pgMar w:top="1800" w:right="1440" w:bottom="1800" w:left="1440" w:header="851" w:footer="992" w:gutter="0"/>
          <w:pgNumType w:fmt="decimal"/>
          <w:cols w:space="425" w:num="1"/>
          <w:docGrid w:type="lines" w:linePitch="312" w:charSpace="0"/>
        </w:sectPr>
      </w:pPr>
    </w:p>
    <w:p w14:paraId="6152F46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四、财政拨款收支预算总表</w:t>
      </w:r>
    </w:p>
    <w:tbl>
      <w:tblPr>
        <w:tblStyle w:val="9"/>
        <w:tblW w:w="106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69"/>
        <w:gridCol w:w="1759"/>
        <w:gridCol w:w="3273"/>
        <w:gridCol w:w="2849"/>
      </w:tblGrid>
      <w:tr w14:paraId="55A0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10650" w:type="dxa"/>
            <w:gridSpan w:val="4"/>
            <w:tcBorders>
              <w:top w:val="nil"/>
              <w:left w:val="nil"/>
              <w:bottom w:val="nil"/>
              <w:right w:val="nil"/>
            </w:tcBorders>
            <w:shd w:val="clear" w:color="auto" w:fill="auto"/>
            <w:noWrap/>
            <w:vAlign w:val="center"/>
          </w:tcPr>
          <w:p w14:paraId="612AD407">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年度财政拨款收支预算总表</w:t>
            </w:r>
          </w:p>
        </w:tc>
      </w:tr>
      <w:tr w14:paraId="697D8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bottom"/>
          </w:tcPr>
          <w:p w14:paraId="0BE7ED1D">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bottom"/>
          </w:tcPr>
          <w:p w14:paraId="626ACA18">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bottom"/>
          </w:tcPr>
          <w:p w14:paraId="097330B3">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8F999E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19494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73975">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1583">
            <w:pPr>
              <w:jc w:val="both"/>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CC25">
            <w:pPr>
              <w:keepNext w:val="0"/>
              <w:keepLines w:val="0"/>
              <w:widowControl/>
              <w:suppressLineNumbers w:val="0"/>
              <w:jc w:val="both"/>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77D1">
            <w:pPr>
              <w:jc w:val="both"/>
              <w:rPr>
                <w:rFonts w:hint="eastAsia" w:ascii="宋体" w:hAnsi="宋体" w:eastAsia="宋体" w:cs="宋体"/>
                <w:b/>
                <w:bCs/>
                <w:i w:val="0"/>
                <w:iCs w:val="0"/>
                <w:color w:val="000000"/>
                <w:sz w:val="22"/>
                <w:szCs w:val="22"/>
                <w:u w:val="none"/>
              </w:rPr>
            </w:pPr>
          </w:p>
        </w:tc>
      </w:tr>
      <w:tr w14:paraId="1CFE0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E5E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收入项目类别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C35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1D6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支出项目类别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D47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511E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519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一、一般公共预算拨款</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0F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7F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一、基本支出</w:t>
            </w:r>
          </w:p>
        </w:tc>
        <w:tc>
          <w:tcPr>
            <w:tcW w:w="23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AC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r>
              <w:rPr>
                <w:rFonts w:hint="eastAsia" w:ascii="宋体" w:hAnsi="宋体" w:eastAsia="宋体" w:cs="宋体"/>
                <w:i w:val="0"/>
                <w:iCs w:val="0"/>
                <w:color w:val="000000"/>
                <w:kern w:val="0"/>
                <w:sz w:val="22"/>
                <w:szCs w:val="22"/>
                <w:u w:val="none"/>
                <w:lang w:val="en-US" w:eastAsia="zh-CN" w:bidi="ar"/>
              </w:rPr>
              <w:t xml:space="preserve"> </w:t>
            </w:r>
          </w:p>
        </w:tc>
      </w:tr>
      <w:tr w14:paraId="1A8A5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3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二、基金预算财政拨款</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F30E3">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E2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人员支出</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3D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365.81</w:t>
            </w:r>
          </w:p>
        </w:tc>
      </w:tr>
      <w:tr w14:paraId="7C9AA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149F4">
            <w:pPr>
              <w:rPr>
                <w:rFonts w:hint="eastAsia" w:ascii="宋体" w:hAnsi="宋体" w:eastAsia="宋体" w:cs="宋体"/>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A904">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F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对个人和家庭补助支出</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D6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91.12 </w:t>
            </w:r>
          </w:p>
        </w:tc>
      </w:tr>
      <w:tr w14:paraId="28B2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8A69A">
            <w:pPr>
              <w:rPr>
                <w:rFonts w:hint="eastAsia" w:ascii="宋体" w:hAnsi="宋体" w:eastAsia="宋体" w:cs="宋体"/>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5A9D9">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1C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公用支出</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5E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183.97 </w:t>
            </w:r>
          </w:p>
        </w:tc>
      </w:tr>
      <w:tr w14:paraId="1D09F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BE399">
            <w:pPr>
              <w:rPr>
                <w:rFonts w:hint="eastAsia" w:ascii="宋体" w:hAnsi="宋体" w:eastAsia="宋体" w:cs="宋体"/>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9B6F">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4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二、项目支出</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D957">
            <w:pPr>
              <w:jc w:val="right"/>
              <w:rPr>
                <w:rFonts w:hint="eastAsia" w:ascii="宋体" w:hAnsi="宋体" w:eastAsia="宋体" w:cs="宋体"/>
                <w:i w:val="0"/>
                <w:iCs w:val="0"/>
                <w:color w:val="000000"/>
                <w:sz w:val="22"/>
                <w:szCs w:val="22"/>
                <w:u w:val="none"/>
              </w:rPr>
            </w:pPr>
          </w:p>
        </w:tc>
      </w:tr>
      <w:tr w14:paraId="1D218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81A0">
            <w:pPr>
              <w:rPr>
                <w:rFonts w:hint="eastAsia" w:ascii="宋体" w:hAnsi="宋体" w:eastAsia="宋体" w:cs="宋体"/>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67D6C">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F420">
            <w:pPr>
              <w:rPr>
                <w:rFonts w:hint="eastAsia" w:ascii="宋体" w:hAnsi="宋体" w:eastAsia="宋体" w:cs="宋体"/>
                <w:i w:val="0"/>
                <w:iCs w:val="0"/>
                <w:color w:val="000000"/>
                <w:sz w:val="22"/>
                <w:szCs w:val="22"/>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24BD">
            <w:pPr>
              <w:jc w:val="right"/>
              <w:rPr>
                <w:rFonts w:hint="eastAsia" w:ascii="宋体" w:hAnsi="宋体" w:eastAsia="宋体" w:cs="宋体"/>
                <w:i w:val="0"/>
                <w:iCs w:val="0"/>
                <w:color w:val="000000"/>
                <w:sz w:val="22"/>
                <w:szCs w:val="22"/>
                <w:u w:val="none"/>
              </w:rPr>
            </w:pPr>
          </w:p>
        </w:tc>
      </w:tr>
      <w:tr w14:paraId="412D0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36D08">
            <w:pPr>
              <w:rPr>
                <w:rFonts w:hint="eastAsia" w:ascii="宋体" w:hAnsi="宋体" w:eastAsia="宋体" w:cs="宋体"/>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2BB2">
            <w:pPr>
              <w:jc w:val="righ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3350">
            <w:pPr>
              <w:rPr>
                <w:rFonts w:hint="eastAsia" w:ascii="宋体" w:hAnsi="宋体" w:eastAsia="宋体" w:cs="宋体"/>
                <w:i w:val="0"/>
                <w:iCs w:val="0"/>
                <w:color w:val="000000"/>
                <w:sz w:val="22"/>
                <w:szCs w:val="22"/>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2550A">
            <w:pPr>
              <w:jc w:val="right"/>
              <w:rPr>
                <w:rFonts w:hint="eastAsia" w:ascii="宋体" w:hAnsi="宋体" w:eastAsia="宋体" w:cs="宋体"/>
                <w:i w:val="0"/>
                <w:iCs w:val="0"/>
                <w:color w:val="000000"/>
                <w:sz w:val="22"/>
                <w:szCs w:val="22"/>
                <w:u w:val="none"/>
              </w:rPr>
            </w:pPr>
          </w:p>
        </w:tc>
      </w:tr>
      <w:tr w14:paraId="0734D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394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E8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AB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支出合计</w:t>
            </w:r>
          </w:p>
        </w:tc>
        <w:tc>
          <w:tcPr>
            <w:tcW w:w="2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4F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p>
        </w:tc>
      </w:tr>
    </w:tbl>
    <w:p w14:paraId="68298389">
      <w:pPr>
        <w:tabs>
          <w:tab w:val="left" w:pos="7513"/>
        </w:tabs>
        <w:adjustRightInd w:val="0"/>
        <w:snapToGrid w:val="0"/>
        <w:spacing w:line="600" w:lineRule="exact"/>
        <w:rPr>
          <w:rFonts w:hint="eastAsia" w:ascii="仿宋" w:hAnsi="仿宋" w:eastAsia="仿宋"/>
          <w:sz w:val="32"/>
          <w:szCs w:val="32"/>
        </w:rPr>
      </w:pPr>
    </w:p>
    <w:p w14:paraId="75B2292D">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五、一般公共预算拨款支出预算表</w:t>
      </w:r>
    </w:p>
    <w:tbl>
      <w:tblPr>
        <w:tblStyle w:val="9"/>
        <w:tblW w:w="90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65"/>
        <w:gridCol w:w="1680"/>
        <w:gridCol w:w="1500"/>
        <w:gridCol w:w="1695"/>
        <w:gridCol w:w="1905"/>
      </w:tblGrid>
      <w:tr w14:paraId="491E3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9045" w:type="dxa"/>
            <w:gridSpan w:val="5"/>
            <w:tcBorders>
              <w:top w:val="nil"/>
              <w:left w:val="nil"/>
              <w:bottom w:val="nil"/>
              <w:right w:val="nil"/>
            </w:tcBorders>
            <w:shd w:val="clear" w:color="auto" w:fill="auto"/>
            <w:noWrap/>
            <w:vAlign w:val="center"/>
          </w:tcPr>
          <w:p w14:paraId="35428F4B">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年度一般公共预算拨款支出预算表</w:t>
            </w:r>
          </w:p>
        </w:tc>
      </w:tr>
      <w:tr w14:paraId="3EFB9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178A1807">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FF6E0C8">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A80C540">
            <w:pPr>
              <w:rPr>
                <w:rFonts w:hint="eastAsia" w:ascii="宋体" w:hAnsi="宋体" w:eastAsia="宋体" w:cs="宋体"/>
                <w:i w:val="0"/>
                <w:iCs w:val="0"/>
                <w:color w:val="000000"/>
                <w:sz w:val="24"/>
                <w:szCs w:val="24"/>
                <w:u w:val="none"/>
              </w:rPr>
            </w:pPr>
          </w:p>
        </w:tc>
        <w:tc>
          <w:tcPr>
            <w:tcW w:w="1695" w:type="dxa"/>
            <w:tcBorders>
              <w:top w:val="nil"/>
              <w:left w:val="nil"/>
              <w:bottom w:val="nil"/>
              <w:right w:val="nil"/>
            </w:tcBorders>
            <w:shd w:val="clear" w:color="auto" w:fill="auto"/>
            <w:noWrap/>
            <w:vAlign w:val="center"/>
          </w:tcPr>
          <w:p w14:paraId="63DDF621">
            <w:pPr>
              <w:rPr>
                <w:rFonts w:hint="eastAsia" w:ascii="宋体" w:hAnsi="宋体" w:eastAsia="宋体" w:cs="宋体"/>
                <w:i w:val="0"/>
                <w:iCs w:val="0"/>
                <w:color w:val="000000"/>
                <w:sz w:val="24"/>
                <w:szCs w:val="24"/>
                <w:u w:val="none"/>
              </w:rPr>
            </w:pPr>
          </w:p>
        </w:tc>
        <w:tc>
          <w:tcPr>
            <w:tcW w:w="1905" w:type="dxa"/>
            <w:tcBorders>
              <w:top w:val="nil"/>
              <w:left w:val="nil"/>
              <w:bottom w:val="nil"/>
              <w:right w:val="nil"/>
            </w:tcBorders>
            <w:shd w:val="clear" w:color="auto" w:fill="auto"/>
            <w:noWrap/>
            <w:vAlign w:val="center"/>
          </w:tcPr>
          <w:p w14:paraId="4BB157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5BE9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2AA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6C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6DB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BFE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其中：</w:t>
            </w:r>
          </w:p>
        </w:tc>
      </w:tr>
      <w:tr w14:paraId="02000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1E50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9B5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781E">
            <w:pPr>
              <w:jc w:val="center"/>
              <w:rPr>
                <w:rFonts w:hint="eastAsia" w:ascii="宋体" w:hAnsi="宋体" w:eastAsia="宋体" w:cs="宋体"/>
                <w:b/>
                <w:bCs/>
                <w:i w:val="0"/>
                <w:iCs w:val="0"/>
                <w:color w:val="000000"/>
                <w:sz w:val="22"/>
                <w:szCs w:val="22"/>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6F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011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AD85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0D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71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0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AE6D0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DAB3C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F0B0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BCC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500120103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BA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一般公共服务支出/政府办公厅（室）及相关机构事务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7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431.52 </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2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431.52 </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2D672341">
            <w:pPr>
              <w:rPr>
                <w:rFonts w:hint="eastAsia" w:ascii="宋体" w:hAnsi="宋体" w:eastAsia="宋体" w:cs="宋体"/>
                <w:i w:val="0"/>
                <w:iCs w:val="0"/>
                <w:color w:val="000000"/>
                <w:sz w:val="22"/>
                <w:szCs w:val="22"/>
                <w:u w:val="none"/>
              </w:rPr>
            </w:pPr>
          </w:p>
        </w:tc>
      </w:tr>
      <w:tr w14:paraId="4306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9A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500121307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01D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农林水支出/农村综合改革</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2C9FD">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84.38</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BA3AE">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84.38</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EF3EE2">
            <w:pPr>
              <w:rPr>
                <w:rFonts w:hint="eastAsia" w:ascii="宋体" w:hAnsi="宋体" w:eastAsia="宋体" w:cs="宋体"/>
                <w:i w:val="0"/>
                <w:iCs w:val="0"/>
                <w:color w:val="000000"/>
                <w:sz w:val="22"/>
                <w:szCs w:val="22"/>
                <w:u w:val="none"/>
              </w:rPr>
            </w:pPr>
          </w:p>
        </w:tc>
      </w:tr>
      <w:tr w14:paraId="303C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F4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500122999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34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其他支出/其他支出</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2DC4">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125</w:t>
            </w: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3786">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125</w:t>
            </w:r>
          </w:p>
        </w:tc>
        <w:tc>
          <w:tcPr>
            <w:tcW w:w="190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1964E4">
            <w:pPr>
              <w:rPr>
                <w:rFonts w:hint="eastAsia" w:ascii="宋体" w:hAnsi="宋体" w:eastAsia="宋体" w:cs="宋体"/>
                <w:i w:val="0"/>
                <w:iCs w:val="0"/>
                <w:color w:val="000000"/>
                <w:sz w:val="22"/>
                <w:szCs w:val="22"/>
                <w:u w:val="none"/>
              </w:rPr>
            </w:pPr>
          </w:p>
        </w:tc>
      </w:tr>
    </w:tbl>
    <w:p w14:paraId="1F15A82E">
      <w:pPr>
        <w:tabs>
          <w:tab w:val="left" w:pos="7513"/>
        </w:tabs>
        <w:adjustRightInd w:val="0"/>
        <w:snapToGrid w:val="0"/>
        <w:spacing w:line="600" w:lineRule="exact"/>
        <w:rPr>
          <w:rFonts w:hint="eastAsia" w:ascii="仿宋" w:hAnsi="仿宋" w:eastAsia="仿宋"/>
          <w:sz w:val="32"/>
          <w:szCs w:val="32"/>
        </w:rPr>
      </w:pPr>
    </w:p>
    <w:p w14:paraId="0A19A2CC">
      <w:pPr>
        <w:tabs>
          <w:tab w:val="left" w:pos="7513"/>
        </w:tabs>
        <w:adjustRightInd w:val="0"/>
        <w:snapToGrid w:val="0"/>
        <w:spacing w:line="600" w:lineRule="exact"/>
        <w:rPr>
          <w:rFonts w:hint="eastAsia" w:ascii="仿宋" w:hAnsi="仿宋" w:eastAsia="仿宋"/>
          <w:sz w:val="32"/>
          <w:szCs w:val="32"/>
        </w:rPr>
      </w:pPr>
    </w:p>
    <w:p w14:paraId="31431153">
      <w:pPr>
        <w:tabs>
          <w:tab w:val="left" w:pos="7513"/>
        </w:tabs>
        <w:adjustRightInd w:val="0"/>
        <w:snapToGrid w:val="0"/>
        <w:spacing w:line="600" w:lineRule="exact"/>
        <w:rPr>
          <w:rFonts w:hint="eastAsia" w:ascii="仿宋" w:hAnsi="仿宋" w:eastAsia="仿宋"/>
          <w:sz w:val="32"/>
          <w:szCs w:val="32"/>
        </w:rPr>
      </w:pPr>
    </w:p>
    <w:p w14:paraId="70D8080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六、政府性基金拨款支出预算表</w:t>
      </w:r>
    </w:p>
    <w:tbl>
      <w:tblPr>
        <w:tblStyle w:val="9"/>
        <w:tblW w:w="102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31"/>
        <w:gridCol w:w="2131"/>
        <w:gridCol w:w="1274"/>
        <w:gridCol w:w="2131"/>
        <w:gridCol w:w="2548"/>
      </w:tblGrid>
      <w:tr w14:paraId="79921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9" w:hRule="atLeast"/>
          <w:jc w:val="center"/>
        </w:trPr>
        <w:tc>
          <w:tcPr>
            <w:tcW w:w="10215" w:type="dxa"/>
            <w:gridSpan w:val="5"/>
            <w:tcBorders>
              <w:top w:val="nil"/>
              <w:left w:val="nil"/>
              <w:bottom w:val="nil"/>
              <w:right w:val="nil"/>
            </w:tcBorders>
            <w:shd w:val="clear" w:color="auto" w:fill="auto"/>
            <w:noWrap/>
            <w:vAlign w:val="center"/>
          </w:tcPr>
          <w:p w14:paraId="2C3D443B">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年度政府性基金拨款支出预算表</w:t>
            </w:r>
          </w:p>
        </w:tc>
      </w:tr>
      <w:tr w14:paraId="4F2D2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0" w:type="auto"/>
            <w:tcBorders>
              <w:top w:val="nil"/>
              <w:left w:val="nil"/>
              <w:bottom w:val="nil"/>
              <w:right w:val="nil"/>
            </w:tcBorders>
            <w:shd w:val="clear" w:color="auto" w:fill="auto"/>
            <w:noWrap/>
            <w:vAlign w:val="center"/>
          </w:tcPr>
          <w:p w14:paraId="4DADFB78">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A7FC48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818F72C">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83250D6">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96EE4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0302F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2E1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6D0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8E86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C13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其中：</w:t>
            </w:r>
          </w:p>
        </w:tc>
      </w:tr>
      <w:tr w14:paraId="281E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B4D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775D4">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3EBA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8F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A38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D325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C5E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551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60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03B9A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A6FEF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6D4B3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B565">
            <w:pPr>
              <w:jc w:val="left"/>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27E1">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EDFB3">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2345F5">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899815">
            <w:pPr>
              <w:rPr>
                <w:rFonts w:hint="eastAsia" w:ascii="宋体" w:hAnsi="宋体" w:eastAsia="宋体" w:cs="宋体"/>
                <w:i w:val="0"/>
                <w:iCs w:val="0"/>
                <w:color w:val="000000"/>
                <w:sz w:val="22"/>
                <w:szCs w:val="22"/>
                <w:u w:val="none"/>
              </w:rPr>
            </w:pPr>
          </w:p>
        </w:tc>
      </w:tr>
    </w:tbl>
    <w:p w14:paraId="37312F0F">
      <w:pPr>
        <w:tabs>
          <w:tab w:val="left" w:pos="7513"/>
        </w:tabs>
        <w:adjustRightInd w:val="0"/>
        <w:snapToGrid w:val="0"/>
        <w:spacing w:line="600" w:lineRule="exact"/>
        <w:rPr>
          <w:rFonts w:hint="eastAsia" w:ascii="仿宋" w:hAnsi="仿宋" w:eastAsia="仿宋"/>
          <w:sz w:val="32"/>
          <w:szCs w:val="32"/>
        </w:rPr>
      </w:pPr>
    </w:p>
    <w:p w14:paraId="21E2F9E6">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七、一般公共预算支出经济分类情况表</w:t>
      </w:r>
    </w:p>
    <w:tbl>
      <w:tblPr>
        <w:tblStyle w:val="9"/>
        <w:tblW w:w="100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55"/>
        <w:gridCol w:w="4350"/>
        <w:gridCol w:w="3675"/>
      </w:tblGrid>
      <w:tr w14:paraId="33284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3" w:hRule="atLeast"/>
          <w:jc w:val="center"/>
        </w:trPr>
        <w:tc>
          <w:tcPr>
            <w:tcW w:w="10080" w:type="dxa"/>
            <w:gridSpan w:val="3"/>
            <w:tcBorders>
              <w:top w:val="nil"/>
              <w:left w:val="nil"/>
              <w:bottom w:val="nil"/>
              <w:right w:val="nil"/>
            </w:tcBorders>
            <w:shd w:val="clear" w:color="auto" w:fill="FFFFFF"/>
            <w:noWrap/>
            <w:vAlign w:val="center"/>
          </w:tcPr>
          <w:p w14:paraId="4D5E5D32">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年度一般公共预算支出经济分类情况表</w:t>
            </w:r>
          </w:p>
        </w:tc>
      </w:tr>
      <w:tr w14:paraId="72A42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0" w:type="auto"/>
            <w:tcBorders>
              <w:top w:val="nil"/>
              <w:left w:val="nil"/>
              <w:bottom w:val="nil"/>
              <w:right w:val="nil"/>
            </w:tcBorders>
            <w:shd w:val="clear" w:color="auto" w:fill="FFFFFF"/>
            <w:noWrap/>
            <w:vAlign w:val="center"/>
          </w:tcPr>
          <w:p w14:paraId="402B9BC8">
            <w:pPr>
              <w:jc w:val="lef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6DB84A2">
            <w:pPr>
              <w:jc w:val="right"/>
              <w:rPr>
                <w:rFonts w:hint="eastAsia" w:ascii="宋体" w:hAnsi="宋体" w:eastAsia="宋体" w:cs="宋体"/>
                <w:i w:val="0"/>
                <w:iCs w:val="0"/>
                <w:color w:val="000000"/>
                <w:sz w:val="20"/>
                <w:szCs w:val="20"/>
                <w:u w:val="none"/>
              </w:rPr>
            </w:pPr>
          </w:p>
        </w:tc>
        <w:tc>
          <w:tcPr>
            <w:tcW w:w="0" w:type="auto"/>
            <w:tcBorders>
              <w:top w:val="nil"/>
              <w:left w:val="nil"/>
              <w:bottom w:val="nil"/>
              <w:right w:val="nil"/>
            </w:tcBorders>
            <w:shd w:val="clear" w:color="auto" w:fill="FFFFFF"/>
            <w:noWrap/>
            <w:vAlign w:val="center"/>
          </w:tcPr>
          <w:p w14:paraId="22CC1716">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2B735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55A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7E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3D9A0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6792B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CFC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14BF">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i w:val="0"/>
                <w:iCs w:val="0"/>
                <w:color w:val="000000"/>
                <w:kern w:val="0"/>
                <w:sz w:val="24"/>
                <w:szCs w:val="24"/>
                <w:u w:val="none"/>
                <w:lang w:val="en-US" w:eastAsia="zh-CN" w:bidi="ar"/>
              </w:rPr>
              <w:t>640.9</w:t>
            </w:r>
          </w:p>
        </w:tc>
      </w:tr>
      <w:tr w14:paraId="1ECE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40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301</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1FF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D38C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365.81</w:t>
            </w:r>
          </w:p>
        </w:tc>
      </w:tr>
      <w:tr w14:paraId="63DF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7E7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302</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111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商品和服务支出</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1338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 xml:space="preserve">88.97 </w:t>
            </w:r>
          </w:p>
        </w:tc>
      </w:tr>
      <w:tr w14:paraId="0A730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9F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303</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25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对个人和家庭的补助</w:t>
            </w:r>
          </w:p>
        </w:tc>
        <w:tc>
          <w:tcPr>
            <w:tcW w:w="3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074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 xml:space="preserve">91.12 </w:t>
            </w:r>
          </w:p>
        </w:tc>
      </w:tr>
      <w:tr w14:paraId="06C23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887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307</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C18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0F39F">
            <w:pPr>
              <w:jc w:val="right"/>
              <w:rPr>
                <w:rFonts w:hint="eastAsia" w:ascii="宋体" w:hAnsi="宋体" w:eastAsia="宋体" w:cs="宋体"/>
                <w:i w:val="0"/>
                <w:iCs w:val="0"/>
                <w:color w:val="000000"/>
                <w:sz w:val="22"/>
                <w:szCs w:val="22"/>
                <w:u w:val="none"/>
              </w:rPr>
            </w:pPr>
          </w:p>
        </w:tc>
      </w:tr>
      <w:tr w14:paraId="6408A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62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309</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15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资本性支出（基本建设）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B3DD">
            <w:pPr>
              <w:jc w:val="right"/>
              <w:rPr>
                <w:rFonts w:hint="eastAsia" w:ascii="宋体" w:hAnsi="宋体" w:eastAsia="宋体" w:cs="宋体"/>
                <w:i w:val="0"/>
                <w:iCs w:val="0"/>
                <w:color w:val="000000"/>
                <w:sz w:val="22"/>
                <w:szCs w:val="22"/>
                <w:u w:val="none"/>
              </w:rPr>
            </w:pPr>
          </w:p>
        </w:tc>
      </w:tr>
      <w:tr w14:paraId="6A5F6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202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310</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70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8946">
            <w:pPr>
              <w:jc w:val="right"/>
              <w:rPr>
                <w:rFonts w:hint="eastAsia" w:ascii="宋体" w:hAnsi="宋体" w:eastAsia="宋体" w:cs="宋体"/>
                <w:i w:val="0"/>
                <w:iCs w:val="0"/>
                <w:color w:val="000000"/>
                <w:sz w:val="22"/>
                <w:szCs w:val="22"/>
                <w:u w:val="none"/>
              </w:rPr>
            </w:pPr>
          </w:p>
        </w:tc>
      </w:tr>
      <w:tr w14:paraId="7FA8E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ACA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311</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72C9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对企业补助（基本建设）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FB908">
            <w:pPr>
              <w:jc w:val="right"/>
              <w:rPr>
                <w:rFonts w:hint="eastAsia" w:ascii="宋体" w:hAnsi="宋体" w:eastAsia="宋体" w:cs="宋体"/>
                <w:i w:val="0"/>
                <w:iCs w:val="0"/>
                <w:color w:val="000000"/>
                <w:sz w:val="22"/>
                <w:szCs w:val="22"/>
                <w:u w:val="none"/>
              </w:rPr>
            </w:pPr>
          </w:p>
        </w:tc>
      </w:tr>
      <w:tr w14:paraId="3A8B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0C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312</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EFB5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对企业补助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AD66D">
            <w:pPr>
              <w:jc w:val="right"/>
              <w:rPr>
                <w:rFonts w:hint="eastAsia" w:ascii="宋体" w:hAnsi="宋体" w:eastAsia="宋体" w:cs="宋体"/>
                <w:i w:val="0"/>
                <w:iCs w:val="0"/>
                <w:color w:val="000000"/>
                <w:sz w:val="22"/>
                <w:szCs w:val="22"/>
                <w:u w:val="none"/>
              </w:rPr>
            </w:pPr>
          </w:p>
        </w:tc>
      </w:tr>
      <w:tr w14:paraId="72E0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DDD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313</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2B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对社会保障基金补助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ECE7">
            <w:pPr>
              <w:rPr>
                <w:rFonts w:hint="eastAsia" w:ascii="宋体" w:hAnsi="宋体" w:eastAsia="宋体" w:cs="宋体"/>
                <w:i w:val="0"/>
                <w:iCs w:val="0"/>
                <w:color w:val="000000"/>
                <w:sz w:val="24"/>
                <w:szCs w:val="24"/>
                <w:u w:val="none"/>
              </w:rPr>
            </w:pPr>
          </w:p>
        </w:tc>
      </w:tr>
      <w:tr w14:paraId="35E45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1024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399</w:t>
            </w:r>
          </w:p>
        </w:tc>
        <w:tc>
          <w:tcPr>
            <w:tcW w:w="4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EB8A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E188">
            <w:pPr>
              <w:keepNext w:val="0"/>
              <w:keepLines w:val="0"/>
              <w:widowControl/>
              <w:suppressLineNumbers w:val="0"/>
              <w:jc w:val="righ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95</w:t>
            </w:r>
          </w:p>
        </w:tc>
      </w:tr>
    </w:tbl>
    <w:p w14:paraId="72D6B310">
      <w:pPr>
        <w:tabs>
          <w:tab w:val="left" w:pos="7513"/>
        </w:tabs>
        <w:adjustRightInd w:val="0"/>
        <w:snapToGrid w:val="0"/>
        <w:spacing w:line="600" w:lineRule="exact"/>
        <w:rPr>
          <w:rFonts w:hint="eastAsia" w:ascii="仿宋" w:hAnsi="仿宋" w:eastAsia="仿宋"/>
          <w:sz w:val="32"/>
          <w:szCs w:val="32"/>
        </w:rPr>
      </w:pPr>
    </w:p>
    <w:p w14:paraId="28EBCF2D">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八、一般公共预算基本支出经济分类情况表</w:t>
      </w:r>
    </w:p>
    <w:tbl>
      <w:tblPr>
        <w:tblStyle w:val="9"/>
        <w:tblW w:w="98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15"/>
        <w:gridCol w:w="4455"/>
        <w:gridCol w:w="3270"/>
      </w:tblGrid>
      <w:tr w14:paraId="32A27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9840" w:type="dxa"/>
            <w:gridSpan w:val="3"/>
            <w:tcBorders>
              <w:top w:val="nil"/>
              <w:left w:val="nil"/>
              <w:bottom w:val="nil"/>
              <w:right w:val="nil"/>
            </w:tcBorders>
            <w:shd w:val="clear" w:color="auto" w:fill="auto"/>
            <w:noWrap/>
            <w:vAlign w:val="center"/>
          </w:tcPr>
          <w:p w14:paraId="2F94E3DB">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年度一般公共预算基本支出经济分类情况表</w:t>
            </w:r>
          </w:p>
        </w:tc>
      </w:tr>
      <w:tr w14:paraId="784C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0" w:type="auto"/>
            <w:tcBorders>
              <w:top w:val="nil"/>
              <w:left w:val="nil"/>
              <w:bottom w:val="nil"/>
              <w:right w:val="nil"/>
            </w:tcBorders>
            <w:shd w:val="clear" w:color="auto" w:fill="auto"/>
            <w:noWrap/>
            <w:vAlign w:val="center"/>
          </w:tcPr>
          <w:p w14:paraId="2C94CFEA">
            <w:pPr>
              <w:rPr>
                <w:rFonts w:hint="eastAsia" w:ascii="Arial" w:hAnsi="Arial" w:eastAsia="宋体" w:cs="Arial"/>
                <w:i w:val="0"/>
                <w:iCs w:val="0"/>
                <w:color w:val="000000"/>
                <w:sz w:val="20"/>
                <w:szCs w:val="20"/>
                <w:u w:val="none"/>
              </w:rPr>
            </w:pPr>
          </w:p>
        </w:tc>
        <w:tc>
          <w:tcPr>
            <w:tcW w:w="0" w:type="auto"/>
            <w:gridSpan w:val="2"/>
            <w:tcBorders>
              <w:top w:val="nil"/>
              <w:left w:val="nil"/>
              <w:bottom w:val="nil"/>
              <w:right w:val="nil"/>
            </w:tcBorders>
            <w:shd w:val="clear" w:color="auto" w:fill="auto"/>
            <w:noWrap/>
            <w:vAlign w:val="center"/>
          </w:tcPr>
          <w:p w14:paraId="3B158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46BD4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24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 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56D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76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49FDE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538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019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i w:val="0"/>
                <w:iCs w:val="0"/>
                <w:color w:val="000000"/>
                <w:kern w:val="0"/>
                <w:sz w:val="24"/>
                <w:szCs w:val="24"/>
                <w:u w:val="none"/>
                <w:lang w:val="en-US" w:eastAsia="zh-CN" w:bidi="ar"/>
              </w:rPr>
              <w:t>640.9</w:t>
            </w:r>
          </w:p>
        </w:tc>
      </w:tr>
      <w:tr w14:paraId="522D5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181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ACB6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1A2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sz w:val="22"/>
                <w:szCs w:val="22"/>
                <w:u w:val="none"/>
                <w:lang w:val="en-US" w:eastAsia="zh-CN"/>
              </w:rPr>
              <w:t>365.81</w:t>
            </w:r>
          </w:p>
        </w:tc>
      </w:tr>
      <w:tr w14:paraId="69C6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21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38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0C6E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140.8</w:t>
            </w:r>
          </w:p>
        </w:tc>
      </w:tr>
      <w:tr w14:paraId="6C2D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C8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5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3A9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117.3</w:t>
            </w:r>
          </w:p>
        </w:tc>
      </w:tr>
      <w:tr w14:paraId="6F7A8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3F5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CA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77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3431E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7D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1F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07710">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r>
      <w:tr w14:paraId="077AC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93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52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4A9E">
            <w:pPr>
              <w:keepNext w:val="0"/>
              <w:keepLines w:val="0"/>
              <w:widowControl/>
              <w:suppressLineNumbers w:val="0"/>
              <w:jc w:val="right"/>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0</w:t>
            </w:r>
          </w:p>
        </w:tc>
      </w:tr>
      <w:tr w14:paraId="05A08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2F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27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3745">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38.53</w:t>
            </w:r>
          </w:p>
        </w:tc>
      </w:tr>
      <w:tr w14:paraId="4574B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3F0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0C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00AA">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w:t>
            </w:r>
          </w:p>
        </w:tc>
      </w:tr>
      <w:tr w14:paraId="3E2C1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4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EE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7601">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20.65</w:t>
            </w:r>
          </w:p>
        </w:tc>
      </w:tr>
      <w:tr w14:paraId="7F607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0E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6C4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6D0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15.49</w:t>
            </w:r>
          </w:p>
        </w:tc>
      </w:tr>
      <w:tr w14:paraId="234DE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DE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A5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7EE9D">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2.07</w:t>
            </w:r>
          </w:p>
        </w:tc>
      </w:tr>
      <w:tr w14:paraId="6C9AE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3A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AE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A5E2">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30.97</w:t>
            </w:r>
          </w:p>
        </w:tc>
      </w:tr>
      <w:tr w14:paraId="5641C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73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081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9E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77DC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5A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7D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E7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80A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0726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D5D0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8AACD">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88.97</w:t>
            </w:r>
          </w:p>
        </w:tc>
      </w:tr>
      <w:tr w14:paraId="262B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2E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91D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4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86AF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6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2E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11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9E2B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EF5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4FA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7B8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18A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E5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BC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5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442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D3C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00D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893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6F04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5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04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2E9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4C3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3E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AE9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5F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800D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57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9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54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FB0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07D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89F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6C3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1250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3C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E10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F1E3">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w:t>
            </w:r>
          </w:p>
        </w:tc>
      </w:tr>
      <w:tr w14:paraId="08F0B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631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B5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187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3AEE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93F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0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E19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FE9F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2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A1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42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829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23B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B4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1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AF42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08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A32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705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w:t>
            </w:r>
          </w:p>
        </w:tc>
      </w:tr>
      <w:tr w14:paraId="739DC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9BD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B86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9D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981B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1F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D68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A94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244C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26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5A6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0CA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619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81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6CB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31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19F5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D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310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0E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3108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E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06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A3E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E21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5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E37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8097">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4.82</w:t>
            </w:r>
          </w:p>
        </w:tc>
      </w:tr>
      <w:tr w14:paraId="14CF4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0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97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007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7B60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EB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6FA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87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C4C3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06C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18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60C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65914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1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FD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510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2419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05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75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28E0F">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84.15</w:t>
            </w:r>
          </w:p>
        </w:tc>
      </w:tr>
      <w:tr w14:paraId="4C2FE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905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8F78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486DB">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91.12</w:t>
            </w:r>
          </w:p>
        </w:tc>
      </w:tr>
      <w:tr w14:paraId="722F2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CA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E4A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5BC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5B0C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3B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B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20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62014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1C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7D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69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C49E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685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46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88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A421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4B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B2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979C">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3.80</w:t>
            </w:r>
          </w:p>
        </w:tc>
      </w:tr>
      <w:tr w14:paraId="32FDE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23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539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0B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A87A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F1B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F2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E95B">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2.94</w:t>
            </w:r>
          </w:p>
        </w:tc>
      </w:tr>
      <w:tr w14:paraId="06EB1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2E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2A3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1A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5815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FBA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DC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072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1F3F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116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7F9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754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939C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491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339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DAEE">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84.38</w:t>
            </w:r>
          </w:p>
        </w:tc>
      </w:tr>
      <w:tr w14:paraId="760F0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9CEE2">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2E7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BE3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14:paraId="10F05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061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12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8BE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2AB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4F0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5DC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4C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C8D5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504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DFC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国内债务发行费用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A72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FC6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78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75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国外债务发行费用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99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DD55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A26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87A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资本性支出（基本建设）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3D6E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14:paraId="09523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C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D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124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57B8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4A2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66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31E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EF5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90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913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FA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E21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DA2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78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DA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3800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98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B8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8D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74AD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D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A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9CC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88B3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B2E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08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761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0D85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C5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D70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E22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CC5D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46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772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9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482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B0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28A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37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135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1CD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931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83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8139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31D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95E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其他基本建设支出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D2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6ACD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01BD4">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9CC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FBF6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14:paraId="59B7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EA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1D5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F40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C624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731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3A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E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2408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2D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A8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EE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D4BB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55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14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735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EA3C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471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DE1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C39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8F73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D9E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94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AA7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AA87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C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B5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2EC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DBE1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40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CD7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437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D4A1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97C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C4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8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A394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93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38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8C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B9E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3A8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AB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A9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6C1B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1FA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377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1A7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60C4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9C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A8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8D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566C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82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4B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A6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7FA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490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2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5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828D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2C8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88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8E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DC2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A18D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05496">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对企业补助（基本建设）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BD4E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14:paraId="3A393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B5F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AB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329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641F3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5A2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683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07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FE9E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FB7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00C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对企业补助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000B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14:paraId="4FCEE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D80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B5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资本金注入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2E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F2DC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A2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F5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政府投资基金股权投资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9D8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8BEF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8E6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59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费用补贴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0E8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C27D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6B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18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利息补贴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DED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4DC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4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C6C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其他对企业补助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32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8E0D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BF7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98E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对社会保障基金补助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0DF8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w:t>
            </w:r>
          </w:p>
        </w:tc>
      </w:tr>
      <w:tr w14:paraId="1658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E4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8D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对社会保险基金补助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F6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BC71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CB2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E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补充全国社会保障基金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243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02927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97FF8">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EF8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BC049">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95</w:t>
            </w:r>
          </w:p>
        </w:tc>
      </w:tr>
      <w:tr w14:paraId="24220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94C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3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D7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551B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02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32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B21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680F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383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C3A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B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5DCC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CF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25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26776">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95</w:t>
            </w:r>
          </w:p>
        </w:tc>
      </w:tr>
    </w:tbl>
    <w:p w14:paraId="5011B746">
      <w:pPr>
        <w:tabs>
          <w:tab w:val="left" w:pos="7513"/>
        </w:tabs>
        <w:adjustRightInd w:val="0"/>
        <w:snapToGrid w:val="0"/>
        <w:spacing w:line="600" w:lineRule="exact"/>
        <w:rPr>
          <w:rFonts w:hint="eastAsia" w:ascii="仿宋" w:hAnsi="仿宋" w:eastAsia="仿宋"/>
          <w:sz w:val="32"/>
          <w:szCs w:val="32"/>
        </w:rPr>
      </w:pPr>
    </w:p>
    <w:p w14:paraId="2D338FC4">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rPr>
        <w:t>九、一般公共预算“三公”经费支出预算表</w:t>
      </w:r>
    </w:p>
    <w:tbl>
      <w:tblPr>
        <w:tblStyle w:val="9"/>
        <w:tblW w:w="96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90"/>
        <w:gridCol w:w="3570"/>
      </w:tblGrid>
      <w:tr w14:paraId="35317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9660" w:type="dxa"/>
            <w:gridSpan w:val="2"/>
            <w:tcBorders>
              <w:top w:val="nil"/>
              <w:left w:val="nil"/>
              <w:bottom w:val="nil"/>
              <w:right w:val="nil"/>
            </w:tcBorders>
            <w:shd w:val="clear" w:color="auto" w:fill="auto"/>
            <w:noWrap/>
            <w:vAlign w:val="center"/>
          </w:tcPr>
          <w:p w14:paraId="0833F814">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202</w:t>
            </w:r>
            <w:r>
              <w:rPr>
                <w:rFonts w:hint="eastAsia" w:ascii="方正小标宋_GBK" w:hAnsi="方正小标宋_GBK" w:eastAsia="方正小标宋_GBK" w:cs="方正小标宋_GBK"/>
                <w:i w:val="0"/>
                <w:iCs w:val="0"/>
                <w:color w:val="000000"/>
                <w:kern w:val="0"/>
                <w:sz w:val="32"/>
                <w:szCs w:val="32"/>
                <w:u w:val="none"/>
                <w:lang w:val="en-US" w:eastAsia="zh-CN" w:bidi="ar"/>
              </w:rPr>
              <w:t>3</w:t>
            </w:r>
            <w:r>
              <w:rPr>
                <w:rFonts w:hint="default" w:ascii="方正小标宋_GBK" w:hAnsi="方正小标宋_GBK" w:eastAsia="方正小标宋_GBK" w:cs="方正小标宋_GBK"/>
                <w:i w:val="0"/>
                <w:iCs w:val="0"/>
                <w:color w:val="000000"/>
                <w:kern w:val="0"/>
                <w:sz w:val="32"/>
                <w:szCs w:val="32"/>
                <w:u w:val="none"/>
                <w:lang w:val="en-US" w:eastAsia="zh-CN" w:bidi="ar"/>
              </w:rPr>
              <w:t>年度一般公共预算“三公”经费支出预算表</w:t>
            </w:r>
          </w:p>
        </w:tc>
      </w:tr>
      <w:tr w14:paraId="40D68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jc w:val="center"/>
        </w:trPr>
        <w:tc>
          <w:tcPr>
            <w:tcW w:w="0" w:type="auto"/>
            <w:tcBorders>
              <w:top w:val="nil"/>
              <w:left w:val="nil"/>
              <w:bottom w:val="nil"/>
              <w:right w:val="nil"/>
            </w:tcBorders>
            <w:shd w:val="clear" w:color="auto" w:fill="auto"/>
            <w:noWrap/>
            <w:vAlign w:val="center"/>
          </w:tcPr>
          <w:p w14:paraId="6C6A6CD9">
            <w:pPr>
              <w:rPr>
                <w:rFonts w:hint="eastAsia" w:ascii="楷体_GB2312" w:hAnsi="宋体" w:eastAsia="楷体_GB2312" w:cs="楷体_GB2312"/>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0A56E7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单位：万元</w:t>
            </w:r>
          </w:p>
        </w:tc>
      </w:tr>
      <w:tr w14:paraId="2C630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C1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D6FA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38885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8A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9E3B8">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18</w:t>
            </w:r>
          </w:p>
        </w:tc>
      </w:tr>
      <w:tr w14:paraId="659CB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55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A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A050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3A5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A219">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14</w:t>
            </w:r>
          </w:p>
        </w:tc>
      </w:tr>
      <w:tr w14:paraId="3773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D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3、公务用车购置及运行费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68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48323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D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其中：（1）公务用车运行费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89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3C3D6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60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A3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2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bl>
    <w:p w14:paraId="6D23D802">
      <w:pPr>
        <w:pStyle w:val="4"/>
        <w:jc w:val="center"/>
        <w:rPr>
          <w:rFonts w:hint="eastAsia" w:ascii="黑体" w:hAnsi="黑体" w:eastAsia="黑体"/>
          <w:sz w:val="36"/>
          <w:szCs w:val="36"/>
          <w:lang w:eastAsia="zh-CN"/>
        </w:rPr>
      </w:pPr>
    </w:p>
    <w:p w14:paraId="7D3973C8">
      <w:pPr>
        <w:pStyle w:val="4"/>
        <w:jc w:val="center"/>
        <w:rPr>
          <w:rFonts w:ascii="黑体" w:hAnsi="黑体" w:eastAsia="黑体"/>
          <w:sz w:val="36"/>
          <w:szCs w:val="36"/>
          <w:lang w:eastAsia="zh-CN"/>
        </w:rPr>
      </w:pPr>
      <w:r>
        <w:rPr>
          <w:rFonts w:hint="eastAsia" w:ascii="黑体" w:hAnsi="黑体" w:eastAsia="黑体"/>
          <w:sz w:val="36"/>
          <w:szCs w:val="36"/>
          <w:lang w:eastAsia="zh-CN"/>
        </w:rPr>
        <w:t xml:space="preserve">第三部分 </w:t>
      </w:r>
      <w:r>
        <w:rPr>
          <w:rFonts w:hint="eastAsia" w:ascii="黑体" w:hAnsi="黑体" w:eastAsia="黑体"/>
          <w:sz w:val="36"/>
          <w:szCs w:val="36"/>
          <w:lang w:val="en-US" w:eastAsia="zh-CN"/>
        </w:rPr>
        <w:t>2023</w:t>
      </w:r>
      <w:r>
        <w:rPr>
          <w:rFonts w:hint="eastAsia" w:ascii="黑体" w:hAnsi="黑体" w:eastAsia="黑体"/>
          <w:sz w:val="36"/>
          <w:szCs w:val="36"/>
          <w:lang w:eastAsia="zh-CN"/>
        </w:rPr>
        <w:t>年度部门预算情况说明</w:t>
      </w:r>
    </w:p>
    <w:p w14:paraId="1F791709">
      <w:pPr>
        <w:ind w:firstLine="640" w:firstLineChars="200"/>
        <w:rPr>
          <w:rFonts w:ascii="仿宋" w:hAnsi="仿宋" w:eastAsia="仿宋" w:cs="仿宋_GB2312"/>
          <w:sz w:val="32"/>
          <w:szCs w:val="32"/>
        </w:rPr>
      </w:pPr>
    </w:p>
    <w:p w14:paraId="4D85B36E">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一、预算收支总体情况</w:t>
      </w:r>
    </w:p>
    <w:p w14:paraId="23585B1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按照综合预算的原则，部门所有收入和支出均纳入部门预算管理。</w:t>
      </w:r>
      <w:r>
        <w:rPr>
          <w:rFonts w:hint="eastAsia" w:ascii="仿宋" w:hAnsi="仿宋" w:eastAsia="仿宋"/>
          <w:sz w:val="32"/>
          <w:szCs w:val="32"/>
          <w:lang w:val="en-US" w:eastAsia="zh-CN"/>
        </w:rPr>
        <w:t>2023</w:t>
      </w:r>
      <w:r>
        <w:rPr>
          <w:rFonts w:hint="eastAsia" w:ascii="仿宋" w:hAnsi="仿宋" w:eastAsia="仿宋"/>
          <w:sz w:val="32"/>
          <w:szCs w:val="32"/>
        </w:rPr>
        <w:t>年,</w:t>
      </w:r>
      <w:r>
        <w:rPr>
          <w:rFonts w:hint="eastAsia" w:ascii="仿宋" w:hAnsi="仿宋" w:eastAsia="仿宋"/>
          <w:sz w:val="32"/>
          <w:szCs w:val="32"/>
          <w:lang w:eastAsia="zh-CN"/>
        </w:rPr>
        <w:t>上杭县珊瑚乡人民政府</w:t>
      </w:r>
      <w:r>
        <w:rPr>
          <w:rFonts w:hint="eastAsia" w:ascii="仿宋" w:hAnsi="仿宋" w:eastAsia="仿宋"/>
          <w:sz w:val="32"/>
          <w:szCs w:val="32"/>
        </w:rPr>
        <w:t>收入预算为</w:t>
      </w:r>
      <w:r>
        <w:rPr>
          <w:rFonts w:hint="eastAsia" w:ascii="仿宋" w:hAnsi="仿宋" w:eastAsia="仿宋" w:cs="仿宋_GB2312"/>
          <w:sz w:val="32"/>
          <w:szCs w:val="32"/>
          <w:lang w:val="en-US" w:eastAsia="zh-CN"/>
        </w:rPr>
        <w:t>640.9</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117.91</w:t>
      </w:r>
      <w:r>
        <w:rPr>
          <w:rFonts w:hint="eastAsia" w:ascii="仿宋" w:hAnsi="仿宋" w:eastAsia="仿宋"/>
          <w:sz w:val="32"/>
          <w:szCs w:val="32"/>
        </w:rPr>
        <w:t>万元，主要原因是人员变动及人员薪资调整</w:t>
      </w:r>
      <w:r>
        <w:rPr>
          <w:rFonts w:hint="eastAsia" w:ascii="仿宋" w:hAnsi="仿宋" w:eastAsia="仿宋" w:cs="仿宋_GB2312"/>
          <w:sz w:val="32"/>
          <w:szCs w:val="32"/>
        </w:rPr>
        <w:t>。</w:t>
      </w:r>
      <w:r>
        <w:rPr>
          <w:rFonts w:hint="eastAsia" w:ascii="仿宋" w:hAnsi="仿宋" w:eastAsia="仿宋"/>
          <w:sz w:val="32"/>
          <w:szCs w:val="32"/>
        </w:rPr>
        <w:t>其中：一般公共预算拨款</w:t>
      </w:r>
      <w:r>
        <w:rPr>
          <w:rFonts w:hint="eastAsia" w:ascii="仿宋" w:hAnsi="仿宋" w:eastAsia="仿宋" w:cs="仿宋_GB2312"/>
          <w:sz w:val="32"/>
          <w:szCs w:val="32"/>
          <w:lang w:val="en-US" w:eastAsia="zh-CN"/>
        </w:rPr>
        <w:t>640.9</w:t>
      </w:r>
      <w:r>
        <w:rPr>
          <w:rFonts w:hint="eastAsia" w:ascii="仿宋" w:hAnsi="仿宋" w:eastAsia="仿宋"/>
          <w:sz w:val="32"/>
          <w:szCs w:val="32"/>
        </w:rPr>
        <w:t>万元，基金预算财政拨款</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万元,财政专户拨款</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万元,单位结余结转资金</w:t>
      </w:r>
      <w:r>
        <w:rPr>
          <w:rFonts w:hint="eastAsia" w:ascii="仿宋" w:hAnsi="仿宋" w:eastAsia="仿宋" w:cs="仿宋_GB2312"/>
          <w:sz w:val="32"/>
          <w:szCs w:val="32"/>
          <w:lang w:val="en-US" w:eastAsia="zh-CN"/>
        </w:rPr>
        <w:t>0</w:t>
      </w:r>
      <w:r>
        <w:rPr>
          <w:rFonts w:hint="eastAsia" w:ascii="仿宋" w:hAnsi="仿宋" w:eastAsia="仿宋"/>
          <w:sz w:val="32"/>
          <w:szCs w:val="32"/>
        </w:rPr>
        <w:t>万元。相应安排支出预算</w:t>
      </w:r>
      <w:r>
        <w:rPr>
          <w:rFonts w:hint="eastAsia" w:ascii="仿宋" w:hAnsi="仿宋" w:eastAsia="仿宋" w:cs="仿宋_GB2312"/>
          <w:sz w:val="32"/>
          <w:szCs w:val="32"/>
          <w:lang w:val="en-US" w:eastAsia="zh-CN"/>
        </w:rPr>
        <w:t>0</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117.91</w:t>
      </w:r>
      <w:r>
        <w:rPr>
          <w:rFonts w:hint="eastAsia" w:ascii="仿宋" w:hAnsi="仿宋" w:eastAsia="仿宋"/>
          <w:sz w:val="32"/>
          <w:szCs w:val="32"/>
        </w:rPr>
        <w:t>万元，其中：人员支出</w:t>
      </w:r>
      <w:r>
        <w:rPr>
          <w:rFonts w:hint="eastAsia" w:ascii="仿宋" w:hAnsi="仿宋" w:eastAsia="仿宋" w:cs="仿宋_GB2312"/>
          <w:sz w:val="32"/>
          <w:szCs w:val="32"/>
          <w:lang w:val="en-US" w:eastAsia="zh-CN"/>
        </w:rPr>
        <w:t>365.81</w:t>
      </w:r>
      <w:r>
        <w:rPr>
          <w:rFonts w:hint="eastAsia" w:ascii="仿宋" w:hAnsi="仿宋" w:eastAsia="仿宋"/>
          <w:sz w:val="32"/>
          <w:szCs w:val="32"/>
        </w:rPr>
        <w:t>万元，对个人和家庭补助支出</w:t>
      </w:r>
      <w:r>
        <w:rPr>
          <w:rFonts w:hint="eastAsia" w:ascii="仿宋" w:hAnsi="仿宋" w:eastAsia="仿宋" w:cs="仿宋_GB2312"/>
          <w:sz w:val="32"/>
          <w:szCs w:val="32"/>
          <w:lang w:val="en-US" w:eastAsia="zh-CN"/>
        </w:rPr>
        <w:t>91.12</w:t>
      </w:r>
      <w:r>
        <w:rPr>
          <w:rFonts w:hint="eastAsia" w:ascii="仿宋" w:hAnsi="仿宋" w:eastAsia="仿宋"/>
          <w:sz w:val="32"/>
          <w:szCs w:val="32"/>
        </w:rPr>
        <w:t>万元，公用支出</w:t>
      </w:r>
      <w:r>
        <w:rPr>
          <w:rFonts w:hint="eastAsia" w:ascii="仿宋" w:hAnsi="仿宋" w:eastAsia="仿宋" w:cs="仿宋_GB2312"/>
          <w:sz w:val="32"/>
          <w:szCs w:val="32"/>
          <w:lang w:val="en-US" w:eastAsia="zh-CN"/>
        </w:rPr>
        <w:t>183.97</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1E8E2369">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二、一般公共预算拨款支出情况</w:t>
      </w:r>
    </w:p>
    <w:p w14:paraId="460BC7F2">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宋体"/>
          <w:bCs/>
          <w:sz w:val="32"/>
          <w:szCs w:val="32"/>
          <w:lang w:val="en-US" w:eastAsia="zh-CN"/>
        </w:rPr>
        <w:t>2023</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640.9</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117.91</w:t>
      </w:r>
      <w:r>
        <w:rPr>
          <w:rFonts w:hint="eastAsia" w:ascii="仿宋" w:hAnsi="仿宋" w:eastAsia="仿宋"/>
          <w:sz w:val="32"/>
          <w:szCs w:val="32"/>
        </w:rPr>
        <w:t>万元，主要原因是人员变动及人员薪资调整</w:t>
      </w:r>
      <w:r>
        <w:rPr>
          <w:rFonts w:hint="eastAsia" w:ascii="仿宋" w:hAnsi="仿宋" w:eastAsia="仿宋" w:cs="仿宋_GB2312"/>
          <w:sz w:val="32"/>
          <w:szCs w:val="32"/>
        </w:rPr>
        <w:t>，主要支出项目(按项级科目分类统计)包括：</w:t>
      </w:r>
    </w:p>
    <w:p w14:paraId="0108A066">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rPr>
        <w:t xml:space="preserve">（一）500120103 政府办公厅（室）及相关机构事务 </w:t>
      </w:r>
      <w:r>
        <w:rPr>
          <w:rFonts w:hint="eastAsia" w:ascii="仿宋" w:hAnsi="仿宋" w:eastAsia="仿宋"/>
          <w:b w:val="0"/>
          <w:bCs/>
          <w:sz w:val="32"/>
          <w:szCs w:val="32"/>
          <w:lang w:val="en-US" w:eastAsia="zh-CN"/>
        </w:rPr>
        <w:t>431.52</w:t>
      </w:r>
      <w:r>
        <w:rPr>
          <w:rFonts w:hint="eastAsia" w:ascii="仿宋" w:hAnsi="仿宋" w:eastAsia="仿宋"/>
          <w:b w:val="0"/>
          <w:bCs/>
          <w:sz w:val="32"/>
          <w:szCs w:val="32"/>
        </w:rPr>
        <w:t>万元。主要用于人员工资、社会保障缴费、住房公积金、医疗补助、遗属补助等支出。</w:t>
      </w:r>
    </w:p>
    <w:p w14:paraId="426D24E8">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rPr>
        <w:t>（</w:t>
      </w:r>
      <w:r>
        <w:rPr>
          <w:rFonts w:hint="eastAsia" w:ascii="仿宋" w:hAnsi="仿宋" w:eastAsia="仿宋"/>
          <w:b w:val="0"/>
          <w:bCs/>
          <w:sz w:val="32"/>
          <w:szCs w:val="32"/>
          <w:lang w:eastAsia="zh-CN"/>
        </w:rPr>
        <w:t>二</w:t>
      </w:r>
      <w:r>
        <w:rPr>
          <w:rFonts w:hint="eastAsia" w:ascii="仿宋" w:hAnsi="仿宋" w:eastAsia="仿宋"/>
          <w:b w:val="0"/>
          <w:bCs/>
          <w:sz w:val="32"/>
          <w:szCs w:val="32"/>
        </w:rPr>
        <w:t>）500121307 农林水支出-农村综合改革84.38 万元。主要用于村级组织运转及各大员工资、办公支出等。</w:t>
      </w:r>
    </w:p>
    <w:p w14:paraId="0261BBDC">
      <w:pPr>
        <w:keepNext w:val="0"/>
        <w:keepLines w:val="0"/>
        <w:pageBreakBefore w:val="0"/>
        <w:widowControl w:val="0"/>
        <w:tabs>
          <w:tab w:val="left" w:pos="7513"/>
        </w:tabs>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b w:val="0"/>
          <w:bCs/>
          <w:sz w:val="32"/>
          <w:szCs w:val="32"/>
        </w:rPr>
      </w:pPr>
      <w:r>
        <w:rPr>
          <w:rFonts w:hint="eastAsia" w:ascii="仿宋" w:hAnsi="仿宋" w:eastAsia="仿宋"/>
          <w:b w:val="0"/>
          <w:bCs/>
          <w:sz w:val="32"/>
          <w:szCs w:val="32"/>
        </w:rPr>
        <w:t>（</w:t>
      </w:r>
      <w:r>
        <w:rPr>
          <w:rFonts w:hint="eastAsia" w:ascii="仿宋" w:hAnsi="仿宋" w:eastAsia="仿宋"/>
          <w:b w:val="0"/>
          <w:bCs/>
          <w:sz w:val="32"/>
          <w:szCs w:val="32"/>
          <w:lang w:eastAsia="zh-CN"/>
        </w:rPr>
        <w:t>三</w:t>
      </w:r>
      <w:r>
        <w:rPr>
          <w:rFonts w:hint="eastAsia" w:ascii="仿宋" w:hAnsi="仿宋" w:eastAsia="仿宋"/>
          <w:b w:val="0"/>
          <w:bCs/>
          <w:sz w:val="32"/>
          <w:szCs w:val="32"/>
        </w:rPr>
        <w:t>）500122999 其他支出-其他支出</w:t>
      </w:r>
      <w:r>
        <w:rPr>
          <w:rFonts w:hint="eastAsia" w:ascii="仿宋" w:hAnsi="仿宋" w:eastAsia="仿宋"/>
          <w:b w:val="0"/>
          <w:bCs/>
          <w:sz w:val="32"/>
          <w:szCs w:val="32"/>
          <w:lang w:val="en-US" w:eastAsia="zh-CN"/>
        </w:rPr>
        <w:t>125</w:t>
      </w:r>
      <w:r>
        <w:rPr>
          <w:rFonts w:hint="eastAsia" w:ascii="仿宋" w:hAnsi="仿宋" w:eastAsia="仿宋"/>
          <w:b w:val="0"/>
          <w:bCs/>
          <w:sz w:val="32"/>
          <w:szCs w:val="32"/>
        </w:rPr>
        <w:t xml:space="preserve"> 万元。主要用于其他支出。</w:t>
      </w:r>
    </w:p>
    <w:p w14:paraId="59A8AA32">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三、政府性基金预算拨款支出情况</w:t>
      </w:r>
    </w:p>
    <w:p w14:paraId="14354D02">
      <w:pPr>
        <w:tabs>
          <w:tab w:val="left" w:pos="7513"/>
        </w:tabs>
        <w:adjustRightInd w:val="0"/>
        <w:snapToGrid w:val="0"/>
        <w:spacing w:line="600" w:lineRule="exact"/>
        <w:ind w:firstLine="640" w:firstLineChars="200"/>
        <w:rPr>
          <w:rFonts w:ascii="楷体" w:hAnsi="楷体" w:eastAsia="楷体"/>
          <w:sz w:val="32"/>
          <w:szCs w:val="32"/>
        </w:rPr>
      </w:pPr>
      <w:r>
        <w:rPr>
          <w:rFonts w:hint="eastAsia" w:ascii="仿宋" w:hAnsi="仿宋" w:eastAsia="仿宋" w:cs="宋体"/>
          <w:bCs/>
          <w:sz w:val="32"/>
          <w:szCs w:val="32"/>
          <w:lang w:val="en-US" w:eastAsia="zh-CN"/>
        </w:rPr>
        <w:t>2023</w:t>
      </w:r>
      <w:r>
        <w:rPr>
          <w:rFonts w:hint="eastAsia" w:ascii="仿宋" w:hAnsi="仿宋" w:eastAsia="仿宋" w:cs="仿宋_GB2312"/>
          <w:sz w:val="32"/>
          <w:szCs w:val="32"/>
        </w:rPr>
        <w:t>年度没有使用政府性基金预算拨款安排的支出</w:t>
      </w:r>
      <w:r>
        <w:rPr>
          <w:rFonts w:hint="eastAsia" w:ascii="仿宋" w:hAnsi="仿宋" w:eastAsia="仿宋" w:cs="仿宋_GB2312"/>
          <w:sz w:val="32"/>
          <w:szCs w:val="32"/>
          <w:lang w:eastAsia="zh-CN"/>
        </w:rPr>
        <w:t>。</w:t>
      </w:r>
    </w:p>
    <w:p w14:paraId="61094F3E">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四、财政拨款预算基本支出情况</w:t>
      </w:r>
    </w:p>
    <w:p w14:paraId="02CB06CE">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2023</w:t>
      </w:r>
      <w:r>
        <w:rPr>
          <w:rFonts w:hint="eastAsia" w:ascii="仿宋" w:hAnsi="仿宋" w:eastAsia="仿宋" w:cs="仿宋_GB2312"/>
          <w:sz w:val="32"/>
          <w:szCs w:val="32"/>
        </w:rPr>
        <w:t>年度财政拨款基本支出</w:t>
      </w:r>
      <w:r>
        <w:rPr>
          <w:rFonts w:hint="eastAsia" w:ascii="仿宋" w:hAnsi="仿宋" w:eastAsia="仿宋" w:cs="仿宋_GB2312"/>
          <w:sz w:val="32"/>
          <w:szCs w:val="32"/>
          <w:lang w:val="en-US" w:eastAsia="zh-CN"/>
        </w:rPr>
        <w:t>640.9</w:t>
      </w:r>
      <w:r>
        <w:rPr>
          <w:rFonts w:hint="eastAsia" w:ascii="仿宋" w:hAnsi="仿宋" w:eastAsia="仿宋" w:cs="仿宋_GB2312"/>
          <w:sz w:val="32"/>
          <w:szCs w:val="32"/>
        </w:rPr>
        <w:t>万元，其中：</w:t>
      </w:r>
    </w:p>
    <w:p w14:paraId="7287072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365.81</w:t>
      </w:r>
      <w:r>
        <w:rPr>
          <w:rFonts w:hint="eastAsia" w:ascii="仿宋" w:hAnsi="仿宋" w:eastAsia="仿宋"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采暖补贴、物业服务补贴、其他对个人和家庭的补助支出。</w:t>
      </w:r>
    </w:p>
    <w:p w14:paraId="416D1FC3">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275.09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其他资本性支出。</w:t>
      </w:r>
    </w:p>
    <w:p w14:paraId="0E379D4C">
      <w:pPr>
        <w:tabs>
          <w:tab w:val="left" w:pos="7513"/>
        </w:tabs>
        <w:adjustRightInd w:val="0"/>
        <w:snapToGrid w:val="0"/>
        <w:spacing w:line="600" w:lineRule="exact"/>
        <w:rPr>
          <w:rFonts w:ascii="仿宋" w:hAnsi="仿宋" w:eastAsia="仿宋"/>
          <w:b/>
          <w:sz w:val="32"/>
          <w:szCs w:val="32"/>
        </w:rPr>
      </w:pPr>
      <w:r>
        <w:rPr>
          <w:rFonts w:hint="eastAsia" w:ascii="仿宋" w:hAnsi="仿宋" w:eastAsia="仿宋"/>
          <w:b/>
          <w:sz w:val="32"/>
          <w:szCs w:val="32"/>
        </w:rPr>
        <w:t>五、一般公共预算“三公”经费支出情况</w:t>
      </w:r>
    </w:p>
    <w:p w14:paraId="21F7332F">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7F0E99F6">
      <w:pPr>
        <w:widowControl/>
        <w:adjustRightInd w:val="0"/>
        <w:snapToGrid w:val="0"/>
        <w:spacing w:line="600" w:lineRule="exact"/>
        <w:ind w:firstLine="660"/>
        <w:rPr>
          <w:rFonts w:hint="eastAsia" w:ascii="仿宋" w:hAnsi="仿宋" w:eastAsia="仿宋" w:cs="宋体"/>
          <w:kern w:val="0"/>
          <w:sz w:val="32"/>
          <w:szCs w:val="32"/>
        </w:rPr>
      </w:pPr>
      <w:r>
        <w:rPr>
          <w:rFonts w:hint="eastAsia" w:ascii="仿宋" w:hAnsi="仿宋" w:eastAsia="仿宋" w:cs="仿宋_GB2312"/>
          <w:kern w:val="0"/>
          <w:sz w:val="32"/>
          <w:szCs w:val="32"/>
          <w:lang w:val="en-US" w:eastAsia="zh-CN"/>
        </w:rPr>
        <w:t>2023</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p>
    <w:p w14:paraId="1EE5C52E">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15AA690B">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lang w:val="en-US" w:eastAsia="zh-CN"/>
        </w:rPr>
        <w:t>2023</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14</w:t>
      </w:r>
      <w:r>
        <w:rPr>
          <w:rFonts w:hint="eastAsia" w:ascii="仿宋" w:hAnsi="仿宋" w:eastAsia="仿宋" w:cs="宋体"/>
          <w:kern w:val="0"/>
          <w:sz w:val="32"/>
          <w:szCs w:val="32"/>
        </w:rPr>
        <w:t>万元。主要用于上级业务主管部门来我乡指导调研、检查等方面的接待活动。与上年相比</w:t>
      </w:r>
      <w:r>
        <w:rPr>
          <w:rFonts w:hint="eastAsia" w:ascii="仿宋" w:hAnsi="仿宋" w:eastAsia="仿宋" w:cs="宋体"/>
          <w:kern w:val="0"/>
          <w:sz w:val="32"/>
          <w:szCs w:val="32"/>
          <w:lang w:eastAsia="zh-CN"/>
        </w:rPr>
        <w:t>持平</w:t>
      </w:r>
      <w:r>
        <w:rPr>
          <w:rFonts w:hint="eastAsia" w:ascii="仿宋" w:hAnsi="仿宋" w:eastAsia="仿宋" w:cs="仿宋_GB2312"/>
          <w:sz w:val="32"/>
          <w:szCs w:val="32"/>
        </w:rPr>
        <w:t>。</w:t>
      </w:r>
    </w:p>
    <w:p w14:paraId="5A230353">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1DE756AF">
      <w:pPr>
        <w:adjustRightInd w:val="0"/>
        <w:snapToGrid w:val="0"/>
        <w:spacing w:line="600" w:lineRule="exact"/>
        <w:ind w:firstLine="640" w:firstLineChars="200"/>
        <w:rPr>
          <w:rFonts w:hint="eastAsia" w:ascii="仿宋" w:hAnsi="仿宋" w:eastAsia="楷体"/>
          <w:sz w:val="32"/>
          <w:szCs w:val="32"/>
          <w:lang w:eastAsia="zh-CN"/>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lang w:val="en-US" w:eastAsia="zh-CN"/>
        </w:rPr>
        <w:t>2023</w:t>
      </w:r>
      <w:r>
        <w:rPr>
          <w:rFonts w:hint="eastAsia" w:ascii="仿宋" w:hAnsi="仿宋" w:eastAsia="仿宋" w:cs="宋体"/>
          <w:kern w:val="0"/>
          <w:sz w:val="32"/>
          <w:szCs w:val="32"/>
        </w:rPr>
        <w:t>年预算安排</w:t>
      </w:r>
      <w:r>
        <w:rPr>
          <w:rFonts w:hint="eastAsia" w:ascii="仿宋" w:hAnsi="仿宋" w:eastAsia="仿宋" w:cs="仿宋_GB2312"/>
          <w:kern w:val="0"/>
          <w:sz w:val="32"/>
          <w:szCs w:val="32"/>
          <w:lang w:val="en-US" w:eastAsia="zh-CN"/>
        </w:rPr>
        <w:t>4</w:t>
      </w:r>
      <w:r>
        <w:rPr>
          <w:rFonts w:hint="eastAsia" w:ascii="仿宋" w:hAnsi="仿宋" w:eastAsia="仿宋" w:cs="宋体"/>
          <w:kern w:val="0"/>
          <w:sz w:val="32"/>
          <w:szCs w:val="32"/>
        </w:rPr>
        <w:t>万元，其中：公车运行费</w:t>
      </w:r>
      <w:r>
        <w:rPr>
          <w:rFonts w:hint="eastAsia" w:ascii="仿宋" w:hAnsi="仿宋" w:eastAsia="仿宋" w:cs="仿宋_GB2312"/>
          <w:kern w:val="0"/>
          <w:sz w:val="32"/>
          <w:szCs w:val="32"/>
          <w:lang w:val="en-US" w:eastAsia="zh-CN"/>
        </w:rPr>
        <w:t>4</w:t>
      </w:r>
      <w:r>
        <w:rPr>
          <w:rFonts w:hint="eastAsia" w:ascii="仿宋" w:hAnsi="仿宋" w:eastAsia="仿宋" w:cs="宋体"/>
          <w:kern w:val="0"/>
          <w:sz w:val="32"/>
          <w:szCs w:val="32"/>
        </w:rPr>
        <w:t>万元，公车购置费</w:t>
      </w:r>
      <w:r>
        <w:rPr>
          <w:rFonts w:hint="eastAsia" w:ascii="仿宋" w:hAnsi="仿宋" w:eastAsia="仿宋" w:cs="仿宋_GB2312"/>
          <w:kern w:val="0"/>
          <w:sz w:val="32"/>
          <w:szCs w:val="32"/>
          <w:lang w:val="en-US" w:eastAsia="zh-CN"/>
        </w:rPr>
        <w:t>0</w:t>
      </w:r>
      <w:r>
        <w:rPr>
          <w:rFonts w:hint="eastAsia" w:ascii="仿宋" w:hAnsi="仿宋" w:eastAsia="仿宋" w:cs="宋体"/>
          <w:kern w:val="0"/>
          <w:sz w:val="32"/>
          <w:szCs w:val="32"/>
        </w:rPr>
        <w:t>万元。</w:t>
      </w:r>
      <w:r>
        <w:rPr>
          <w:rFonts w:hint="eastAsia" w:ascii="楷体" w:hAnsi="楷体" w:eastAsia="楷体" w:cs="仿宋_GB2312"/>
          <w:sz w:val="32"/>
          <w:szCs w:val="32"/>
        </w:rPr>
        <w:t>与上年持平</w:t>
      </w:r>
      <w:r>
        <w:rPr>
          <w:rFonts w:hint="eastAsia" w:ascii="楷体" w:hAnsi="楷体" w:eastAsia="楷体" w:cs="仿宋_GB2312"/>
          <w:sz w:val="32"/>
          <w:szCs w:val="32"/>
          <w:lang w:eastAsia="zh-CN"/>
        </w:rPr>
        <w:t>。</w:t>
      </w:r>
    </w:p>
    <w:p w14:paraId="5B57166B">
      <w:pPr>
        <w:spacing w:line="600" w:lineRule="exact"/>
        <w:rPr>
          <w:rFonts w:ascii="仿宋" w:hAnsi="仿宋" w:eastAsia="仿宋"/>
          <w:b/>
          <w:sz w:val="32"/>
          <w:szCs w:val="32"/>
        </w:rPr>
      </w:pPr>
      <w:r>
        <w:rPr>
          <w:rFonts w:hint="eastAsia" w:ascii="仿宋" w:hAnsi="仿宋" w:eastAsia="仿宋"/>
          <w:b/>
          <w:sz w:val="32"/>
          <w:szCs w:val="32"/>
        </w:rPr>
        <w:t>六、预算绩效目标情况</w:t>
      </w:r>
    </w:p>
    <w:p w14:paraId="2BE19140">
      <w:pPr>
        <w:spacing w:line="60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1B3925F2">
      <w:pPr>
        <w:spacing w:line="600" w:lineRule="exact"/>
        <w:ind w:firstLine="627" w:firstLineChars="196"/>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2023</w:t>
      </w:r>
      <w:r>
        <w:rPr>
          <w:rFonts w:hint="eastAsia" w:ascii="仿宋" w:hAnsi="仿宋" w:eastAsia="仿宋" w:cs="仿宋_GB2312"/>
          <w:kern w:val="0"/>
          <w:sz w:val="32"/>
          <w:szCs w:val="32"/>
        </w:rPr>
        <w:t>年</w:t>
      </w:r>
      <w:r>
        <w:rPr>
          <w:rFonts w:hint="eastAsia" w:ascii="仿宋" w:hAnsi="仿宋" w:eastAsia="仿宋" w:cs="仿宋_GB2312"/>
          <w:kern w:val="0"/>
          <w:sz w:val="32"/>
          <w:szCs w:val="32"/>
          <w:lang w:eastAsia="zh-CN"/>
        </w:rPr>
        <w:t>上杭县珊瑚乡人民政府</w:t>
      </w:r>
      <w:r>
        <w:rPr>
          <w:rFonts w:hint="eastAsia" w:ascii="仿宋" w:hAnsi="仿宋" w:eastAsia="仿宋" w:cs="仿宋_GB2312"/>
          <w:kern w:val="0"/>
          <w:sz w:val="32"/>
          <w:szCs w:val="32"/>
        </w:rPr>
        <w:t>共设置</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个项目绩效目标，共涉及财政拨款资金</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14:paraId="395889FA">
      <w:pPr>
        <w:spacing w:line="600" w:lineRule="exact"/>
        <w:rPr>
          <w:rFonts w:ascii="仿宋" w:hAnsi="仿宋" w:eastAsia="仿宋"/>
          <w:b/>
          <w:sz w:val="32"/>
          <w:szCs w:val="32"/>
        </w:rPr>
      </w:pPr>
      <w:r>
        <w:rPr>
          <w:rFonts w:hint="eastAsia" w:ascii="仿宋" w:hAnsi="仿宋" w:eastAsia="仿宋"/>
          <w:b/>
          <w:sz w:val="32"/>
          <w:szCs w:val="32"/>
        </w:rPr>
        <w:t>七、其他重要事项说明</w:t>
      </w:r>
    </w:p>
    <w:p w14:paraId="3E0F558D">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1FF938D8">
      <w:pPr>
        <w:spacing w:line="600" w:lineRule="exact"/>
        <w:ind w:firstLine="640" w:firstLineChars="200"/>
        <w:rPr>
          <w:rFonts w:ascii="黑体" w:hAnsi="黑体" w:eastAsia="黑体"/>
          <w:color w:val="FF0000"/>
          <w:sz w:val="32"/>
          <w:szCs w:val="32"/>
        </w:rPr>
      </w:pPr>
      <w:r>
        <w:rPr>
          <w:rFonts w:hint="eastAsia" w:ascii="仿宋" w:hAnsi="仿宋" w:eastAsia="仿宋" w:cs="仿宋_GB2312"/>
          <w:kern w:val="0"/>
          <w:sz w:val="32"/>
          <w:szCs w:val="32"/>
          <w:lang w:val="en-US" w:eastAsia="zh-CN"/>
        </w:rPr>
        <w:t>2023</w:t>
      </w:r>
      <w:r>
        <w:rPr>
          <w:rFonts w:hint="eastAsia" w:ascii="仿宋" w:hAnsi="仿宋" w:eastAsia="仿宋"/>
          <w:sz w:val="32"/>
          <w:szCs w:val="32"/>
        </w:rPr>
        <w:t>年</w:t>
      </w:r>
      <w:r>
        <w:rPr>
          <w:rFonts w:hint="eastAsia" w:ascii="仿宋" w:hAnsi="仿宋" w:eastAsia="仿宋" w:cs="仿宋_GB2312"/>
          <w:kern w:val="0"/>
          <w:sz w:val="32"/>
          <w:szCs w:val="32"/>
          <w:lang w:eastAsia="zh-CN"/>
        </w:rPr>
        <w:t>上杭县珊瑚乡人民政府</w:t>
      </w:r>
      <w:r>
        <w:rPr>
          <w:rFonts w:hint="eastAsia" w:ascii="仿宋" w:hAnsi="仿宋" w:eastAsia="仿宋"/>
          <w:sz w:val="32"/>
          <w:szCs w:val="32"/>
        </w:rPr>
        <w:t>（含实行公务员管理的事业单位）一般公共预算拨款安排的机关运行经费支出</w:t>
      </w:r>
      <w:r>
        <w:rPr>
          <w:rFonts w:hint="eastAsia" w:ascii="仿宋" w:hAnsi="仿宋" w:eastAsia="仿宋" w:cs="仿宋_GB2312"/>
          <w:kern w:val="0"/>
          <w:sz w:val="32"/>
          <w:szCs w:val="32"/>
          <w:lang w:val="en-US" w:eastAsia="zh-CN"/>
        </w:rPr>
        <w:t>54.15</w:t>
      </w:r>
      <w:r>
        <w:rPr>
          <w:rFonts w:hint="eastAsia" w:ascii="仿宋" w:hAnsi="仿宋" w:eastAsia="仿宋"/>
          <w:sz w:val="32"/>
          <w:szCs w:val="32"/>
        </w:rPr>
        <w:t>万元，比上年</w:t>
      </w:r>
      <w:r>
        <w:rPr>
          <w:rFonts w:hint="eastAsia" w:ascii="仿宋" w:hAnsi="仿宋" w:eastAsia="仿宋"/>
          <w:sz w:val="32"/>
          <w:szCs w:val="32"/>
          <w:lang w:eastAsia="zh-CN"/>
        </w:rPr>
        <w:t>减少</w:t>
      </w:r>
      <w:r>
        <w:rPr>
          <w:rFonts w:hint="eastAsia" w:ascii="仿宋" w:hAnsi="仿宋" w:eastAsia="仿宋"/>
          <w:sz w:val="32"/>
          <w:szCs w:val="32"/>
          <w:lang w:val="en-US" w:eastAsia="zh-CN"/>
        </w:rPr>
        <w:t>13.89</w:t>
      </w:r>
      <w:r>
        <w:rPr>
          <w:rFonts w:hint="eastAsia" w:ascii="仿宋" w:hAnsi="仿宋" w:eastAsia="仿宋"/>
          <w:sz w:val="32"/>
          <w:szCs w:val="32"/>
        </w:rPr>
        <w:t>万元</w:t>
      </w:r>
      <w:r>
        <w:rPr>
          <w:rFonts w:hint="eastAsia" w:ascii="仿宋" w:hAnsi="仿宋" w:eastAsia="仿宋" w:cs="仿宋_GB2312"/>
          <w:sz w:val="32"/>
          <w:szCs w:val="32"/>
        </w:rPr>
        <w:t>。</w:t>
      </w:r>
    </w:p>
    <w:p w14:paraId="0FD07CB7">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20F94093">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lang w:val="en-US" w:eastAsia="zh-CN"/>
        </w:rPr>
        <w:t>2023</w:t>
      </w:r>
      <w:r>
        <w:rPr>
          <w:rFonts w:hint="eastAsia" w:ascii="仿宋" w:hAnsi="仿宋" w:eastAsia="仿宋"/>
          <w:sz w:val="32"/>
          <w:szCs w:val="32"/>
        </w:rPr>
        <w:t>年</w:t>
      </w:r>
      <w:r>
        <w:rPr>
          <w:rFonts w:hint="eastAsia" w:ascii="仿宋" w:hAnsi="仿宋" w:eastAsia="仿宋" w:cs="仿宋_GB2312"/>
          <w:kern w:val="0"/>
          <w:sz w:val="32"/>
          <w:szCs w:val="32"/>
          <w:lang w:eastAsia="zh-CN"/>
        </w:rPr>
        <w:t>上杭县珊瑚乡人民政府</w:t>
      </w:r>
      <w:r>
        <w:rPr>
          <w:rFonts w:hint="eastAsia" w:ascii="仿宋" w:hAnsi="仿宋" w:eastAsia="仿宋"/>
          <w:sz w:val="32"/>
          <w:szCs w:val="32"/>
        </w:rPr>
        <w:t>采购预算总额</w:t>
      </w:r>
      <w:r>
        <w:rPr>
          <w:rFonts w:hint="eastAsia" w:ascii="仿宋" w:hAnsi="仿宋" w:eastAsia="仿宋" w:cs="仿宋_GB2312"/>
          <w:kern w:val="0"/>
          <w:sz w:val="32"/>
          <w:szCs w:val="32"/>
          <w:lang w:val="en-US" w:eastAsia="zh-CN"/>
        </w:rPr>
        <w:t>14</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14:paraId="459DF480">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1235F04C">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2022</w:t>
      </w:r>
      <w:r>
        <w:rPr>
          <w:rFonts w:hint="eastAsia" w:ascii="仿宋" w:hAnsi="仿宋" w:eastAsia="仿宋" w:cs="仿宋_GB2312"/>
          <w:kern w:val="0"/>
          <w:sz w:val="32"/>
          <w:szCs w:val="32"/>
        </w:rPr>
        <w:t>年底，</w:t>
      </w:r>
      <w:r>
        <w:rPr>
          <w:rFonts w:hint="eastAsia" w:ascii="仿宋" w:hAnsi="仿宋" w:eastAsia="仿宋" w:cs="仿宋_GB2312"/>
          <w:kern w:val="0"/>
          <w:sz w:val="32"/>
          <w:szCs w:val="32"/>
          <w:lang w:eastAsia="zh-CN"/>
        </w:rPr>
        <w:t>上杭县珊瑚乡人民政府</w:t>
      </w:r>
      <w:r>
        <w:rPr>
          <w:rFonts w:hint="eastAsia" w:ascii="仿宋" w:hAnsi="仿宋" w:eastAsia="仿宋"/>
          <w:sz w:val="32"/>
          <w:szCs w:val="32"/>
        </w:rPr>
        <w:t>本级及所属的预算单位共有车辆</w:t>
      </w:r>
      <w:r>
        <w:rPr>
          <w:rFonts w:hint="eastAsia" w:ascii="仿宋" w:hAnsi="仿宋" w:eastAsia="仿宋" w:cs="仿宋_GB2312"/>
          <w:kern w:val="0"/>
          <w:sz w:val="32"/>
          <w:szCs w:val="32"/>
          <w:lang w:val="en-US" w:eastAsia="zh-CN"/>
        </w:rPr>
        <w:t>4</w:t>
      </w:r>
      <w:r>
        <w:rPr>
          <w:rFonts w:hint="eastAsia" w:ascii="仿宋" w:hAnsi="仿宋" w:eastAsia="仿宋"/>
          <w:sz w:val="32"/>
          <w:szCs w:val="32"/>
        </w:rPr>
        <w:t>辆，其中：省部级领导干部用车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辆，一般公务用车</w:t>
      </w:r>
      <w:r>
        <w:rPr>
          <w:rFonts w:hint="eastAsia" w:ascii="仿宋" w:hAnsi="仿宋" w:eastAsia="仿宋" w:cs="仿宋_GB2312"/>
          <w:kern w:val="0"/>
          <w:sz w:val="32"/>
          <w:szCs w:val="32"/>
          <w:lang w:val="en-US" w:eastAsia="zh-CN"/>
        </w:rPr>
        <w:t>1</w:t>
      </w:r>
      <w:r>
        <w:rPr>
          <w:rFonts w:hint="eastAsia" w:ascii="仿宋" w:hAnsi="仿宋" w:eastAsia="仿宋"/>
          <w:sz w:val="32"/>
          <w:szCs w:val="32"/>
        </w:rPr>
        <w:t>辆，一般执法执勤用车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辆，其他用车</w:t>
      </w:r>
      <w:r>
        <w:rPr>
          <w:rFonts w:hint="eastAsia" w:ascii="仿宋" w:hAnsi="仿宋" w:eastAsia="仿宋" w:cs="仿宋_GB2312"/>
          <w:kern w:val="0"/>
          <w:sz w:val="32"/>
          <w:szCs w:val="32"/>
          <w:lang w:val="en-US" w:eastAsia="zh-CN"/>
        </w:rPr>
        <w:t>3</w:t>
      </w:r>
      <w:r>
        <w:rPr>
          <w:rFonts w:hint="eastAsia" w:ascii="仿宋" w:hAnsi="仿宋" w:eastAsia="仿宋"/>
          <w:sz w:val="32"/>
          <w:szCs w:val="32"/>
        </w:rPr>
        <w:t>辆。单位价值50万元以上通用设备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r>
        <w:rPr>
          <w:rFonts w:hint="eastAsia" w:ascii="仿宋" w:hAnsi="仿宋" w:eastAsia="仿宋"/>
          <w:sz w:val="32"/>
          <w:szCs w:val="32"/>
        </w:rPr>
        <w:t>单位价值100万元以上专用设备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3D23F376">
      <w:pPr>
        <w:ind w:firstLine="640" w:firstLineChars="200"/>
        <w:rPr>
          <w:rFonts w:ascii="仿宋" w:hAnsi="仿宋" w:eastAsia="仿宋" w:cs="仿宋_GB2312"/>
          <w:kern w:val="0"/>
          <w:sz w:val="32"/>
          <w:szCs w:val="32"/>
        </w:rPr>
      </w:pPr>
    </w:p>
    <w:p w14:paraId="1C88EE53">
      <w:pPr>
        <w:ind w:firstLine="640" w:firstLineChars="200"/>
        <w:rPr>
          <w:rFonts w:ascii="仿宋" w:hAnsi="仿宋" w:eastAsia="仿宋" w:cs="仿宋_GB2312"/>
          <w:kern w:val="0"/>
          <w:sz w:val="32"/>
          <w:szCs w:val="32"/>
        </w:rPr>
      </w:pPr>
    </w:p>
    <w:p w14:paraId="7C20D8D4">
      <w:pPr>
        <w:jc w:val="center"/>
        <w:rPr>
          <w:rFonts w:asciiTheme="majorEastAsia" w:hAnsiTheme="majorEastAsia" w:eastAsiaTheme="majorEastAsia"/>
          <w:b/>
          <w:sz w:val="40"/>
        </w:rPr>
      </w:pPr>
      <w:r>
        <w:rPr>
          <w:rFonts w:hint="eastAsia" w:asciiTheme="majorEastAsia" w:hAnsiTheme="majorEastAsia" w:eastAsiaTheme="majorEastAsia"/>
          <w:b/>
          <w:sz w:val="40"/>
        </w:rPr>
        <w:t>第四部分 名词解释</w:t>
      </w:r>
    </w:p>
    <w:p w14:paraId="4ECC2953">
      <w:pPr>
        <w:jc w:val="center"/>
        <w:rPr>
          <w:rFonts w:asciiTheme="majorEastAsia" w:hAnsiTheme="majorEastAsia" w:eastAsiaTheme="majorEastAsia"/>
          <w:b/>
          <w:sz w:val="40"/>
        </w:rPr>
      </w:pPr>
    </w:p>
    <w:p w14:paraId="005501CB">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一、财政拨款收入：指财政当年拨付的资金。</w:t>
      </w:r>
      <w:r>
        <w:rPr>
          <w:rFonts w:ascii="仿宋" w:hAnsi="仿宋" w:eastAsia="仿宋" w:cs="仿宋"/>
          <w:color w:val="000000"/>
          <w:kern w:val="0"/>
          <w:sz w:val="32"/>
          <w:szCs w:val="32"/>
        </w:rPr>
        <w:t xml:space="preserve"> </w:t>
      </w:r>
    </w:p>
    <w:p w14:paraId="695669BE">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二、事业收入：指事业单位开展专业业务活动及辅助活动所取得的收入。</w:t>
      </w:r>
    </w:p>
    <w:p w14:paraId="69C2EA7A">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三、经营收入：指事业单位在专业业务活动及其辅助活动之外开展非独立核算经营活动取得的收入。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2F1D0711">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四、其他收入：指除上述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14:paraId="1C33FF4B">
      <w:pPr>
        <w:spacing w:line="600" w:lineRule="exact"/>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五、用事业基金弥补收支差额：指事业单位在当年的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14:paraId="143EAFA9">
      <w:pPr>
        <w:spacing w:line="6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六、年初结转和结余：指以前年度尚未完成、结转到本年按有关规定继续使用的资金。</w:t>
      </w:r>
    </w:p>
    <w:p w14:paraId="3572996C">
      <w:pPr>
        <w:pStyle w:val="15"/>
        <w:spacing w:line="600" w:lineRule="exact"/>
        <w:ind w:firstLine="640" w:firstLineChars="200"/>
        <w:rPr>
          <w:rFonts w:hAnsi="仿宋"/>
          <w:sz w:val="32"/>
          <w:szCs w:val="32"/>
        </w:rPr>
      </w:pPr>
      <w:r>
        <w:rPr>
          <w:rFonts w:hint="eastAsia" w:hAnsi="仿宋"/>
          <w:sz w:val="32"/>
          <w:szCs w:val="32"/>
        </w:rPr>
        <w:t>七、结余分配：指事业单位按规定提取的职工福利基金、事业基金和缴纳的所得税，以及建设单位按规定应交回的基本建设竣工项目结余资金。</w:t>
      </w:r>
      <w:r>
        <w:rPr>
          <w:rFonts w:hAnsi="仿宋"/>
          <w:sz w:val="32"/>
          <w:szCs w:val="32"/>
        </w:rPr>
        <w:t xml:space="preserve"> </w:t>
      </w:r>
    </w:p>
    <w:p w14:paraId="0769FAA3">
      <w:pPr>
        <w:pStyle w:val="15"/>
        <w:spacing w:line="600" w:lineRule="exact"/>
        <w:ind w:firstLine="640"/>
        <w:rPr>
          <w:rFonts w:hAnsi="仿宋"/>
          <w:sz w:val="32"/>
          <w:szCs w:val="32"/>
        </w:rPr>
      </w:pPr>
      <w:r>
        <w:rPr>
          <w:rFonts w:hint="eastAsia" w:hAnsi="仿宋"/>
          <w:sz w:val="32"/>
          <w:szCs w:val="32"/>
        </w:rPr>
        <w:t>八、年末结转和结余：指本年度或以前年度预算安排、因客观条件发生变化无法按原计划实施，需延迟到以后年度按有关规定继续使用的资金。</w:t>
      </w:r>
      <w:r>
        <w:rPr>
          <w:rFonts w:hAnsi="仿宋"/>
          <w:sz w:val="32"/>
          <w:szCs w:val="32"/>
        </w:rPr>
        <w:t xml:space="preserve"> </w:t>
      </w:r>
    </w:p>
    <w:p w14:paraId="1DC76D1E">
      <w:pPr>
        <w:pStyle w:val="15"/>
        <w:spacing w:line="600" w:lineRule="exact"/>
        <w:ind w:firstLine="640"/>
        <w:rPr>
          <w:rFonts w:hAnsi="仿宋"/>
          <w:sz w:val="32"/>
          <w:szCs w:val="32"/>
        </w:rPr>
      </w:pPr>
      <w:r>
        <w:rPr>
          <w:rFonts w:hint="eastAsia" w:hAnsi="仿宋"/>
          <w:sz w:val="32"/>
          <w:szCs w:val="32"/>
        </w:rPr>
        <w:t>九、基本支出：指为保障机构正常运转、完成日常工作任务而发生的人员支出和公用支出。</w:t>
      </w:r>
      <w:r>
        <w:rPr>
          <w:rFonts w:hAnsi="仿宋"/>
          <w:sz w:val="32"/>
          <w:szCs w:val="32"/>
        </w:rPr>
        <w:t xml:space="preserve"> </w:t>
      </w:r>
    </w:p>
    <w:p w14:paraId="7EC74F1B">
      <w:pPr>
        <w:pStyle w:val="15"/>
        <w:spacing w:line="600" w:lineRule="exact"/>
        <w:ind w:firstLine="640"/>
        <w:rPr>
          <w:rFonts w:hAnsi="仿宋"/>
          <w:sz w:val="32"/>
          <w:szCs w:val="32"/>
        </w:rPr>
      </w:pPr>
      <w:r>
        <w:rPr>
          <w:rFonts w:hint="eastAsia" w:hAnsi="仿宋"/>
          <w:sz w:val="32"/>
          <w:szCs w:val="32"/>
        </w:rPr>
        <w:t>十、项目支出：指在基本支出之外为完成特定行政任务和事业发展目标所发生的支出。</w:t>
      </w:r>
      <w:r>
        <w:rPr>
          <w:rFonts w:hAnsi="仿宋"/>
          <w:sz w:val="32"/>
          <w:szCs w:val="32"/>
        </w:rPr>
        <w:t xml:space="preserve"> </w:t>
      </w:r>
    </w:p>
    <w:p w14:paraId="34A14123">
      <w:pPr>
        <w:pStyle w:val="15"/>
        <w:spacing w:line="600" w:lineRule="exact"/>
        <w:ind w:firstLine="640"/>
        <w:rPr>
          <w:rFonts w:hAnsi="仿宋"/>
          <w:sz w:val="32"/>
          <w:szCs w:val="32"/>
        </w:rPr>
      </w:pPr>
      <w:r>
        <w:rPr>
          <w:rFonts w:hint="eastAsia" w:hAnsi="仿宋"/>
          <w:sz w:val="32"/>
          <w:szCs w:val="32"/>
        </w:rPr>
        <w:t>十一、经营支出：指事业单位在专业业务活动及其辅助活动之外开展非独立核算经营活动发生的支出。</w:t>
      </w:r>
      <w:r>
        <w:rPr>
          <w:rFonts w:hAnsi="仿宋"/>
          <w:sz w:val="32"/>
          <w:szCs w:val="32"/>
        </w:rPr>
        <w:t xml:space="preserve"> </w:t>
      </w:r>
    </w:p>
    <w:p w14:paraId="26D807DB">
      <w:pPr>
        <w:pStyle w:val="15"/>
        <w:spacing w:line="600" w:lineRule="exact"/>
        <w:ind w:firstLine="640"/>
        <w:rPr>
          <w:rFonts w:hAnsi="仿宋"/>
          <w:sz w:val="32"/>
          <w:szCs w:val="32"/>
        </w:rPr>
      </w:pPr>
      <w:r>
        <w:rPr>
          <w:rFonts w:hint="eastAsia" w:hAnsi="仿宋"/>
          <w:sz w:val="32"/>
          <w:szCs w:val="32"/>
        </w:rPr>
        <w:t>十二、</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费</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用车指车改后单位按规定保留的用于履行公务的机动车辆，包括领导干部用车、一般公务用车和执法执勤用车等；公务接待费反映单位按规定开支的各类公务接待（含外宾接待）支出。</w:t>
      </w:r>
      <w:r>
        <w:rPr>
          <w:rFonts w:hAnsi="仿宋"/>
          <w:sz w:val="32"/>
          <w:szCs w:val="32"/>
        </w:rPr>
        <w:t xml:space="preserve"> </w:t>
      </w:r>
    </w:p>
    <w:p w14:paraId="1D3E89C1">
      <w:pPr>
        <w:ind w:firstLine="640" w:firstLineChars="200"/>
        <w:jc w:val="left"/>
        <w:rPr>
          <w:rFonts w:asciiTheme="majorEastAsia" w:hAnsiTheme="majorEastAsia" w:eastAsiaTheme="majorEastAsia"/>
          <w:b/>
          <w:sz w:val="40"/>
        </w:rPr>
      </w:pPr>
      <w:r>
        <w:rPr>
          <w:rFonts w:hint="eastAsia" w:ascii="仿宋" w:hAnsi="仿宋" w:eastAsia="仿宋"/>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8378891">
      <w:pPr>
        <w:jc w:val="cente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6C45EA7-0116-423C-9C28-8618180ECBB1}"/>
  </w:font>
  <w:font w:name="黑体">
    <w:panose1 w:val="02010609060101010101"/>
    <w:charset w:val="86"/>
    <w:family w:val="auto"/>
    <w:pitch w:val="default"/>
    <w:sig w:usb0="800002BF" w:usb1="38CF7CFA" w:usb2="00000016" w:usb3="00000000" w:csb0="00040001" w:csb1="00000000"/>
    <w:embedRegular r:id="rId2" w:fontKey="{D58105CE-ACCB-4C4B-AD0F-1F7AB628C43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3" w:fontKey="{C91535CF-E6BA-47D4-8F89-B4D70D6DFCE1}"/>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6C498E24-222B-46D4-B706-DA0A54D761F0}"/>
  </w:font>
  <w:font w:name="方正小标宋_GBK">
    <w:panose1 w:val="02000000000000000000"/>
    <w:charset w:val="86"/>
    <w:family w:val="auto"/>
    <w:pitch w:val="default"/>
    <w:sig w:usb0="A00002BF" w:usb1="38CF7CFA" w:usb2="00082016" w:usb3="00000000" w:csb0="00040001" w:csb1="00000000"/>
    <w:embedRegular r:id="rId5" w:fontKey="{DE1D2E4F-BB30-4E26-8898-1A880F626192}"/>
  </w:font>
  <w:font w:name="楷体_GB2312">
    <w:panose1 w:val="02010609030101010101"/>
    <w:charset w:val="86"/>
    <w:family w:val="auto"/>
    <w:pitch w:val="default"/>
    <w:sig w:usb0="00000001" w:usb1="080E0000" w:usb2="00000000" w:usb3="00000000" w:csb0="00040000" w:csb1="00000000"/>
    <w:embedRegular r:id="rId6" w:fontKey="{D267A027-AA26-4DBA-932D-C568EE7E4171}"/>
  </w:font>
  <w:font w:name="楷体">
    <w:panose1 w:val="02010609060101010101"/>
    <w:charset w:val="86"/>
    <w:family w:val="modern"/>
    <w:pitch w:val="default"/>
    <w:sig w:usb0="800002BF" w:usb1="38CF7CFA" w:usb2="00000016" w:usb3="00000000" w:csb0="00040001" w:csb1="00000000"/>
    <w:embedRegular r:id="rId7" w:fontKey="{E9F73853-595B-4E82-9F18-56744A0F5F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6780272"/>
    </w:sdtPr>
    <w:sdtContent>
      <w:p w14:paraId="54224B1A">
        <w:pPr>
          <w:pStyle w:val="6"/>
          <w:jc w:val="center"/>
        </w:pPr>
        <w:r>
          <w:fldChar w:fldCharType="begin"/>
        </w:r>
        <w:r>
          <w:instrText xml:space="preserve">PAGE   \* MERGEFORMAT</w:instrText>
        </w:r>
        <w:r>
          <w:fldChar w:fldCharType="separate"/>
        </w:r>
        <w:r>
          <w:rPr>
            <w:lang w:val="zh-CN"/>
          </w:rPr>
          <w:t>10</w:t>
        </w:r>
        <w:r>
          <w:fldChar w:fldCharType="end"/>
        </w:r>
      </w:p>
    </w:sdtContent>
  </w:sdt>
  <w:p w14:paraId="1B8F5CD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7B7FD1">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7615"/>
                          </w:sdtPr>
                          <w:sdtContent>
                            <w:p w14:paraId="47984127">
                              <w:pPr>
                                <w:pStyle w:val="6"/>
                                <w:jc w:val="center"/>
                              </w:pPr>
                              <w:r>
                                <w:fldChar w:fldCharType="begin"/>
                              </w:r>
                              <w:r>
                                <w:instrText xml:space="preserve">PAGE   \* MERGEFORMAT</w:instrText>
                              </w:r>
                              <w:r>
                                <w:fldChar w:fldCharType="separate"/>
                              </w:r>
                              <w:r>
                                <w:rPr>
                                  <w:lang w:val="zh-CN"/>
                                </w:rPr>
                                <w:t>10</w:t>
                              </w:r>
                              <w:r>
                                <w:fldChar w:fldCharType="end"/>
                              </w:r>
                            </w:p>
                          </w:sdtContent>
                        </w:sdt>
                        <w:p w14:paraId="7D277780">
                          <w:pPr>
                            <w:pStyle w:val="8"/>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67615"/>
                    </w:sdtPr>
                    <w:sdtContent>
                      <w:p w14:paraId="47984127">
                        <w:pPr>
                          <w:pStyle w:val="6"/>
                          <w:jc w:val="center"/>
                        </w:pPr>
                        <w:r>
                          <w:fldChar w:fldCharType="begin"/>
                        </w:r>
                        <w:r>
                          <w:instrText xml:space="preserve">PAGE   \* MERGEFORMAT</w:instrText>
                        </w:r>
                        <w:r>
                          <w:fldChar w:fldCharType="separate"/>
                        </w:r>
                        <w:r>
                          <w:rPr>
                            <w:lang w:val="zh-CN"/>
                          </w:rPr>
                          <w:t>10</w:t>
                        </w:r>
                        <w:r>
                          <w:fldChar w:fldCharType="end"/>
                        </w:r>
                      </w:p>
                    </w:sdtContent>
                  </w:sdt>
                  <w:p w14:paraId="7D277780">
                    <w:pPr>
                      <w:pStyle w:val="8"/>
                    </w:pPr>
                  </w:p>
                </w:txbxContent>
              </v:textbox>
            </v:shape>
          </w:pict>
        </mc:Fallback>
      </mc:AlternateContent>
    </w:r>
  </w:p>
  <w:p w14:paraId="2EED9C79">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zZDk2NzE0NjExNGU4YjdlMTg4NjBiMTU2YjRlNTkifQ=="/>
  </w:docVars>
  <w:rsids>
    <w:rsidRoot w:val="00317140"/>
    <w:rsid w:val="00134215"/>
    <w:rsid w:val="0014464B"/>
    <w:rsid w:val="00162161"/>
    <w:rsid w:val="00167378"/>
    <w:rsid w:val="00244E2B"/>
    <w:rsid w:val="00317140"/>
    <w:rsid w:val="00327CB1"/>
    <w:rsid w:val="00353125"/>
    <w:rsid w:val="00445C9B"/>
    <w:rsid w:val="004D696A"/>
    <w:rsid w:val="005B00AC"/>
    <w:rsid w:val="006C4713"/>
    <w:rsid w:val="00753E47"/>
    <w:rsid w:val="007C60CF"/>
    <w:rsid w:val="008071E4"/>
    <w:rsid w:val="00880C2D"/>
    <w:rsid w:val="008A73C5"/>
    <w:rsid w:val="009C7FB5"/>
    <w:rsid w:val="00A4118D"/>
    <w:rsid w:val="00A855BE"/>
    <w:rsid w:val="00C02DE3"/>
    <w:rsid w:val="00C43C36"/>
    <w:rsid w:val="00C7095D"/>
    <w:rsid w:val="00CC6B40"/>
    <w:rsid w:val="00E05319"/>
    <w:rsid w:val="00E332A8"/>
    <w:rsid w:val="00FE6949"/>
    <w:rsid w:val="019314FB"/>
    <w:rsid w:val="05876713"/>
    <w:rsid w:val="05C07B0D"/>
    <w:rsid w:val="095235C6"/>
    <w:rsid w:val="10112EDA"/>
    <w:rsid w:val="12334081"/>
    <w:rsid w:val="12EC2AD5"/>
    <w:rsid w:val="13F866C4"/>
    <w:rsid w:val="17E106B3"/>
    <w:rsid w:val="1BA05747"/>
    <w:rsid w:val="1E88173F"/>
    <w:rsid w:val="21DA6168"/>
    <w:rsid w:val="297D3954"/>
    <w:rsid w:val="2BB25B59"/>
    <w:rsid w:val="30850E88"/>
    <w:rsid w:val="30A47C65"/>
    <w:rsid w:val="31DC5C3F"/>
    <w:rsid w:val="35EE55EC"/>
    <w:rsid w:val="38917752"/>
    <w:rsid w:val="3B96663F"/>
    <w:rsid w:val="3CCD6091"/>
    <w:rsid w:val="3D1B1663"/>
    <w:rsid w:val="3DB1150E"/>
    <w:rsid w:val="41A4267C"/>
    <w:rsid w:val="425E102C"/>
    <w:rsid w:val="48CC36A0"/>
    <w:rsid w:val="4949543E"/>
    <w:rsid w:val="4D424BF3"/>
    <w:rsid w:val="4DAB1AD6"/>
    <w:rsid w:val="558D41B7"/>
    <w:rsid w:val="5BCD1176"/>
    <w:rsid w:val="5C32211B"/>
    <w:rsid w:val="5F816B3B"/>
    <w:rsid w:val="60477E17"/>
    <w:rsid w:val="60682DA2"/>
    <w:rsid w:val="608F5287"/>
    <w:rsid w:val="61660FFC"/>
    <w:rsid w:val="63EB73BE"/>
    <w:rsid w:val="65513795"/>
    <w:rsid w:val="69BA604D"/>
    <w:rsid w:val="6DED1618"/>
    <w:rsid w:val="75C13CDD"/>
    <w:rsid w:val="76990185"/>
    <w:rsid w:val="78493763"/>
    <w:rsid w:val="7A8D23E0"/>
    <w:rsid w:val="7EB12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alloon Text"/>
    <w:basedOn w:val="1"/>
    <w:next w:val="3"/>
    <w:link w:val="14"/>
    <w:unhideWhenUsed/>
    <w:qFormat/>
    <w:uiPriority w:val="99"/>
    <w:pPr>
      <w:spacing w:line="240" w:lineRule="auto"/>
    </w:pPr>
    <w:rPr>
      <w:sz w:val="18"/>
      <w:szCs w:val="18"/>
    </w:rPr>
  </w:style>
  <w:style w:type="paragraph" w:styleId="3">
    <w:name w:val="index 5"/>
    <w:basedOn w:val="1"/>
    <w:next w:val="1"/>
    <w:qFormat/>
    <w:uiPriority w:val="0"/>
    <w:pPr>
      <w:ind w:left="1680"/>
    </w:pPr>
  </w:style>
  <w:style w:type="paragraph" w:styleId="4">
    <w:name w:val="Body Text"/>
    <w:basedOn w:val="1"/>
    <w:link w:val="13"/>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5">
    <w:name w:val="Body Text Indent"/>
    <w:basedOn w:val="1"/>
    <w:qFormat/>
    <w:uiPriority w:val="0"/>
    <w:pPr>
      <w:spacing w:after="120"/>
      <w:ind w:left="420" w:leftChars="200"/>
    </w:pPr>
    <w:rPr>
      <w:rFonts w:ascii="Times New Roman" w:hAnsi="Times New Roman"/>
    </w:rPr>
  </w:style>
  <w:style w:type="paragraph" w:styleId="6">
    <w:name w:val="footer"/>
    <w:basedOn w:val="1"/>
    <w:link w:val="12"/>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Body Text First Indent 2"/>
    <w:basedOn w:val="5"/>
    <w:qFormat/>
    <w:uiPriority w:val="0"/>
    <w:pPr>
      <w:ind w:firstLine="420"/>
    </w:p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character" w:customStyle="1" w:styleId="13">
    <w:name w:val="正文文本 Char"/>
    <w:basedOn w:val="10"/>
    <w:link w:val="4"/>
    <w:qFormat/>
    <w:uiPriority w:val="1"/>
    <w:rPr>
      <w:rFonts w:ascii="Times New Roman" w:hAnsi="Times New Roman" w:eastAsia="Times New Roman" w:cs="Times New Roman"/>
      <w:kern w:val="0"/>
      <w:sz w:val="20"/>
      <w:szCs w:val="20"/>
      <w:lang w:eastAsia="en-US"/>
    </w:rPr>
  </w:style>
  <w:style w:type="character" w:customStyle="1" w:styleId="14">
    <w:name w:val="批注框文本 Char"/>
    <w:basedOn w:val="10"/>
    <w:link w:val="2"/>
    <w:semiHidden/>
    <w:qFormat/>
    <w:uiPriority w:val="99"/>
    <w:rPr>
      <w:sz w:val="18"/>
      <w:szCs w:val="18"/>
    </w:rPr>
  </w:style>
  <w:style w:type="paragraph" w:customStyle="1" w:styleId="15">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6">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22</Pages>
  <Words>4076</Words>
  <Characters>4271</Characters>
  <Lines>278</Lines>
  <Paragraphs>196</Paragraphs>
  <TotalTime>1</TotalTime>
  <ScaleCrop>false</ScaleCrop>
  <LinksUpToDate>false</LinksUpToDate>
  <CharactersWithSpaces>4315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2019-03-10T08:45:00Z</dcterms:created>
  <dc:creator>null</dc:creator>
  <cp:lastModifiedBy>文小杰</cp:lastModifiedBy>
  <dcterms:modified xsi:type="dcterms:W3CDTF">2025-01-20T09:10:01Z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A7F331C7FC4347C197E77997BBB2BFEA_13</vt:lpwstr>
  </property>
  <property fmtid="{D5CDD505-2E9C-101B-9397-08002B2CF9AE}" pid="4" name="KSOTemplateDocerSaveRecord">
    <vt:lpwstr>eyJoZGlkIjoiNTU0YWQxNzI1ODIzZWU1Y2Q3NTg2NGU4ZGUwYTVjNWUiLCJ1c2VySWQiOiIxNTg2NTQwNzg5In0=</vt:lpwstr>
  </property>
</Properties>
</file>