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sz w:val="32"/>
          <w:szCs w:val="32"/>
        </w:rPr>
      </w:pPr>
      <w:r>
        <w:rPr>
          <w:rFonts w:hint="eastAsia"/>
          <w:sz w:val="32"/>
          <w:szCs w:val="32"/>
        </w:rPr>
        <w:t>附件</w:t>
      </w:r>
      <w:r>
        <w:rPr>
          <w:rFonts w:hint="eastAsia"/>
          <w:sz w:val="32"/>
          <w:szCs w:val="32"/>
          <w:lang w:val="en-US" w:eastAsia="zh-CN"/>
        </w:rPr>
        <w:t>2</w:t>
      </w:r>
      <w:r>
        <w:rPr>
          <w:rFonts w:hint="eastAsia"/>
          <w:sz w:val="32"/>
          <w:szCs w:val="32"/>
        </w:rPr>
        <w:t>：</w:t>
      </w:r>
    </w:p>
    <w:p>
      <w:pPr>
        <w:widowControl/>
        <w:rPr>
          <w:sz w:val="32"/>
          <w:szCs w:val="32"/>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lang w:val="en-US" w:eastAsia="zh-CN"/>
        </w:rPr>
        <w:t>2022</w:t>
      </w:r>
      <w:r>
        <w:rPr>
          <w:rFonts w:hint="eastAsia" w:ascii="方正小标宋简体" w:eastAsia="方正小标宋简体"/>
          <w:sz w:val="84"/>
          <w:szCs w:val="84"/>
        </w:rPr>
        <w:t>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福建省</w:t>
      </w:r>
      <w:r>
        <w:rPr>
          <w:rFonts w:hint="eastAsia" w:ascii="方正小标宋简体" w:eastAsia="方正小标宋简体"/>
          <w:sz w:val="84"/>
          <w:szCs w:val="84"/>
          <w:lang w:eastAsia="zh-CN"/>
        </w:rPr>
        <w:t>龙岩市上杭县珊瑚乡</w:t>
      </w:r>
      <w:r>
        <w:rPr>
          <w:rFonts w:hint="eastAsia" w:ascii="方正小标宋简体" w:eastAsia="方正小标宋简体"/>
          <w:sz w:val="84"/>
          <w:szCs w:val="84"/>
        </w:rPr>
        <w:t>部门预算</w:t>
      </w:r>
    </w:p>
    <w:p>
      <w:pPr>
        <w:widowControl/>
        <w:rPr>
          <w:sz w:val="84"/>
          <w:szCs w:val="84"/>
        </w:rPr>
      </w:pPr>
      <w:r>
        <w:rPr>
          <w:sz w:val="84"/>
          <w:szCs w:val="84"/>
        </w:rPr>
        <w:br w:type="page"/>
      </w:r>
    </w:p>
    <w:p>
      <w:pPr>
        <w:pStyle w:val="4"/>
        <w:jc w:val="center"/>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目  录</w:t>
      </w:r>
    </w:p>
    <w:p>
      <w:pPr>
        <w:pStyle w:val="4"/>
        <w:rPr>
          <w:rFonts w:asciiTheme="majorEastAsia" w:hAnsiTheme="majorEastAsia" w:eastAsiaTheme="majorEastAsia"/>
          <w:sz w:val="36"/>
          <w:lang w:eastAsia="zh-CN"/>
        </w:rPr>
      </w:pP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b/>
          <w:sz w:val="36"/>
          <w:lang w:val="en-US" w:eastAsia="zh-CN"/>
        </w:rPr>
      </w:pPr>
      <w:r>
        <w:rPr>
          <w:rFonts w:hint="eastAsia" w:asciiTheme="majorEastAsia" w:hAnsiTheme="majorEastAsia" w:eastAsiaTheme="majorEastAsia"/>
          <w:b/>
          <w:sz w:val="36"/>
          <w:lang w:eastAsia="zh-CN"/>
        </w:rPr>
        <w:t>第一部分 部门概况</w:t>
      </w:r>
      <w:r>
        <w:rPr>
          <w:rFonts w:asciiTheme="majorEastAsia" w:hAnsiTheme="majorEastAsia" w:eastAsiaTheme="majorEastAsia"/>
          <w:b/>
          <w:sz w:val="36"/>
          <w:lang w:eastAsia="zh-CN"/>
        </w:rPr>
        <w:t>…………………………………</w:t>
      </w:r>
      <w:r>
        <w:rPr>
          <w:rFonts w:hint="eastAsia" w:asciiTheme="majorEastAsia" w:hAnsiTheme="majorEastAsia" w:eastAsiaTheme="majorEastAsia"/>
          <w:b/>
          <w:sz w:val="36"/>
          <w:lang w:val="en-US" w:eastAsia="zh-CN"/>
        </w:rPr>
        <w:t>1</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一、部门主要职责</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二、部门预算单位构成</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2</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三、部门主要工作任务</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2</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b/>
          <w:sz w:val="36"/>
          <w:lang w:val="en-US" w:eastAsia="zh-CN"/>
        </w:rPr>
      </w:pPr>
      <w:r>
        <w:rPr>
          <w:rFonts w:hint="eastAsia" w:asciiTheme="majorEastAsia" w:hAnsiTheme="majorEastAsia" w:eastAsiaTheme="majorEastAsia"/>
          <w:b/>
          <w:sz w:val="36"/>
          <w:lang w:eastAsia="zh-CN"/>
        </w:rPr>
        <w:t xml:space="preserve">第二部分 </w:t>
      </w:r>
      <w:r>
        <w:rPr>
          <w:rFonts w:hint="eastAsia" w:ascii="仿宋" w:hAnsi="仿宋" w:eastAsia="仿宋" w:cs="仿宋_GB2312"/>
          <w:sz w:val="32"/>
          <w:szCs w:val="32"/>
          <w:lang w:val="en-US" w:eastAsia="zh-CN"/>
        </w:rPr>
        <w:t>2022</w:t>
      </w:r>
      <w:r>
        <w:rPr>
          <w:rFonts w:hint="eastAsia" w:asciiTheme="majorEastAsia" w:hAnsiTheme="majorEastAsia" w:eastAsiaTheme="majorEastAsia"/>
          <w:b/>
          <w:sz w:val="36"/>
          <w:lang w:eastAsia="zh-CN"/>
        </w:rPr>
        <w:t>年度部门预算表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7</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一、收支预算总表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7</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二、收入预算总表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7</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三、支出预算总表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8</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四、财政拨款收支预算总表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9</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五、一般公共预算拨款支出预算表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9</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六、政府性基金拨款支出预算表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10</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七、一般公共预算支出经济分类情况表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10</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八、一般公共预算基本支出经济分类情况表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10</w:t>
      </w:r>
    </w:p>
    <w:p>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九、一般公共预算“三公”经费支出预算表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14</w:t>
      </w:r>
    </w:p>
    <w:p>
      <w:pPr>
        <w:keepNext w:val="0"/>
        <w:keepLines w:val="0"/>
        <w:pageBreakBefore w:val="0"/>
        <w:widowControl/>
        <w:kinsoku/>
        <w:wordWrap/>
        <w:overflowPunct/>
        <w:topLinePunct w:val="0"/>
        <w:bidi w:val="0"/>
        <w:adjustRightInd/>
        <w:snapToGrid/>
        <w:jc w:val="distribute"/>
        <w:textAlignment w:val="auto"/>
        <w:rPr>
          <w:rFonts w:hint="default" w:asciiTheme="majorEastAsia" w:hAnsiTheme="majorEastAsia" w:eastAsiaTheme="majorEastAsia"/>
          <w:b/>
          <w:sz w:val="40"/>
          <w:lang w:val="en-US" w:eastAsia="zh-CN"/>
        </w:rPr>
      </w:pPr>
      <w:r>
        <w:rPr>
          <w:rFonts w:hint="eastAsia" w:asciiTheme="majorEastAsia" w:hAnsiTheme="majorEastAsia" w:eastAsiaTheme="majorEastAsia"/>
          <w:b/>
          <w:sz w:val="40"/>
        </w:rPr>
        <w:t xml:space="preserve">第三部分 </w:t>
      </w:r>
      <w:r>
        <w:rPr>
          <w:rFonts w:hint="eastAsia" w:ascii="仿宋" w:hAnsi="仿宋" w:eastAsia="仿宋" w:cs="仿宋_GB2312"/>
          <w:kern w:val="0"/>
          <w:sz w:val="32"/>
          <w:szCs w:val="32"/>
          <w:lang w:val="en-US" w:eastAsia="zh-CN"/>
        </w:rPr>
        <w:t>2022</w:t>
      </w:r>
      <w:r>
        <w:rPr>
          <w:rFonts w:hint="eastAsia" w:asciiTheme="majorEastAsia" w:hAnsiTheme="majorEastAsia" w:eastAsiaTheme="majorEastAsia"/>
          <w:b/>
          <w:sz w:val="40"/>
        </w:rPr>
        <w:t>年度部门预算情况说明</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14</w:t>
      </w:r>
    </w:p>
    <w:p>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一、预算收支总体情况</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14</w:t>
      </w:r>
    </w:p>
    <w:p>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二、一般公共预算拨款支出情况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15</w:t>
      </w:r>
    </w:p>
    <w:p>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三、政府性基金预算拨款支出情况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15</w:t>
      </w:r>
    </w:p>
    <w:p>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四、财政拨款预算基本支出情况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16</w:t>
      </w:r>
    </w:p>
    <w:p>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五、一般公共预算“三公”经费支出情况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16</w:t>
      </w:r>
    </w:p>
    <w:p>
      <w:pPr>
        <w:widowControl/>
        <w:jc w:val="distribute"/>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六、预算绩效目标情况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17</w:t>
      </w:r>
    </w:p>
    <w:p>
      <w:pPr>
        <w:widowControl/>
        <w:jc w:val="distribute"/>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七、其他重要事项说明</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17</w:t>
      </w:r>
    </w:p>
    <w:p>
      <w:pPr>
        <w:pStyle w:val="4"/>
        <w:spacing w:before="3"/>
        <w:jc w:val="distribute"/>
        <w:rPr>
          <w:rFonts w:hint="default" w:eastAsiaTheme="minorEastAsia"/>
          <w:sz w:val="26"/>
          <w:lang w:val="en-US" w:eastAsia="zh-CN"/>
        </w:rPr>
      </w:pPr>
      <w:r>
        <w:rPr>
          <w:rFonts w:hint="eastAsia" w:asciiTheme="majorEastAsia" w:hAnsiTheme="majorEastAsia" w:eastAsiaTheme="majorEastAsia"/>
          <w:b/>
          <w:sz w:val="40"/>
          <w:lang w:eastAsia="zh-CN"/>
        </w:rPr>
        <w:t>第四部分 名词解释</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18</w:t>
      </w:r>
    </w:p>
    <w:p>
      <w:pPr>
        <w:widowControl/>
      </w:pPr>
      <w:r>
        <w:tab/>
      </w:r>
    </w:p>
    <w:p>
      <w:pPr>
        <w:pStyle w:val="4"/>
        <w:jc w:val="center"/>
        <w:rPr>
          <w:rFonts w:hint="eastAsia" w:ascii="黑体" w:hAnsi="黑体" w:eastAsia="黑体"/>
          <w:sz w:val="36"/>
          <w:szCs w:val="36"/>
          <w:lang w:eastAsia="zh-CN"/>
        </w:rPr>
        <w:sectPr>
          <w:footerReference r:id="rId3" w:type="default"/>
          <w:pgSz w:w="11906" w:h="16838"/>
          <w:pgMar w:top="1440" w:right="1800" w:bottom="1440" w:left="1800" w:header="851" w:footer="992" w:gutter="0"/>
          <w:cols w:space="425" w:num="1"/>
          <w:docGrid w:type="lines" w:linePitch="312" w:charSpace="0"/>
        </w:sectPr>
      </w:pPr>
    </w:p>
    <w:p>
      <w:pPr>
        <w:pStyle w:val="4"/>
        <w:jc w:val="center"/>
        <w:rPr>
          <w:rFonts w:ascii="黑体" w:hAnsi="黑体" w:eastAsia="黑体"/>
          <w:sz w:val="36"/>
          <w:szCs w:val="36"/>
          <w:lang w:eastAsia="zh-CN"/>
        </w:rPr>
      </w:pPr>
      <w:r>
        <w:rPr>
          <w:rFonts w:hint="eastAsia" w:ascii="黑体" w:hAnsi="黑体" w:eastAsia="黑体"/>
          <w:sz w:val="36"/>
          <w:szCs w:val="36"/>
          <w:lang w:eastAsia="zh-CN"/>
        </w:rPr>
        <w:t>第一部分 部门概况</w:t>
      </w:r>
    </w:p>
    <w:p>
      <w:pPr>
        <w:pStyle w:val="4"/>
        <w:rPr>
          <w:rFonts w:ascii="黑体" w:hAnsi="黑体" w:eastAsia="黑体"/>
          <w:sz w:val="36"/>
          <w:szCs w:val="36"/>
          <w:lang w:eastAsia="zh-CN"/>
        </w:rPr>
      </w:pPr>
    </w:p>
    <w:p>
      <w:pPr>
        <w:pStyle w:val="4"/>
        <w:keepNext w:val="0"/>
        <w:keepLines w:val="0"/>
        <w:pageBreakBefore w:val="0"/>
        <w:widowControl w:val="0"/>
        <w:kinsoku/>
        <w:wordWrap/>
        <w:overflowPunct/>
        <w:topLinePunct w:val="0"/>
        <w:bidi w:val="0"/>
        <w:adjustRightInd/>
        <w:snapToGrid/>
        <w:spacing w:line="520" w:lineRule="exact"/>
        <w:jc w:val="both"/>
        <w:textAlignment w:val="auto"/>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一、部门主要职责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上杭县珊瑚乡党委、政府是管理全乡政治、经济、文化、教育、卫生、村镇建设、社会治安等物质文明和精神文明建设的一级基层政权组织。其主要职责是：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（一）贯彻执行党和国家的有关方针、政策、法律和法规，调查研究并拟订适合本乡实际的具体政策措施。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（二）组织制订全乡经济和社会发展的中长期规划，搞好经济发展的总体布局和产业布局，制订并组织实施全乡社会主义现代化新农村建设的规划和措施。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（三）完善统分结合的双层经营体制工作，巩固发展壮大村级集体经济，加强农村社会化服务体系建设，指导、协调农业生产和农村多种经营及贸易工作。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（四）编制乡级财政预决算计划，做好经费的划拨和核算工作；指导、协调、监督农村村级集体经济的财务、会计、审计工作。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（五）贯彻社会治安综合治理方针政策，落实社会治安综合治理目标责任制，加强法制宣传教育，做好人民调解、治安保卫和法律服务工作，维护全乡的社会稳定。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（六）负责做好全乡党的建设、宣传、教育、精神文明建设及指导工、青、妇群团工作。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（七）负责做好兵员征集、现役军人家庭优抚、退伍军人的安置、救灾救济、农村社会保险和推进殡葬改革的工作。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（八）承办县委、县政府及其工作部门交办的其他事项。</w:t>
      </w:r>
    </w:p>
    <w:p>
      <w:pPr>
        <w:pStyle w:val="4"/>
        <w:rPr>
          <w:rFonts w:hint="eastAsia" w:ascii="仿宋" w:hAnsi="仿宋" w:eastAsia="仿宋" w:cstheme="minorBidi"/>
          <w:b/>
          <w:kern w:val="2"/>
          <w:sz w:val="32"/>
          <w:szCs w:val="32"/>
          <w:lang w:eastAsia="zh-CN"/>
        </w:rPr>
      </w:pPr>
    </w:p>
    <w:p>
      <w:pPr>
        <w:pStyle w:val="4"/>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二、部门预算单位构成</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cs="仿宋_GB2312"/>
          <w:sz w:val="32"/>
          <w:szCs w:val="32"/>
          <w:lang w:eastAsia="zh-CN"/>
        </w:rPr>
        <w:t>上杭县珊瑚乡</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个机关行政处（科）室及</w:t>
      </w:r>
      <w:r>
        <w:rPr>
          <w:rFonts w:hint="eastAsia" w:ascii="仿宋" w:hAnsi="仿宋" w:eastAsia="仿宋" w:cs="仿宋_GB2312"/>
          <w:sz w:val="32"/>
          <w:szCs w:val="32"/>
          <w:lang w:val="en-US" w:eastAsia="zh-CN"/>
        </w:rPr>
        <w:t>4</w:t>
      </w:r>
      <w:r>
        <w:rPr>
          <w:rFonts w:hint="eastAsia" w:ascii="仿宋" w:hAnsi="仿宋" w:eastAsia="仿宋"/>
          <w:sz w:val="32"/>
          <w:szCs w:val="32"/>
        </w:rPr>
        <w:t>个下属单位，其中：列入</w:t>
      </w:r>
      <w:r>
        <w:rPr>
          <w:rFonts w:hint="eastAsia" w:ascii="仿宋" w:hAnsi="仿宋" w:eastAsia="仿宋" w:cs="仿宋_GB2312"/>
          <w:sz w:val="32"/>
          <w:szCs w:val="32"/>
          <w:lang w:val="en-US" w:eastAsia="zh-CN"/>
        </w:rPr>
        <w:t>2022</w:t>
      </w:r>
      <w:r>
        <w:rPr>
          <w:rFonts w:hint="eastAsia" w:ascii="仿宋" w:hAnsi="仿宋" w:eastAsia="仿宋"/>
          <w:sz w:val="32"/>
          <w:szCs w:val="32"/>
        </w:rPr>
        <w:t>年部门预算编制范围的单位详细情况见下表:</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30"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13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人员编制数</w:t>
            </w:r>
          </w:p>
        </w:tc>
        <w:tc>
          <w:tcPr>
            <w:tcW w:w="2131" w:type="dxa"/>
            <w:shd w:val="clear" w:color="auto" w:fill="auto"/>
          </w:tcPr>
          <w:p>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shd w:val="clear" w:color="auto" w:fill="auto"/>
            <w:vAlign w:val="center"/>
          </w:tcPr>
          <w:p>
            <w:pPr>
              <w:keepNext w:val="0"/>
              <w:keepLines w:val="0"/>
              <w:pageBreakBefore w:val="0"/>
              <w:widowControl w:val="0"/>
              <w:tabs>
                <w:tab w:val="left" w:pos="7513"/>
              </w:tabs>
              <w:kinsoku/>
              <w:wordWrap/>
              <w:overflowPunct/>
              <w:topLinePunct w:val="0"/>
              <w:autoSpaceDE/>
              <w:autoSpaceDN/>
              <w:bidi w:val="0"/>
              <w:adjustRightInd w:val="0"/>
              <w:snapToGrid w:val="0"/>
              <w:spacing w:line="440" w:lineRule="exact"/>
              <w:jc w:val="both"/>
              <w:textAlignment w:val="auto"/>
              <w:rPr>
                <w:rFonts w:hint="eastAsia" w:ascii="仿宋" w:hAnsi="仿宋" w:eastAsia="仿宋"/>
                <w:sz w:val="32"/>
                <w:szCs w:val="32"/>
                <w:lang w:eastAsia="zh-CN"/>
              </w:rPr>
            </w:pPr>
            <w:r>
              <w:rPr>
                <w:rFonts w:hint="eastAsia" w:ascii="仿宋" w:hAnsi="仿宋" w:eastAsia="仿宋"/>
                <w:sz w:val="32"/>
                <w:szCs w:val="32"/>
                <w:lang w:eastAsia="zh-CN"/>
              </w:rPr>
              <w:t>上杭县珊瑚乡人民政府本级</w:t>
            </w:r>
          </w:p>
        </w:tc>
        <w:tc>
          <w:tcPr>
            <w:tcW w:w="2130"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财政拨款</w:t>
            </w:r>
          </w:p>
        </w:tc>
        <w:tc>
          <w:tcPr>
            <w:tcW w:w="2131" w:type="dxa"/>
            <w:shd w:val="clear" w:color="auto" w:fill="auto"/>
            <w:vAlign w:val="center"/>
          </w:tcPr>
          <w:p>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19</w:t>
            </w:r>
          </w:p>
        </w:tc>
        <w:tc>
          <w:tcPr>
            <w:tcW w:w="2131" w:type="dxa"/>
            <w:shd w:val="clear" w:color="auto" w:fill="auto"/>
            <w:vAlign w:val="center"/>
          </w:tcPr>
          <w:p>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综合便民服务中心</w:t>
            </w:r>
          </w:p>
        </w:tc>
        <w:tc>
          <w:tcPr>
            <w:tcW w:w="2130" w:type="dxa"/>
            <w:shd w:val="clear" w:color="auto" w:fill="auto"/>
            <w:vAlign w:val="center"/>
          </w:tcPr>
          <w:p>
            <w:pPr>
              <w:adjustRightInd w:val="0"/>
              <w:snapToGrid w:val="0"/>
              <w:spacing w:line="600" w:lineRule="exact"/>
              <w:jc w:val="both"/>
              <w:rPr>
                <w:rFonts w:ascii="仿宋" w:hAnsi="仿宋" w:eastAsia="仿宋"/>
                <w:sz w:val="32"/>
                <w:szCs w:val="32"/>
              </w:rPr>
            </w:pPr>
            <w:r>
              <w:rPr>
                <w:rFonts w:hint="eastAsia" w:ascii="仿宋" w:hAnsi="仿宋" w:eastAsia="仿宋"/>
                <w:sz w:val="32"/>
                <w:szCs w:val="32"/>
                <w:lang w:eastAsia="zh-CN"/>
              </w:rPr>
              <w:t>财政拨款</w:t>
            </w:r>
          </w:p>
        </w:tc>
        <w:tc>
          <w:tcPr>
            <w:tcW w:w="2131"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9</w:t>
            </w:r>
          </w:p>
        </w:tc>
        <w:tc>
          <w:tcPr>
            <w:tcW w:w="2131"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综合执法队伍</w:t>
            </w:r>
          </w:p>
        </w:tc>
        <w:tc>
          <w:tcPr>
            <w:tcW w:w="2130" w:type="dxa"/>
            <w:shd w:val="clear" w:color="auto" w:fill="auto"/>
            <w:vAlign w:val="center"/>
          </w:tcPr>
          <w:p>
            <w:pPr>
              <w:adjustRightInd w:val="0"/>
              <w:snapToGrid w:val="0"/>
              <w:spacing w:line="600" w:lineRule="exact"/>
              <w:jc w:val="both"/>
              <w:rPr>
                <w:rFonts w:ascii="仿宋" w:hAnsi="仿宋" w:eastAsia="仿宋"/>
                <w:sz w:val="32"/>
                <w:szCs w:val="32"/>
              </w:rPr>
            </w:pPr>
            <w:r>
              <w:rPr>
                <w:rFonts w:hint="eastAsia" w:ascii="仿宋" w:hAnsi="仿宋" w:eastAsia="仿宋"/>
                <w:sz w:val="32"/>
                <w:szCs w:val="32"/>
                <w:lang w:eastAsia="zh-CN"/>
              </w:rPr>
              <w:t>财政拨款</w:t>
            </w:r>
          </w:p>
        </w:tc>
        <w:tc>
          <w:tcPr>
            <w:tcW w:w="2131"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5</w:t>
            </w:r>
          </w:p>
        </w:tc>
        <w:tc>
          <w:tcPr>
            <w:tcW w:w="2131"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0" w:type="dxa"/>
            <w:shd w:val="clear" w:color="auto" w:fill="auto"/>
            <w:vAlign w:val="center"/>
          </w:tcPr>
          <w:p>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乡村振兴服务中心</w:t>
            </w:r>
          </w:p>
        </w:tc>
        <w:tc>
          <w:tcPr>
            <w:tcW w:w="2130" w:type="dxa"/>
            <w:shd w:val="clear" w:color="auto" w:fill="auto"/>
            <w:vAlign w:val="center"/>
          </w:tcPr>
          <w:p>
            <w:pPr>
              <w:adjustRightInd w:val="0"/>
              <w:snapToGrid w:val="0"/>
              <w:spacing w:line="600" w:lineRule="exact"/>
              <w:jc w:val="both"/>
              <w:rPr>
                <w:rFonts w:ascii="仿宋" w:hAnsi="仿宋" w:eastAsia="仿宋"/>
                <w:sz w:val="32"/>
                <w:szCs w:val="32"/>
              </w:rPr>
            </w:pPr>
            <w:r>
              <w:rPr>
                <w:rFonts w:hint="eastAsia" w:ascii="仿宋" w:hAnsi="仿宋" w:eastAsia="仿宋"/>
                <w:sz w:val="32"/>
                <w:szCs w:val="32"/>
                <w:lang w:eastAsia="zh-CN"/>
              </w:rPr>
              <w:t>财政拨款</w:t>
            </w:r>
          </w:p>
        </w:tc>
        <w:tc>
          <w:tcPr>
            <w:tcW w:w="2131" w:type="dxa"/>
            <w:shd w:val="clear" w:color="auto" w:fill="auto"/>
            <w:vAlign w:val="center"/>
          </w:tcPr>
          <w:p>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12</w:t>
            </w:r>
          </w:p>
        </w:tc>
        <w:tc>
          <w:tcPr>
            <w:tcW w:w="2131" w:type="dxa"/>
            <w:shd w:val="clear" w:color="auto" w:fill="auto"/>
            <w:vAlign w:val="center"/>
          </w:tcPr>
          <w:p>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10</w:t>
            </w:r>
          </w:p>
        </w:tc>
      </w:tr>
    </w:tbl>
    <w:p>
      <w:pPr>
        <w:tabs>
          <w:tab w:val="left" w:pos="7513"/>
        </w:tabs>
        <w:adjustRightInd w:val="0"/>
        <w:snapToGrid w:val="0"/>
        <w:spacing w:line="600" w:lineRule="exact"/>
        <w:rPr>
          <w:rFonts w:cs="Times New Roman" w:asciiTheme="majorEastAsia" w:hAnsiTheme="majorEastAsia" w:eastAsiaTheme="majorEastAsia"/>
          <w:kern w:val="0"/>
          <w:sz w:val="36"/>
          <w:szCs w:val="20"/>
        </w:rPr>
      </w:pP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三、部门主要工作任务</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 xml:space="preserve"> 年是2022年是党的二十大召开之年，是实施“十四五”规划关键之年。做好全年工作意义重大、责任重大。上杭县珊瑚乡人民政府主要任务是：坚持以习近平新时代中国特色社会主义思想为指导，深入贯彻落实党的十九届历次全会精神，推进治理体系和治理能力现代化，按照县委建设“四个上杭”发展思路，顺势而为、乘势而上，进一步加快高质量发展落实赶超、建设红色、生态、宜居、平安、幸福的“五彩珊瑚”。围绕上述任务，重点抓好以下工作：</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lang w:eastAsia="zh-CN"/>
        </w:rPr>
      </w:pPr>
      <w:r>
        <w:rPr>
          <w:rFonts w:hint="eastAsia" w:ascii="仿宋" w:hAnsi="仿宋" w:eastAsia="仿宋" w:cs="仿宋_GB2312"/>
          <w:sz w:val="32"/>
          <w:szCs w:val="32"/>
        </w:rPr>
        <w:t>（一）坚持传承红色基因，着力打造“红色”珊瑚</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lang w:val="en-US" w:eastAsia="zh-CN"/>
        </w:rPr>
        <w:t>1.</w:t>
      </w:r>
      <w:r>
        <w:rPr>
          <w:rFonts w:hint="eastAsia" w:ascii="仿宋" w:hAnsi="仿宋" w:eastAsia="仿宋" w:cs="仿宋_GB2312"/>
          <w:sz w:val="32"/>
          <w:szCs w:val="32"/>
        </w:rPr>
        <w:t>深刻挖掘红色资源。以党史学习教育为契机，深度发掘“梦宏居”红军随营学校的创建发展及历史贡献，整理保护现存红军标语。围绕“栗子湖”红军渡口，规划实施眺望平台打造、亲水台阶修建、道路拓宽硬化等周边沿线景观改造项目。组织文史专家实地考察征集革命史料，有序推进《红色珊瑚》编纂工作。</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2.精心保护红色遗迹。加快“梦宏居”、“思龙堂”、烈士纪念碑、烈士墓等红色文化载体的修缮加固。积极将新时代文明实践志愿服务理念与红色遗迹保护有机结合，收集流传的红军故事和红色歌谣，全面营造红色遗迹保护的良好氛围。</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3.切实办好红色教育。依托“梦宏居”红军随营学校等红色旧址，将“梦宏居-思龙堂-革命烈士纪念广场-栗子湖红军渡口”串点成线打造成集红色课堂讲授、红色劳动体验、红色行军拉练等为一体的知名红色文化研学基地。坚持因地制宜，切实把古民居“围屋”客家文化、汀韩航道古驿站渡口文化、圆通山“知青楼”历史文化等优秀传统文化融入新时期红色血脉，实现红色教育常学常新。</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lang w:eastAsia="zh-CN"/>
        </w:rPr>
      </w:pPr>
      <w:r>
        <w:rPr>
          <w:rFonts w:hint="eastAsia" w:ascii="仿宋" w:hAnsi="仿宋" w:eastAsia="仿宋" w:cs="仿宋_GB2312"/>
          <w:sz w:val="32"/>
          <w:szCs w:val="32"/>
        </w:rPr>
        <w:t>（二）坚持绿色科学发展，着力打造“生态”珊瑚</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1.做好“田”文章，促进生态农业发展。积极引导土地流转1000余亩。大力引进现代休闲农业、乡村旅游等产业融合项目，促进传统农业向现代农业转变。有效管控槟榔芋种植，有序扩大烤烟、山油茶、黑皮鸡枞等种植规模，努力培育珊瑚特色农业品牌。规划种植丰产油茶林，推进油茶基地标准化建设和产业化经营。</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2.做好“林”文章，共筑生态保护屏障。牢固树立绿色发展理念，倡导践行绿色生活方式。深化养殖业污染防治，严禁新扩建生猪养殖场，防止关闭养殖场复养反弹。坚持“打早、打小、打了”，全力做好森林防灭火工作。深入推行“林长制”，加大造林护林力度，提高森林质量。</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3.做好“水”文章，提升生态水源质量。深化落实“河湖长”工作责任制，以污水治理、生态修复和环境巡查监管为重点，加强辖区水流域治理，提升河道水环境质量。深入推进横滩水源地一级保护区水环境综合整治提升项目，重点做好合水口、栗子湖交接断面水质管理监测,确保出境水质常年达标。</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（三）坚持乡村全面振兴，着力打造“宜居”珊瑚</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1.人居环境大幅提升。在总结去年“零补偿”拆除空心房、废弃烤烟房、旱厕等经验基础上，制订“裸房专项整治”实施方案，网格化进村入户做好群众工作，对全乡既有裸房存量进行摸底、测量、登记、造册，通过“专题会议鼓干劲、成立专班压担子、一线督查抓落实、示范引领见成效”四举措，持续推进裸房专项整治工作，切实巩固农村人居环境整治三年行动成果，截至目前，全乡已完成裸房专项整治面积21592平方米，完成率达141%。</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2.长效机制逐步建立。进一步巩固人居环境整治成果，持续推行农村安全饮水“政府主导、群众参与、网格管理、村民自治、智能收费、阶梯水价”机制和农村生活垃圾“户分类、村收集、乡转运、县处理”机制，确保农村饮水专业化管理、农村垃圾规范化处置。全面完善村规民约和村民议事制度，着力健全美丽乡村建设长效管理机制。</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（四）坚持社会综合治理，着力打造“平安”珊瑚</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1.推进治安防控不松懈。全面推进平安智慧乡村建设，推进“雪亮工程”升级版打造，构建“多网融合、一网统筹”的综治网格化监管责任体系。持续争创市级平安乡镇，做好宗教领域风险隐患点排查、推动扫黑除恶专项斗争常态化，持续开展电信网络诈骗犯罪、涉麻制毒、非法集资等专项治理，确保社会安定稳定。</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2.推进信访维稳不动摇。健全乡村治理体系，建好用活“红土先锋信访评理室”，持续推进社会矛盾源头预防、排查预警、多元化解。强化领导干部接访下访督访，重点抓好信访维稳和民情收集处理工作，确保群众利益表达、协调机制更加健全，涉法涉诉信访依法终结。</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3.推进安全生产不麻痹。严格落实“</w:t>
      </w:r>
      <w:r>
        <w:rPr>
          <w:rFonts w:hint="eastAsia" w:ascii="仿宋" w:hAnsi="仿宋" w:eastAsia="仿宋" w:cs="仿宋_GB2312"/>
          <w:sz w:val="32"/>
          <w:szCs w:val="32"/>
          <w:lang w:eastAsia="zh-CN"/>
        </w:rPr>
        <w:t>党政同责、一岗双责、齐抓共管、失职追责</w:t>
      </w:r>
      <w:bookmarkStart w:id="0" w:name="_GoBack"/>
      <w:bookmarkEnd w:id="0"/>
      <w:r>
        <w:rPr>
          <w:rFonts w:hint="eastAsia" w:ascii="仿宋" w:hAnsi="仿宋" w:eastAsia="仿宋" w:cs="仿宋_GB2312"/>
          <w:sz w:val="32"/>
          <w:szCs w:val="32"/>
        </w:rPr>
        <w:t>”的要求，深化安全生产专项整治三年行动，确保安全生产形势持续稳定。深入开展校园周边、商店超市、农贸市场等重点区域的安全隐患排查整治。建立珊瑚乡农村聚集性活动安全监管工作领导小组，加强应急队伍和物资储备管理，全面提升综合防灾减灾救灾能力。</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（五）坚持民生福祉共享，着力打造“幸福”珊瑚</w:t>
      </w:r>
    </w:p>
    <w:p>
      <w:pPr>
        <w:keepNext w:val="0"/>
        <w:keepLines w:val="0"/>
        <w:pageBreakBefore w:val="0"/>
        <w:widowControl w:val="0"/>
        <w:kinsoku/>
        <w:wordWrap/>
        <w:overflowPunct/>
        <w:topLinePunct w:val="0"/>
        <w:autoSpaceDE/>
        <w:autoSpaceDN/>
        <w:bidi w:val="0"/>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1.推动产业发展增收。农业发展提质增效，引进龙岩市佳农生态农业发展有限公司在我乡建设山油茶及脐橙种植基地，已完成文旅康养项目总体规划，种植油茶850亩、脐橙200亩。成功引进绿合环保年产10万吨新型水处理净化剂（废酸利用）项目、艾斯芸防伪包装生产项目、上杭县皮西珂鞋业有限公司年产500万双鞋项目。引进福建杭大建设、福建杭投建设、福建顺森建设、华雄建设、杭川水利建设、大嵩建设等6家资质建筑企业注册落户珊瑚，实现建筑企业税源回归“零”的突破。</w:t>
      </w:r>
    </w:p>
    <w:p>
      <w:pPr>
        <w:keepNext w:val="0"/>
        <w:keepLines w:val="0"/>
        <w:pageBreakBefore w:val="0"/>
        <w:widowControl w:val="0"/>
        <w:kinsoku/>
        <w:wordWrap/>
        <w:overflowPunct/>
        <w:topLinePunct w:val="0"/>
        <w:autoSpaceDE/>
        <w:autoSpaceDN/>
        <w:bidi w:val="0"/>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2.推动社会事业发展。保持脱贫帮扶政策，加快建立防止返贫监测和帮扶机制，实现巩固拓展脱贫攻坚成果同乡村振兴有效衔接。全面落实社保征缴制度，不断扩大参保覆盖面。加强低保动态管理工作，切实保障困难群体利益。持续抓好殡葬管理改革工作，完善天子地公墓配套设施，健全日常管理机制。积极做好常态化疫情防控工作，提升农村医疗服务水平。巩固市级文明乡镇、文明村创建成果，持续抓好爱溪书屋新时代文明实践所和各村文明实践站建设，弘扬传递珊瑚正能量。</w:t>
      </w:r>
    </w:p>
    <w:p>
      <w:pPr>
        <w:ind w:firstLine="640" w:firstLineChars="200"/>
        <w:rPr>
          <w:rFonts w:ascii="仿宋" w:hAnsi="仿宋" w:eastAsia="仿宋" w:cs="仿宋_GB2312"/>
          <w:sz w:val="32"/>
          <w:szCs w:val="32"/>
        </w:rPr>
      </w:pPr>
    </w:p>
    <w:p>
      <w:pPr>
        <w:pStyle w:val="4"/>
        <w:jc w:val="center"/>
        <w:rPr>
          <w:rFonts w:ascii="黑体" w:hAnsi="黑体" w:eastAsia="黑体"/>
          <w:sz w:val="36"/>
          <w:szCs w:val="36"/>
          <w:lang w:eastAsia="zh-CN"/>
        </w:rPr>
      </w:pPr>
      <w:r>
        <w:rPr>
          <w:rFonts w:hint="eastAsia" w:ascii="黑体" w:hAnsi="黑体" w:eastAsia="黑体"/>
          <w:sz w:val="36"/>
          <w:szCs w:val="36"/>
          <w:lang w:eastAsia="zh-CN"/>
        </w:rPr>
        <w:t xml:space="preserve">第二部分 </w:t>
      </w:r>
      <w:r>
        <w:rPr>
          <w:rFonts w:hint="eastAsia" w:ascii="黑体" w:hAnsi="黑体" w:eastAsia="黑体"/>
          <w:sz w:val="36"/>
          <w:szCs w:val="36"/>
          <w:lang w:val="en-US" w:eastAsia="zh-CN"/>
        </w:rPr>
        <w:t>2022</w:t>
      </w:r>
      <w:r>
        <w:rPr>
          <w:rFonts w:hint="eastAsia" w:ascii="黑体" w:hAnsi="黑体" w:eastAsia="黑体"/>
          <w:sz w:val="36"/>
          <w:szCs w:val="36"/>
          <w:lang w:eastAsia="zh-CN"/>
        </w:rPr>
        <w:t>年度部门预算表</w:t>
      </w:r>
    </w:p>
    <w:p>
      <w:pPr>
        <w:pStyle w:val="4"/>
        <w:rPr>
          <w:rFonts w:asciiTheme="majorEastAsia" w:hAnsiTheme="majorEastAsia" w:eastAsiaTheme="majorEastAsia"/>
          <w:sz w:val="36"/>
          <w:lang w:eastAsia="zh-CN"/>
        </w:rPr>
      </w:pPr>
    </w:p>
    <w:p>
      <w:pPr>
        <w:tabs>
          <w:tab w:val="left" w:pos="7513"/>
        </w:tabs>
        <w:adjustRightInd w:val="0"/>
        <w:snapToGrid w:val="0"/>
        <w:spacing w:line="600" w:lineRule="exact"/>
        <w:rPr>
          <w:rFonts w:hint="eastAsia" w:ascii="仿宋" w:hAnsi="仿宋" w:eastAsia="仿宋"/>
          <w:sz w:val="32"/>
          <w:szCs w:val="32"/>
        </w:rPr>
      </w:pPr>
      <w:r>
        <w:rPr>
          <w:rFonts w:hint="eastAsia" w:ascii="仿宋" w:hAnsi="仿宋" w:eastAsia="仿宋"/>
          <w:sz w:val="32"/>
          <w:szCs w:val="32"/>
        </w:rPr>
        <w:t>一、收支预算总表</w:t>
      </w:r>
    </w:p>
    <w:tbl>
      <w:tblPr>
        <w:tblStyle w:val="8"/>
        <w:tblpPr w:leftFromText="180" w:rightFromText="180" w:vertAnchor="text" w:horzAnchor="page" w:tblpX="887" w:tblpY="197"/>
        <w:tblOverlap w:val="never"/>
        <w:tblW w:w="1032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6"/>
        <w:gridCol w:w="1670"/>
        <w:gridCol w:w="3678"/>
        <w:gridCol w:w="19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5" w:hRule="atLeast"/>
          <w:jc w:val="center"/>
        </w:trPr>
        <w:tc>
          <w:tcPr>
            <w:tcW w:w="10320"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299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167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3678"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197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b/>
                <w:bCs/>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收入项目类别</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支出项目类别</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758.81 </w:t>
            </w: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一、基本支出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758.81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二、基金预算财政拨款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人员支出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426.47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三、财政专户拨款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对个人和家庭补助支出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四、单位其他收入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公用支出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五、单位结余结转资金</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二、项目支出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收入合计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758.81</w:t>
            </w: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支出合计</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758.81 </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二、收入预算总表</w:t>
      </w:r>
    </w:p>
    <w:tbl>
      <w:tblPr>
        <w:tblStyle w:val="8"/>
        <w:tblpPr w:leftFromText="180" w:rightFromText="180" w:vertAnchor="text" w:horzAnchor="page" w:tblpXSpec="center" w:tblpY="81"/>
        <w:tblOverlap w:val="never"/>
        <w:tblW w:w="1068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2550"/>
        <w:gridCol w:w="1200"/>
        <w:gridCol w:w="1140"/>
        <w:gridCol w:w="1140"/>
        <w:gridCol w:w="1140"/>
        <w:gridCol w:w="1140"/>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2" w:hRule="atLeast"/>
          <w:jc w:val="center"/>
        </w:trPr>
        <w:tc>
          <w:tcPr>
            <w:tcW w:w="10680"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年度收入预算总表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23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255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1200" w:type="dxa"/>
            <w:tcBorders>
              <w:top w:val="nil"/>
              <w:left w:val="nil"/>
              <w:bottom w:val="nil"/>
              <w:right w:val="nil"/>
            </w:tcBorders>
            <w:shd w:val="clear" w:color="auto" w:fill="auto"/>
            <w:vAlign w:val="center"/>
          </w:tcPr>
          <w:p>
            <w:pPr>
              <w:jc w:val="center"/>
              <w:rPr>
                <w:rFonts w:hint="eastAsia" w:ascii="黑体" w:hAnsi="宋体" w:eastAsia="黑体" w:cs="黑体"/>
                <w:i w:val="0"/>
                <w:iCs w:val="0"/>
                <w:color w:val="000000"/>
                <w:sz w:val="40"/>
                <w:szCs w:val="40"/>
                <w:u w:val="none"/>
              </w:rPr>
            </w:pPr>
          </w:p>
        </w:tc>
        <w:tc>
          <w:tcPr>
            <w:tcW w:w="1140"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40"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40"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280" w:type="dxa"/>
            <w:gridSpan w:val="2"/>
            <w:tcBorders>
              <w:top w:val="nil"/>
              <w:left w:val="nil"/>
              <w:bottom w:val="single" w:color="000000" w:sz="4" w:space="0"/>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69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基金预算拨款</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财政专户拨款</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单位结余结转资金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单位其它收入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上杭县珊瑚乡人民政府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758.81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758.81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tabs>
          <w:tab w:val="left" w:pos="7513"/>
        </w:tabs>
        <w:adjustRightInd w:val="0"/>
        <w:snapToGrid w:val="0"/>
        <w:spacing w:line="600" w:lineRule="exact"/>
        <w:rPr>
          <w:rFonts w:hint="eastAsia" w:ascii="仿宋" w:hAnsi="仿宋" w:eastAsia="仿宋"/>
          <w:sz w:val="32"/>
          <w:szCs w:val="32"/>
        </w:rPr>
        <w:sectPr>
          <w:footerReference r:id="rId4" w:type="default"/>
          <w:pgSz w:w="11906" w:h="16838"/>
          <w:pgMar w:top="1440" w:right="1800" w:bottom="1440" w:left="1800" w:header="851" w:footer="992" w:gutter="0"/>
          <w:pgNumType w:fmt="decimal" w:start="1"/>
          <w:cols w:space="425" w:num="1"/>
          <w:docGrid w:type="lines" w:linePitch="312" w:charSpace="0"/>
        </w:sect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三、支出预算总表</w:t>
      </w:r>
    </w:p>
    <w:tbl>
      <w:tblPr>
        <w:tblStyle w:val="8"/>
        <w:tblW w:w="1417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9"/>
        <w:gridCol w:w="1115"/>
        <w:gridCol w:w="1026"/>
        <w:gridCol w:w="1345"/>
        <w:gridCol w:w="884"/>
        <w:gridCol w:w="883"/>
        <w:gridCol w:w="867"/>
        <w:gridCol w:w="883"/>
        <w:gridCol w:w="490"/>
        <w:gridCol w:w="1027"/>
        <w:gridCol w:w="1000"/>
        <w:gridCol w:w="883"/>
        <w:gridCol w:w="970"/>
        <w:gridCol w:w="970"/>
        <w:gridCol w:w="9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5" w:hRule="atLeast"/>
          <w:jc w:val="center"/>
        </w:trPr>
        <w:tc>
          <w:tcPr>
            <w:tcW w:w="14174" w:type="dxa"/>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年度支出预算总表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90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11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02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34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8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6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49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02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0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7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892" w:type="dxa"/>
            <w:gridSpan w:val="2"/>
            <w:tcBorders>
              <w:top w:val="nil"/>
              <w:left w:val="nil"/>
              <w:bottom w:val="single" w:color="000000" w:sz="4" w:space="0"/>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人员支出</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对个人和家庭的补助支出</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公用支出</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3" w:hRule="atLeast"/>
          <w:jc w:val="center"/>
        </w:trPr>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基金预算拨款</w:t>
            </w:r>
          </w:p>
        </w:tc>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财政专户拨款</w:t>
            </w:r>
          </w:p>
        </w:tc>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单位结余结转资金</w:t>
            </w:r>
          </w:p>
        </w:tc>
        <w:tc>
          <w:tcPr>
            <w:tcW w:w="9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单位其它收入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上杭县珊瑚乡人民政府</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500120103</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一般公共服务支出/政府办公厅（室）及相关机构事务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428.4 </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411.83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6.85 </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9.72 </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428.4 </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500121307</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农林水支出/农村综合改革</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68.02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16.36</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500122999</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其他支出/其他支出</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246.03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215.03</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246.03</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246.03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tabs>
          <w:tab w:val="left" w:pos="7513"/>
        </w:tabs>
        <w:adjustRightInd w:val="0"/>
        <w:snapToGrid w:val="0"/>
        <w:spacing w:line="600" w:lineRule="exact"/>
        <w:rPr>
          <w:rFonts w:hint="eastAsia" w:ascii="仿宋" w:hAnsi="仿宋" w:eastAsia="仿宋"/>
          <w:sz w:val="32"/>
          <w:szCs w:val="32"/>
        </w:rPr>
        <w:sectPr>
          <w:pgSz w:w="16838" w:h="11906" w:orient="landscape"/>
          <w:pgMar w:top="1800" w:right="1440" w:bottom="1800" w:left="1440" w:header="851" w:footer="992" w:gutter="0"/>
          <w:pgNumType w:fmt="decimal"/>
          <w:cols w:space="425" w:num="1"/>
          <w:docGrid w:type="lines" w:linePitch="312" w:charSpace="0"/>
        </w:sect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四、财政拨款收支预算总表</w:t>
      </w:r>
    </w:p>
    <w:tbl>
      <w:tblPr>
        <w:tblStyle w:val="8"/>
        <w:tblW w:w="1065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9"/>
        <w:gridCol w:w="1759"/>
        <w:gridCol w:w="3273"/>
        <w:gridCol w:w="28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5" w:hRule="atLeast"/>
          <w:jc w:val="center"/>
        </w:trPr>
        <w:tc>
          <w:tcPr>
            <w:tcW w:w="10650"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2769"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1759"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3273"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284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b/>
                <w:bCs/>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收入项目类别</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支出项目类别</w:t>
            </w: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758.81 </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一、基本支出</w:t>
            </w:r>
          </w:p>
        </w:tc>
        <w:tc>
          <w:tcPr>
            <w:tcW w:w="2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758.81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二、基金预算财政拨款</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人员支出</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426.47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对个人和家庭补助支出</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公用支出</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二、项目支出</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收入合计</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758.81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支出合计</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758.81 </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五、一般公共预算拨款支出预算表</w:t>
      </w:r>
    </w:p>
    <w:tbl>
      <w:tblPr>
        <w:tblStyle w:val="8"/>
        <w:tblW w:w="9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65"/>
        <w:gridCol w:w="1680"/>
        <w:gridCol w:w="1500"/>
        <w:gridCol w:w="1695"/>
        <w:gridCol w:w="19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5" w:hRule="atLeast"/>
        </w:trPr>
        <w:tc>
          <w:tcPr>
            <w:tcW w:w="9045"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226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5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905"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22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500120103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一般公共服务支出/政府办公厅（室）及相关机构事务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428.4 </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428.4 </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500121307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农林水支出/农村综合改革</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84.38</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84.38</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500122999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其他支出/其他支出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246.03</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246.03</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2"/>
                <w:szCs w:val="22"/>
                <w:u w:val="none"/>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六、政府性基金拨款支出预算表</w:t>
      </w:r>
    </w:p>
    <w:tbl>
      <w:tblPr>
        <w:tblStyle w:val="8"/>
        <w:tblW w:w="1021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31"/>
        <w:gridCol w:w="2131"/>
        <w:gridCol w:w="1274"/>
        <w:gridCol w:w="2131"/>
        <w:gridCol w:w="2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9" w:hRule="atLeast"/>
          <w:jc w:val="center"/>
        </w:trPr>
        <w:tc>
          <w:tcPr>
            <w:tcW w:w="10215"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年度政府性基金拨款支出预算表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213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13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27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13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54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1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12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6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2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2"/>
                <w:szCs w:val="22"/>
                <w:u w:val="none"/>
              </w:rPr>
            </w:pPr>
          </w:p>
        </w:tc>
        <w:tc>
          <w:tcPr>
            <w:tcW w:w="25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2"/>
                <w:szCs w:val="22"/>
                <w:u w:val="none"/>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七、一般公共预算支出经济分类情况表</w:t>
      </w:r>
    </w:p>
    <w:tbl>
      <w:tblPr>
        <w:tblStyle w:val="8"/>
        <w:tblW w:w="1008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55"/>
        <w:gridCol w:w="4350"/>
        <w:gridCol w:w="3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3" w:hRule="atLeast"/>
          <w:jc w:val="center"/>
        </w:trPr>
        <w:tc>
          <w:tcPr>
            <w:tcW w:w="10080" w:type="dxa"/>
            <w:gridSpan w:val="3"/>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年度一般公共预算支出经济分类情况表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2055"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4350" w:type="dxa"/>
            <w:tcBorders>
              <w:top w:val="nil"/>
              <w:left w:val="nil"/>
              <w:bottom w:val="nil"/>
              <w:right w:val="nil"/>
            </w:tcBorders>
            <w:shd w:val="clear" w:color="auto" w:fill="auto"/>
            <w:noWrap/>
            <w:vAlign w:val="bottom"/>
          </w:tcPr>
          <w:p>
            <w:pPr>
              <w:jc w:val="right"/>
              <w:rPr>
                <w:rFonts w:hint="eastAsia" w:ascii="宋体" w:hAnsi="宋体" w:eastAsia="宋体" w:cs="宋体"/>
                <w:i w:val="0"/>
                <w:iCs w:val="0"/>
                <w:color w:val="000000"/>
                <w:sz w:val="20"/>
                <w:szCs w:val="20"/>
                <w:u w:val="none"/>
              </w:rPr>
            </w:pPr>
          </w:p>
        </w:tc>
        <w:tc>
          <w:tcPr>
            <w:tcW w:w="3675"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367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758.81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资本性支出（基本建设）</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对企业补助（基本建设）</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对社会保障基金补助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205.58</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八、一般公共预算基本支出经济分类情况表</w:t>
      </w:r>
    </w:p>
    <w:tbl>
      <w:tblPr>
        <w:tblStyle w:val="8"/>
        <w:tblW w:w="984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15"/>
        <w:gridCol w:w="4455"/>
        <w:gridCol w:w="3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atLeast"/>
          <w:jc w:val="center"/>
        </w:trPr>
        <w:tc>
          <w:tcPr>
            <w:tcW w:w="9840"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年度一般公共预算基本支出经济分类情况表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jc w:val="center"/>
        </w:trPr>
        <w:tc>
          <w:tcPr>
            <w:tcW w:w="2115" w:type="dxa"/>
            <w:tcBorders>
              <w:top w:val="nil"/>
              <w:left w:val="nil"/>
              <w:bottom w:val="nil"/>
              <w:right w:val="nil"/>
            </w:tcBorders>
            <w:shd w:val="clear" w:color="auto" w:fill="auto"/>
            <w:noWrap/>
            <w:vAlign w:val="center"/>
          </w:tcPr>
          <w:p>
            <w:pPr>
              <w:rPr>
                <w:rFonts w:hint="eastAsia" w:ascii="Arial" w:hAnsi="Arial" w:eastAsia="宋体" w:cs="Arial"/>
                <w:i w:val="0"/>
                <w:iCs w:val="0"/>
                <w:color w:val="000000"/>
                <w:sz w:val="20"/>
                <w:szCs w:val="20"/>
                <w:u w:val="none"/>
              </w:rPr>
            </w:pPr>
          </w:p>
        </w:tc>
        <w:tc>
          <w:tcPr>
            <w:tcW w:w="7725"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 编码</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5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376.84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145.84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津贴补贴</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奖金</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伙食补助费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24.42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职业年金缴费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其他社会保障缴费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其他工资福利支出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85.16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咨询费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手续费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取暖费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物业管理费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因公出国（境）费用</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专用材料费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被装购置费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专用燃料费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工会经费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福利费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税金及附加费用</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离休费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退职(役)费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抚恤金</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救济费</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奖励金</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个人农业生产补贴</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其他对个人和家庭的补助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国内债务付息</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国外债务付息</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国内债务发行费用</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30704</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国外债务发行费用</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其他基本建设支出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310</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土地补偿</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安置补助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地上附着物和青苗补偿</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拆迁补偿</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其他资本性支出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31201</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政府投资基金股权投资</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31204</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费用补贴</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31205</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利息补贴</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31302</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对社会保险基金补助</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31303</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补充全国社会保障基金</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205.58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赠与</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国家赔偿费用支出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对民间非营利组织和群众性自治组织补贴</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4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3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205.58</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九、一般公共预算“三公”经费支出预算表</w:t>
      </w:r>
    </w:p>
    <w:tbl>
      <w:tblPr>
        <w:tblStyle w:val="8"/>
        <w:tblW w:w="96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90"/>
        <w:gridCol w:w="3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0" w:hRule="atLeast"/>
          <w:jc w:val="center"/>
        </w:trPr>
        <w:tc>
          <w:tcPr>
            <w:tcW w:w="966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2</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6090" w:type="dxa"/>
            <w:tcBorders>
              <w:top w:val="nil"/>
              <w:left w:val="nil"/>
              <w:bottom w:val="nil"/>
              <w:right w:val="nil"/>
            </w:tcBorders>
            <w:shd w:val="clear" w:color="auto" w:fill="auto"/>
            <w:noWrap/>
            <w:vAlign w:val="center"/>
          </w:tcPr>
          <w:p>
            <w:pPr>
              <w:rPr>
                <w:rFonts w:hint="eastAsia" w:ascii="楷体_GB2312" w:hAnsi="宋体" w:eastAsia="楷体_GB2312" w:cs="楷体_GB2312"/>
                <w:i w:val="0"/>
                <w:iCs w:val="0"/>
                <w:color w:val="000000"/>
                <w:sz w:val="24"/>
                <w:szCs w:val="24"/>
                <w:u w:val="none"/>
              </w:rPr>
            </w:pPr>
          </w:p>
        </w:tc>
        <w:tc>
          <w:tcPr>
            <w:tcW w:w="35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1、因公出国（境）费用</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2、公务接待费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3、公务用车购置及运行费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其中：（1）公务用车运行费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（2）公务用车购置费</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bl>
    <w:p>
      <w:pPr>
        <w:pStyle w:val="4"/>
        <w:jc w:val="center"/>
        <w:rPr>
          <w:rFonts w:hint="eastAsia" w:ascii="黑体" w:hAnsi="黑体" w:eastAsia="黑体"/>
          <w:sz w:val="36"/>
          <w:szCs w:val="36"/>
          <w:lang w:eastAsia="zh-CN"/>
        </w:rPr>
      </w:pPr>
    </w:p>
    <w:p>
      <w:pPr>
        <w:pStyle w:val="4"/>
        <w:jc w:val="center"/>
        <w:rPr>
          <w:rFonts w:ascii="黑体" w:hAnsi="黑体" w:eastAsia="黑体"/>
          <w:sz w:val="36"/>
          <w:szCs w:val="36"/>
          <w:lang w:eastAsia="zh-CN"/>
        </w:rPr>
      </w:pPr>
      <w:r>
        <w:rPr>
          <w:rFonts w:hint="eastAsia" w:ascii="黑体" w:hAnsi="黑体" w:eastAsia="黑体"/>
          <w:sz w:val="36"/>
          <w:szCs w:val="36"/>
          <w:lang w:eastAsia="zh-CN"/>
        </w:rPr>
        <w:t xml:space="preserve">第三部分 </w:t>
      </w:r>
      <w:r>
        <w:rPr>
          <w:rFonts w:hint="eastAsia" w:ascii="黑体" w:hAnsi="黑体" w:eastAsia="黑体"/>
          <w:sz w:val="36"/>
          <w:szCs w:val="36"/>
          <w:lang w:val="en-US" w:eastAsia="zh-CN"/>
        </w:rPr>
        <w:t>2021</w:t>
      </w:r>
      <w:r>
        <w:rPr>
          <w:rFonts w:hint="eastAsia" w:ascii="黑体" w:hAnsi="黑体" w:eastAsia="黑体"/>
          <w:sz w:val="36"/>
          <w:szCs w:val="36"/>
          <w:lang w:eastAsia="zh-CN"/>
        </w:rPr>
        <w:t>年度部门预算情况说明</w:t>
      </w:r>
    </w:p>
    <w:p>
      <w:pPr>
        <w:ind w:firstLine="640" w:firstLineChars="200"/>
        <w:rPr>
          <w:rFonts w:ascii="仿宋" w:hAnsi="仿宋" w:eastAsia="仿宋" w:cs="仿宋_GB2312"/>
          <w:sz w:val="32"/>
          <w:szCs w:val="32"/>
        </w:rPr>
      </w:pP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一、预算收支总体情况</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w:t>
      </w:r>
      <w:r>
        <w:rPr>
          <w:rFonts w:hint="eastAsia" w:ascii="仿宋" w:hAnsi="仿宋" w:eastAsia="仿宋"/>
          <w:sz w:val="32"/>
          <w:szCs w:val="32"/>
          <w:lang w:val="en-US" w:eastAsia="zh-CN"/>
        </w:rPr>
        <w:t>2022</w:t>
      </w:r>
      <w:r>
        <w:rPr>
          <w:rFonts w:hint="eastAsia" w:ascii="仿宋" w:hAnsi="仿宋" w:eastAsia="仿宋"/>
          <w:sz w:val="32"/>
          <w:szCs w:val="32"/>
        </w:rPr>
        <w:t>年,</w:t>
      </w:r>
      <w:r>
        <w:rPr>
          <w:rFonts w:hint="eastAsia" w:ascii="仿宋" w:hAnsi="仿宋" w:eastAsia="仿宋"/>
          <w:sz w:val="32"/>
          <w:szCs w:val="32"/>
          <w:lang w:eastAsia="zh-CN"/>
        </w:rPr>
        <w:t>上杭县珊瑚乡人民政府</w:t>
      </w:r>
      <w:r>
        <w:rPr>
          <w:rFonts w:hint="eastAsia" w:ascii="仿宋" w:hAnsi="仿宋" w:eastAsia="仿宋"/>
          <w:sz w:val="32"/>
          <w:szCs w:val="32"/>
        </w:rPr>
        <w:t>收入预算为</w:t>
      </w:r>
      <w:r>
        <w:rPr>
          <w:rFonts w:hint="eastAsia" w:ascii="仿宋" w:hAnsi="仿宋" w:eastAsia="仿宋" w:cs="仿宋_GB2312"/>
          <w:sz w:val="32"/>
          <w:szCs w:val="32"/>
          <w:lang w:val="en-US" w:eastAsia="zh-CN"/>
        </w:rPr>
        <w:t>758.81</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87.28</w:t>
      </w:r>
      <w:r>
        <w:rPr>
          <w:rFonts w:hint="eastAsia" w:ascii="仿宋" w:hAnsi="仿宋" w:eastAsia="仿宋"/>
          <w:sz w:val="32"/>
          <w:szCs w:val="32"/>
        </w:rPr>
        <w:t>万元，主要原因是人员变动及人员薪资调整</w:t>
      </w:r>
      <w:r>
        <w:rPr>
          <w:rFonts w:hint="eastAsia" w:ascii="仿宋" w:hAnsi="仿宋" w:eastAsia="仿宋" w:cs="仿宋_GB2312"/>
          <w:sz w:val="32"/>
          <w:szCs w:val="32"/>
        </w:rPr>
        <w:t>。</w:t>
      </w:r>
      <w:r>
        <w:rPr>
          <w:rFonts w:hint="eastAsia" w:ascii="仿宋" w:hAnsi="仿宋" w:eastAsia="仿宋"/>
          <w:sz w:val="32"/>
          <w:szCs w:val="32"/>
        </w:rPr>
        <w:t>其中：一般公共预算拨款</w:t>
      </w:r>
      <w:r>
        <w:rPr>
          <w:rFonts w:hint="eastAsia" w:ascii="仿宋" w:hAnsi="仿宋" w:eastAsia="仿宋" w:cs="仿宋_GB2312"/>
          <w:sz w:val="32"/>
          <w:szCs w:val="32"/>
          <w:lang w:val="en-US" w:eastAsia="zh-CN"/>
        </w:rPr>
        <w:t>758.81</w:t>
      </w:r>
      <w:r>
        <w:rPr>
          <w:rFonts w:hint="eastAsia" w:ascii="仿宋" w:hAnsi="仿宋" w:eastAsia="仿宋"/>
          <w:sz w:val="32"/>
          <w:szCs w:val="32"/>
        </w:rPr>
        <w:t>万元，基金预算财政拨款</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万元,财政专户拨款</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万元,单位结余结转资金</w:t>
      </w:r>
      <w:r>
        <w:rPr>
          <w:rFonts w:hint="eastAsia" w:ascii="仿宋" w:hAnsi="仿宋" w:eastAsia="仿宋" w:cs="仿宋_GB2312"/>
          <w:sz w:val="32"/>
          <w:szCs w:val="32"/>
          <w:lang w:val="en-US" w:eastAsia="zh-CN"/>
        </w:rPr>
        <w:t>0</w:t>
      </w:r>
      <w:r>
        <w:rPr>
          <w:rFonts w:hint="eastAsia" w:ascii="仿宋" w:hAnsi="仿宋" w:eastAsia="仿宋"/>
          <w:sz w:val="32"/>
          <w:szCs w:val="32"/>
        </w:rPr>
        <w:t>万元。相应安排支出预算</w:t>
      </w:r>
      <w:r>
        <w:rPr>
          <w:rFonts w:hint="eastAsia" w:ascii="仿宋" w:hAnsi="仿宋" w:eastAsia="仿宋" w:cs="仿宋_GB2312"/>
          <w:sz w:val="32"/>
          <w:szCs w:val="32"/>
          <w:lang w:val="en-US" w:eastAsia="zh-CN"/>
        </w:rPr>
        <w:t>0</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87.28</w:t>
      </w:r>
      <w:r>
        <w:rPr>
          <w:rFonts w:hint="eastAsia" w:ascii="仿宋" w:hAnsi="仿宋" w:eastAsia="仿宋"/>
          <w:sz w:val="32"/>
          <w:szCs w:val="32"/>
        </w:rPr>
        <w:t>万元，其中：人员支出</w:t>
      </w:r>
      <w:r>
        <w:rPr>
          <w:rFonts w:hint="eastAsia" w:ascii="仿宋" w:hAnsi="仿宋" w:eastAsia="仿宋" w:cs="仿宋_GB2312"/>
          <w:sz w:val="32"/>
          <w:szCs w:val="32"/>
          <w:lang w:val="en-US" w:eastAsia="zh-CN"/>
        </w:rPr>
        <w:t>426.47</w:t>
      </w:r>
      <w:r>
        <w:rPr>
          <w:rFonts w:hint="eastAsia" w:ascii="仿宋" w:hAnsi="仿宋" w:eastAsia="仿宋"/>
          <w:sz w:val="32"/>
          <w:szCs w:val="32"/>
        </w:rPr>
        <w:t>万元，对个人和家庭补助支出</w:t>
      </w:r>
      <w:r>
        <w:rPr>
          <w:rFonts w:hint="eastAsia" w:ascii="仿宋" w:hAnsi="仿宋" w:eastAsia="仿宋" w:cs="仿宋_GB2312"/>
          <w:sz w:val="32"/>
          <w:szCs w:val="32"/>
          <w:lang w:val="en-US" w:eastAsia="zh-CN"/>
        </w:rPr>
        <w:t>91.23</w:t>
      </w:r>
      <w:r>
        <w:rPr>
          <w:rFonts w:hint="eastAsia" w:ascii="仿宋" w:hAnsi="仿宋" w:eastAsia="仿宋"/>
          <w:sz w:val="32"/>
          <w:szCs w:val="32"/>
        </w:rPr>
        <w:t>万元，公用支出</w:t>
      </w:r>
      <w:r>
        <w:rPr>
          <w:rFonts w:hint="eastAsia" w:ascii="仿宋" w:hAnsi="仿宋" w:eastAsia="仿宋" w:cs="仿宋_GB2312"/>
          <w:sz w:val="32"/>
          <w:szCs w:val="32"/>
          <w:lang w:val="en-US" w:eastAsia="zh-CN"/>
        </w:rPr>
        <w:t>241.11</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二、一般公共预算拨款支出情况</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758.81</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87.28</w:t>
      </w:r>
      <w:r>
        <w:rPr>
          <w:rFonts w:hint="eastAsia" w:ascii="仿宋" w:hAnsi="仿宋" w:eastAsia="仿宋"/>
          <w:sz w:val="32"/>
          <w:szCs w:val="32"/>
        </w:rPr>
        <w:t>万元，主要原因是人员变动及人员薪资调整</w:t>
      </w:r>
      <w:r>
        <w:rPr>
          <w:rFonts w:hint="eastAsia" w:ascii="仿宋" w:hAnsi="仿宋" w:eastAsia="仿宋" w:cs="仿宋_GB2312"/>
          <w:sz w:val="32"/>
          <w:szCs w:val="32"/>
        </w:rPr>
        <w:t>，主要支出项目(按项级科目分类统计)包括：</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rPr>
        <w:t xml:space="preserve">（一）500120103 政府办公厅（室）及相关机构事务 </w:t>
      </w:r>
      <w:r>
        <w:rPr>
          <w:rFonts w:hint="eastAsia" w:ascii="仿宋" w:hAnsi="仿宋" w:eastAsia="仿宋"/>
          <w:b w:val="0"/>
          <w:bCs/>
          <w:sz w:val="32"/>
          <w:szCs w:val="32"/>
          <w:lang w:val="en-US" w:eastAsia="zh-CN"/>
        </w:rPr>
        <w:t>428.4</w:t>
      </w:r>
      <w:r>
        <w:rPr>
          <w:rFonts w:hint="eastAsia" w:ascii="仿宋" w:hAnsi="仿宋" w:eastAsia="仿宋"/>
          <w:b w:val="0"/>
          <w:bCs/>
          <w:sz w:val="32"/>
          <w:szCs w:val="32"/>
        </w:rPr>
        <w:t>万元。主要用于人员工资、社会保障缴费、住房公积金、医疗补助、遗属补助等支出。</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rPr>
        <w:t>（</w:t>
      </w:r>
      <w:r>
        <w:rPr>
          <w:rFonts w:hint="eastAsia" w:ascii="仿宋" w:hAnsi="仿宋" w:eastAsia="仿宋"/>
          <w:b w:val="0"/>
          <w:bCs/>
          <w:sz w:val="32"/>
          <w:szCs w:val="32"/>
          <w:lang w:eastAsia="zh-CN"/>
        </w:rPr>
        <w:t>二</w:t>
      </w:r>
      <w:r>
        <w:rPr>
          <w:rFonts w:hint="eastAsia" w:ascii="仿宋" w:hAnsi="仿宋" w:eastAsia="仿宋"/>
          <w:b w:val="0"/>
          <w:bCs/>
          <w:sz w:val="32"/>
          <w:szCs w:val="32"/>
        </w:rPr>
        <w:t>）500121307 农林水支出-农村综合改革84.38 万元。主要用于村级组织运转及各大员工资、办公支出等。</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rPr>
        <w:t>（</w:t>
      </w:r>
      <w:r>
        <w:rPr>
          <w:rFonts w:hint="eastAsia" w:ascii="仿宋" w:hAnsi="仿宋" w:eastAsia="仿宋"/>
          <w:b w:val="0"/>
          <w:bCs/>
          <w:sz w:val="32"/>
          <w:szCs w:val="32"/>
          <w:lang w:eastAsia="zh-CN"/>
        </w:rPr>
        <w:t>三</w:t>
      </w:r>
      <w:r>
        <w:rPr>
          <w:rFonts w:hint="eastAsia" w:ascii="仿宋" w:hAnsi="仿宋" w:eastAsia="仿宋"/>
          <w:b w:val="0"/>
          <w:bCs/>
          <w:sz w:val="32"/>
          <w:szCs w:val="32"/>
        </w:rPr>
        <w:t>）500122999 其他支出-其他支出</w:t>
      </w:r>
      <w:r>
        <w:rPr>
          <w:rFonts w:hint="eastAsia" w:ascii="仿宋" w:hAnsi="仿宋" w:eastAsia="仿宋"/>
          <w:b w:val="0"/>
          <w:bCs/>
          <w:sz w:val="32"/>
          <w:szCs w:val="32"/>
          <w:lang w:val="en-US" w:eastAsia="zh-CN"/>
        </w:rPr>
        <w:t>246.03</w:t>
      </w:r>
      <w:r>
        <w:rPr>
          <w:rFonts w:hint="eastAsia" w:ascii="仿宋" w:hAnsi="仿宋" w:eastAsia="仿宋"/>
          <w:b w:val="0"/>
          <w:bCs/>
          <w:sz w:val="32"/>
          <w:szCs w:val="32"/>
        </w:rPr>
        <w:t xml:space="preserve"> 万元。主要用于其他支出。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三、政府性基金预算拨款支出情况</w:t>
      </w:r>
    </w:p>
    <w:p>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年度没有使用政府性基金预算拨款安排的支出</w:t>
      </w:r>
      <w:r>
        <w:rPr>
          <w:rFonts w:hint="eastAsia" w:ascii="仿宋" w:hAnsi="仿宋" w:eastAsia="仿宋" w:cs="仿宋_GB2312"/>
          <w:sz w:val="32"/>
          <w:szCs w:val="32"/>
          <w:lang w:eastAsia="zh-CN"/>
        </w:rPr>
        <w:t>。</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四、财政拨款预算基本支出情况</w:t>
      </w:r>
    </w:p>
    <w:p>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2022</w:t>
      </w:r>
      <w:r>
        <w:rPr>
          <w:rFonts w:hint="eastAsia" w:ascii="仿宋" w:hAnsi="仿宋" w:eastAsia="仿宋" w:cs="仿宋_GB2312"/>
          <w:sz w:val="32"/>
          <w:szCs w:val="32"/>
        </w:rPr>
        <w:t>年度财政拨款基本支出</w:t>
      </w:r>
      <w:r>
        <w:rPr>
          <w:rFonts w:hint="eastAsia" w:ascii="仿宋" w:hAnsi="仿宋" w:eastAsia="仿宋" w:cs="仿宋_GB2312"/>
          <w:sz w:val="32"/>
          <w:szCs w:val="32"/>
          <w:lang w:val="en-US" w:eastAsia="zh-CN"/>
        </w:rPr>
        <w:t>758.81</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462</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296.81</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五、一般公共预算“三公”经费支出情况</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pPr>
        <w:widowControl/>
        <w:adjustRightInd w:val="0"/>
        <w:snapToGrid w:val="0"/>
        <w:spacing w:line="600" w:lineRule="exact"/>
        <w:ind w:firstLine="660"/>
        <w:rPr>
          <w:rFonts w:hint="eastAsia" w:ascii="仿宋" w:hAnsi="仿宋" w:eastAsia="仿宋" w:cs="宋体"/>
          <w:kern w:val="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p>
    <w:p>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14</w:t>
      </w:r>
      <w:r>
        <w:rPr>
          <w:rFonts w:hint="eastAsia" w:ascii="仿宋" w:hAnsi="仿宋" w:eastAsia="仿宋" w:cs="宋体"/>
          <w:kern w:val="0"/>
          <w:sz w:val="32"/>
          <w:szCs w:val="32"/>
        </w:rPr>
        <w:t>万元。主要用于上级业务主管部门来我乡指导调研、检查等方面的接待活动。与上年相比</w:t>
      </w:r>
      <w:r>
        <w:rPr>
          <w:rFonts w:hint="eastAsia" w:ascii="仿宋" w:hAnsi="仿宋" w:eastAsia="仿宋" w:cs="宋体"/>
          <w:kern w:val="0"/>
          <w:sz w:val="32"/>
          <w:szCs w:val="32"/>
          <w:lang w:eastAsia="zh-CN"/>
        </w:rPr>
        <w:t>持平，增加</w:t>
      </w:r>
      <w:r>
        <w:rPr>
          <w:rFonts w:hint="eastAsia" w:ascii="仿宋" w:hAnsi="仿宋" w:eastAsia="仿宋" w:cs="宋体"/>
          <w:kern w:val="0"/>
          <w:sz w:val="32"/>
          <w:szCs w:val="32"/>
          <w:lang w:val="en-US" w:eastAsia="zh-CN"/>
        </w:rPr>
        <w:t>2万元</w:t>
      </w:r>
      <w:r>
        <w:rPr>
          <w:rFonts w:hint="eastAsia" w:ascii="仿宋" w:hAnsi="仿宋" w:eastAsia="仿宋" w:cs="仿宋_GB2312"/>
          <w:sz w:val="32"/>
          <w:szCs w:val="32"/>
        </w:rPr>
        <w:t>。</w:t>
      </w:r>
    </w:p>
    <w:p>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pPr>
        <w:adjustRightInd w:val="0"/>
        <w:snapToGrid w:val="0"/>
        <w:spacing w:line="600" w:lineRule="exact"/>
        <w:ind w:firstLine="640" w:firstLineChars="200"/>
        <w:rPr>
          <w:rFonts w:hint="eastAsia" w:ascii="仿宋" w:hAnsi="仿宋" w:eastAsia="楷体"/>
          <w:sz w:val="32"/>
          <w:szCs w:val="32"/>
          <w:lang w:eastAsia="zh-CN"/>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2022</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4</w:t>
      </w:r>
      <w:r>
        <w:rPr>
          <w:rFonts w:hint="eastAsia" w:ascii="仿宋" w:hAnsi="仿宋" w:eastAsia="仿宋" w:cs="宋体"/>
          <w:kern w:val="0"/>
          <w:sz w:val="32"/>
          <w:szCs w:val="32"/>
        </w:rPr>
        <w:t>万元，其中：公车运行费</w:t>
      </w:r>
      <w:r>
        <w:rPr>
          <w:rFonts w:hint="eastAsia" w:ascii="仿宋" w:hAnsi="仿宋" w:eastAsia="仿宋" w:cs="仿宋_GB2312"/>
          <w:kern w:val="0"/>
          <w:sz w:val="32"/>
          <w:szCs w:val="32"/>
          <w:lang w:val="en-US" w:eastAsia="zh-CN"/>
        </w:rPr>
        <w:t>4</w:t>
      </w:r>
      <w:r>
        <w:rPr>
          <w:rFonts w:hint="eastAsia" w:ascii="仿宋" w:hAnsi="仿宋" w:eastAsia="仿宋" w:cs="宋体"/>
          <w:kern w:val="0"/>
          <w:sz w:val="32"/>
          <w:szCs w:val="32"/>
        </w:rPr>
        <w:t>万元，公车购置费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楷体" w:hAnsi="楷体" w:eastAsia="楷体" w:cs="仿宋_GB2312"/>
          <w:sz w:val="32"/>
          <w:szCs w:val="32"/>
          <w:lang w:eastAsia="zh-CN"/>
        </w:rPr>
        <w:t>。</w:t>
      </w:r>
    </w:p>
    <w:p>
      <w:pPr>
        <w:spacing w:line="600" w:lineRule="exact"/>
        <w:rPr>
          <w:rFonts w:ascii="仿宋" w:hAnsi="仿宋" w:eastAsia="仿宋"/>
          <w:b/>
          <w:sz w:val="32"/>
          <w:szCs w:val="32"/>
        </w:rPr>
      </w:pPr>
      <w:r>
        <w:rPr>
          <w:rFonts w:hint="eastAsia" w:ascii="仿宋" w:hAnsi="仿宋" w:eastAsia="仿宋"/>
          <w:b/>
          <w:sz w:val="32"/>
          <w:szCs w:val="32"/>
        </w:rPr>
        <w:t>六、预算绩效目标情况</w:t>
      </w:r>
    </w:p>
    <w:p>
      <w:pPr>
        <w:spacing w:line="60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pPr>
        <w:spacing w:line="60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cs="仿宋_GB2312"/>
          <w:kern w:val="0"/>
          <w:sz w:val="32"/>
          <w:szCs w:val="32"/>
        </w:rPr>
        <w:t>年</w:t>
      </w:r>
      <w:r>
        <w:rPr>
          <w:rFonts w:hint="eastAsia" w:ascii="仿宋" w:hAnsi="仿宋" w:eastAsia="仿宋" w:cs="仿宋_GB2312"/>
          <w:kern w:val="0"/>
          <w:sz w:val="32"/>
          <w:szCs w:val="32"/>
          <w:lang w:eastAsia="zh-CN"/>
        </w:rPr>
        <w:t>上杭县珊瑚乡人民政府</w:t>
      </w:r>
      <w:r>
        <w:rPr>
          <w:rFonts w:hint="eastAsia" w:ascii="仿宋" w:hAnsi="仿宋" w:eastAsia="仿宋" w:cs="仿宋_GB2312"/>
          <w:kern w:val="0"/>
          <w:sz w:val="32"/>
          <w:szCs w:val="32"/>
        </w:rPr>
        <w:t>共设置</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个项目绩效目标，共涉及财政拨款资金</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spacing w:line="600" w:lineRule="exact"/>
        <w:rPr>
          <w:rFonts w:ascii="仿宋" w:hAnsi="仿宋" w:eastAsia="仿宋"/>
          <w:b/>
          <w:sz w:val="32"/>
          <w:szCs w:val="32"/>
        </w:rPr>
      </w:pPr>
      <w:r>
        <w:rPr>
          <w:rFonts w:hint="eastAsia" w:ascii="仿宋" w:hAnsi="仿宋" w:eastAsia="仿宋"/>
          <w:b/>
          <w:sz w:val="32"/>
          <w:szCs w:val="32"/>
        </w:rPr>
        <w:t>七、其他重要事项说明</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pPr>
        <w:spacing w:line="600" w:lineRule="exact"/>
        <w:ind w:firstLine="640" w:firstLineChars="200"/>
        <w:rPr>
          <w:rFonts w:ascii="黑体" w:hAnsi="黑体" w:eastAsia="黑体"/>
          <w:color w:val="FF000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sz w:val="32"/>
          <w:szCs w:val="32"/>
        </w:rPr>
        <w:t>年</w:t>
      </w:r>
      <w:r>
        <w:rPr>
          <w:rFonts w:hint="eastAsia" w:ascii="仿宋" w:hAnsi="仿宋" w:eastAsia="仿宋" w:cs="仿宋_GB2312"/>
          <w:kern w:val="0"/>
          <w:sz w:val="32"/>
          <w:szCs w:val="32"/>
          <w:lang w:eastAsia="zh-CN"/>
        </w:rPr>
        <w:t>上杭县珊瑚乡人民政府</w:t>
      </w:r>
      <w:r>
        <w:rPr>
          <w:rFonts w:hint="eastAsia" w:ascii="仿宋" w:hAnsi="仿宋" w:eastAsia="仿宋"/>
          <w:sz w:val="32"/>
          <w:szCs w:val="32"/>
        </w:rPr>
        <w:t>（含实行公务员管理的事业单位）一般公共预算拨款安排的机关运行经费支出</w:t>
      </w:r>
      <w:r>
        <w:rPr>
          <w:rFonts w:hint="eastAsia" w:ascii="仿宋" w:hAnsi="仿宋" w:eastAsia="仿宋" w:cs="仿宋_GB2312"/>
          <w:kern w:val="0"/>
          <w:sz w:val="32"/>
          <w:szCs w:val="32"/>
          <w:lang w:val="en-US" w:eastAsia="zh-CN"/>
        </w:rPr>
        <w:t>68.04</w:t>
      </w:r>
      <w:r>
        <w:rPr>
          <w:rFonts w:hint="eastAsia" w:ascii="仿宋" w:hAnsi="仿宋" w:eastAsia="仿宋"/>
          <w:sz w:val="32"/>
          <w:szCs w:val="32"/>
        </w:rPr>
        <w:t>万元，</w:t>
      </w:r>
      <w:r>
        <w:rPr>
          <w:rFonts w:hint="eastAsia" w:ascii="仿宋" w:hAnsi="仿宋" w:eastAsia="仿宋"/>
          <w:sz w:val="32"/>
          <w:szCs w:val="32"/>
          <w:lang w:eastAsia="zh-CN"/>
        </w:rPr>
        <w:t>与上年持平</w:t>
      </w:r>
      <w:r>
        <w:rPr>
          <w:rFonts w:hint="eastAsia" w:ascii="仿宋" w:hAnsi="仿宋" w:eastAsia="仿宋" w:cs="仿宋_GB2312"/>
          <w:sz w:val="32"/>
          <w:szCs w:val="32"/>
        </w:rPr>
        <w:t>。</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2022</w:t>
      </w:r>
      <w:r>
        <w:rPr>
          <w:rFonts w:hint="eastAsia" w:ascii="仿宋" w:hAnsi="仿宋" w:eastAsia="仿宋"/>
          <w:sz w:val="32"/>
          <w:szCs w:val="32"/>
        </w:rPr>
        <w:t>年</w:t>
      </w:r>
      <w:r>
        <w:rPr>
          <w:rFonts w:hint="eastAsia" w:ascii="仿宋" w:hAnsi="仿宋" w:eastAsia="仿宋" w:cs="仿宋_GB2312"/>
          <w:kern w:val="0"/>
          <w:sz w:val="32"/>
          <w:szCs w:val="32"/>
          <w:lang w:eastAsia="zh-CN"/>
        </w:rPr>
        <w:t>上杭县珊瑚乡人民政府</w:t>
      </w:r>
      <w:r>
        <w:rPr>
          <w:rFonts w:hint="eastAsia" w:ascii="仿宋" w:hAnsi="仿宋" w:eastAsia="仿宋"/>
          <w:sz w:val="32"/>
          <w:szCs w:val="32"/>
        </w:rPr>
        <w:t>采购预算总额</w:t>
      </w:r>
      <w:r>
        <w:rPr>
          <w:rFonts w:hint="eastAsia" w:ascii="仿宋" w:hAnsi="仿宋" w:eastAsia="仿宋" w:cs="仿宋_GB2312"/>
          <w:kern w:val="0"/>
          <w:sz w:val="32"/>
          <w:szCs w:val="32"/>
          <w:lang w:val="en-US" w:eastAsia="zh-CN"/>
        </w:rPr>
        <w:t>17</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2022</w:t>
      </w:r>
      <w:r>
        <w:rPr>
          <w:rFonts w:hint="eastAsia" w:ascii="仿宋" w:hAnsi="仿宋" w:eastAsia="仿宋" w:cs="仿宋_GB2312"/>
          <w:kern w:val="0"/>
          <w:sz w:val="32"/>
          <w:szCs w:val="32"/>
        </w:rPr>
        <w:t>年底，</w:t>
      </w:r>
      <w:r>
        <w:rPr>
          <w:rFonts w:hint="eastAsia" w:ascii="仿宋" w:hAnsi="仿宋" w:eastAsia="仿宋" w:cs="仿宋_GB2312"/>
          <w:kern w:val="0"/>
          <w:sz w:val="32"/>
          <w:szCs w:val="32"/>
          <w:lang w:eastAsia="zh-CN"/>
        </w:rPr>
        <w:t>上杭县珊瑚乡人民政府</w:t>
      </w:r>
      <w:r>
        <w:rPr>
          <w:rFonts w:hint="eastAsia" w:ascii="仿宋" w:hAnsi="仿宋" w:eastAsia="仿宋"/>
          <w:sz w:val="32"/>
          <w:szCs w:val="32"/>
        </w:rPr>
        <w:t>本级及所属的预算单位共有车辆</w:t>
      </w:r>
      <w:r>
        <w:rPr>
          <w:rFonts w:hint="eastAsia" w:ascii="仿宋" w:hAnsi="仿宋" w:eastAsia="仿宋" w:cs="仿宋_GB2312"/>
          <w:kern w:val="0"/>
          <w:sz w:val="32"/>
          <w:szCs w:val="32"/>
          <w:lang w:val="en-US" w:eastAsia="zh-CN"/>
        </w:rPr>
        <w:t>5</w:t>
      </w:r>
      <w:r>
        <w:rPr>
          <w:rFonts w:hint="eastAsia" w:ascii="仿宋" w:hAnsi="仿宋" w:eastAsia="仿宋"/>
          <w:sz w:val="32"/>
          <w:szCs w:val="32"/>
        </w:rPr>
        <w:t>辆，其中：省部级领导干部用车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辆，一般公务用车</w:t>
      </w:r>
      <w:r>
        <w:rPr>
          <w:rFonts w:hint="eastAsia" w:ascii="仿宋" w:hAnsi="仿宋" w:eastAsia="仿宋" w:cs="仿宋_GB2312"/>
          <w:kern w:val="0"/>
          <w:sz w:val="32"/>
          <w:szCs w:val="32"/>
          <w:lang w:val="en-US" w:eastAsia="zh-CN"/>
        </w:rPr>
        <w:t>2</w:t>
      </w:r>
      <w:r>
        <w:rPr>
          <w:rFonts w:hint="eastAsia" w:ascii="仿宋" w:hAnsi="仿宋" w:eastAsia="仿宋"/>
          <w:sz w:val="32"/>
          <w:szCs w:val="32"/>
        </w:rPr>
        <w:t>辆，一般执法执勤用车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辆，其他用车</w:t>
      </w:r>
      <w:r>
        <w:rPr>
          <w:rFonts w:hint="eastAsia" w:ascii="仿宋" w:hAnsi="仿宋" w:eastAsia="仿宋" w:cs="仿宋_GB2312"/>
          <w:kern w:val="0"/>
          <w:sz w:val="32"/>
          <w:szCs w:val="32"/>
          <w:lang w:val="en-US" w:eastAsia="zh-CN"/>
        </w:rPr>
        <w:t>3</w:t>
      </w:r>
      <w:r>
        <w:rPr>
          <w:rFonts w:hint="eastAsia" w:ascii="仿宋" w:hAnsi="仿宋" w:eastAsia="仿宋"/>
          <w:sz w:val="32"/>
          <w:szCs w:val="32"/>
        </w:rPr>
        <w:t>辆。单位价值50万元以上通用设备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r>
        <w:rPr>
          <w:rFonts w:hint="eastAsia" w:ascii="仿宋" w:hAnsi="仿宋" w:eastAsia="仿宋"/>
          <w:sz w:val="32"/>
          <w:szCs w:val="32"/>
        </w:rPr>
        <w:t>单位价值100万元以上专用设备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pPr>
        <w:ind w:firstLine="640" w:firstLineChars="200"/>
        <w:rPr>
          <w:rFonts w:ascii="仿宋" w:hAnsi="仿宋" w:eastAsia="仿宋" w:cs="仿宋_GB2312"/>
          <w:kern w:val="0"/>
          <w:sz w:val="32"/>
          <w:szCs w:val="32"/>
        </w:rPr>
      </w:pPr>
    </w:p>
    <w:p>
      <w:pPr>
        <w:ind w:firstLine="640" w:firstLineChars="200"/>
        <w:rPr>
          <w:rFonts w:ascii="仿宋" w:hAnsi="仿宋" w:eastAsia="仿宋" w:cs="仿宋_GB2312"/>
          <w:kern w:val="0"/>
          <w:sz w:val="32"/>
          <w:szCs w:val="32"/>
        </w:rPr>
      </w:pPr>
    </w:p>
    <w:p>
      <w:pPr>
        <w:jc w:val="center"/>
        <w:rPr>
          <w:rFonts w:asciiTheme="majorEastAsia" w:hAnsiTheme="majorEastAsia" w:eastAsiaTheme="majorEastAsia"/>
          <w:b/>
          <w:sz w:val="40"/>
        </w:rPr>
      </w:pPr>
      <w:r>
        <w:rPr>
          <w:rFonts w:hint="eastAsia" w:asciiTheme="majorEastAsia" w:hAnsiTheme="majorEastAsia" w:eastAsiaTheme="majorEastAsia"/>
          <w:b/>
          <w:sz w:val="40"/>
        </w:rPr>
        <w:t>第四部分 名词解释</w:t>
      </w:r>
    </w:p>
    <w:p>
      <w:pPr>
        <w:jc w:val="center"/>
        <w:rPr>
          <w:rFonts w:asciiTheme="majorEastAsia" w:hAnsiTheme="majorEastAsia" w:eastAsiaTheme="majorEastAsia"/>
          <w:b/>
          <w:sz w:val="40"/>
        </w:rPr>
      </w:pP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14"/>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14"/>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14"/>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r>
        <w:rPr>
          <w:rFonts w:hAnsi="仿宋"/>
          <w:sz w:val="32"/>
          <w:szCs w:val="32"/>
        </w:rPr>
        <w:t xml:space="preserve"> </w:t>
      </w:r>
    </w:p>
    <w:p>
      <w:pPr>
        <w:pStyle w:val="14"/>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r>
        <w:rPr>
          <w:rFonts w:hAnsi="仿宋"/>
          <w:sz w:val="32"/>
          <w:szCs w:val="32"/>
        </w:rPr>
        <w:t xml:space="preserve"> </w:t>
      </w:r>
    </w:p>
    <w:p>
      <w:pPr>
        <w:pStyle w:val="14"/>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r>
        <w:rPr>
          <w:rFonts w:hAnsi="仿宋"/>
          <w:sz w:val="32"/>
          <w:szCs w:val="32"/>
        </w:rPr>
        <w:t xml:space="preserve"> </w:t>
      </w:r>
    </w:p>
    <w:p>
      <w:pPr>
        <w:pStyle w:val="14"/>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r>
        <w:rPr>
          <w:rFonts w:hAnsi="仿宋"/>
          <w:sz w:val="32"/>
          <w:szCs w:val="32"/>
        </w:rPr>
        <w:t xml:space="preserve"> </w:t>
      </w:r>
    </w:p>
    <w:p>
      <w:pPr>
        <w:ind w:firstLine="640" w:firstLineChars="200"/>
        <w:jc w:val="left"/>
        <w:rPr>
          <w:rFonts w:asciiTheme="majorEastAsia" w:hAnsiTheme="majorEastAsia" w:eastAsiaTheme="majorEastAsia"/>
          <w:b/>
          <w:sz w:val="40"/>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6780272"/>
    </w:sdtPr>
    <w:sdtContent>
      <w:p>
        <w:pPr>
          <w:pStyle w:val="6"/>
          <w:jc w:val="center"/>
        </w:pPr>
        <w:r>
          <w:fldChar w:fldCharType="begin"/>
        </w:r>
        <w:r>
          <w:instrText xml:space="preserve">PAGE   \* MERGEFORMAT</w:instrText>
        </w:r>
        <w:r>
          <w:fldChar w:fldCharType="separate"/>
        </w:r>
        <w:r>
          <w:rPr>
            <w:lang w:val="zh-CN"/>
          </w:rPr>
          <w:t>10</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56780272"/>
                          </w:sdtPr>
                          <w:sdtContent>
                            <w:p>
                              <w:pPr>
                                <w:pStyle w:val="6"/>
                                <w:jc w:val="center"/>
                              </w:pPr>
                              <w:r>
                                <w:fldChar w:fldCharType="begin"/>
                              </w:r>
                              <w:r>
                                <w:instrText xml:space="preserve">PAGE   \* MERGEFORMAT</w:instrText>
                              </w:r>
                              <w:r>
                                <w:fldChar w:fldCharType="separate"/>
                              </w:r>
                              <w:r>
                                <w:rPr>
                                  <w:lang w:val="zh-CN"/>
                                </w:rPr>
                                <w:t>10</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1456780272"/>
                    </w:sdtPr>
                    <w:sdtContent>
                      <w:p>
                        <w:pPr>
                          <w:pStyle w:val="6"/>
                          <w:jc w:val="center"/>
                        </w:pPr>
                        <w:r>
                          <w:fldChar w:fldCharType="begin"/>
                        </w:r>
                        <w:r>
                          <w:instrText xml:space="preserve">PAGE   \* MERGEFORMAT</w:instrText>
                        </w:r>
                        <w:r>
                          <w:fldChar w:fldCharType="separate"/>
                        </w:r>
                        <w:r>
                          <w:rPr>
                            <w:lang w:val="zh-CN"/>
                          </w:rPr>
                          <w:t>10</w:t>
                        </w:r>
                        <w:r>
                          <w:fldChar w:fldCharType="end"/>
                        </w:r>
                      </w:p>
                    </w:sdtContent>
                  </w:sdt>
                  <w:p>
                    <w:pPr>
                      <w:pStyle w:val="2"/>
                    </w:pP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M2E1ZDAzMTE3NWM5MjZjZTZjMDIzNmM0MzA2MjcifQ=="/>
  </w:docVars>
  <w:rsids>
    <w:rsidRoot w:val="00317140"/>
    <w:rsid w:val="00134215"/>
    <w:rsid w:val="0014464B"/>
    <w:rsid w:val="00162161"/>
    <w:rsid w:val="00167378"/>
    <w:rsid w:val="00244E2B"/>
    <w:rsid w:val="00317140"/>
    <w:rsid w:val="00353125"/>
    <w:rsid w:val="00445C9B"/>
    <w:rsid w:val="004D696A"/>
    <w:rsid w:val="005B00AC"/>
    <w:rsid w:val="006C4713"/>
    <w:rsid w:val="00753E47"/>
    <w:rsid w:val="007C60CF"/>
    <w:rsid w:val="008071E4"/>
    <w:rsid w:val="00880C2D"/>
    <w:rsid w:val="008A73C5"/>
    <w:rsid w:val="009C7FB5"/>
    <w:rsid w:val="00A4118D"/>
    <w:rsid w:val="00A855BE"/>
    <w:rsid w:val="00C02DE3"/>
    <w:rsid w:val="00C43C36"/>
    <w:rsid w:val="00C7095D"/>
    <w:rsid w:val="00CC6B40"/>
    <w:rsid w:val="00E05319"/>
    <w:rsid w:val="00E332A8"/>
    <w:rsid w:val="00FE6949"/>
    <w:rsid w:val="019314FB"/>
    <w:rsid w:val="03003E50"/>
    <w:rsid w:val="032E5CA2"/>
    <w:rsid w:val="05876713"/>
    <w:rsid w:val="05C07B0D"/>
    <w:rsid w:val="12334081"/>
    <w:rsid w:val="12EC2AD5"/>
    <w:rsid w:val="13F866C4"/>
    <w:rsid w:val="1E88173F"/>
    <w:rsid w:val="21DA6168"/>
    <w:rsid w:val="2BB25B59"/>
    <w:rsid w:val="30850E88"/>
    <w:rsid w:val="35EE55EC"/>
    <w:rsid w:val="38917752"/>
    <w:rsid w:val="3D1B1663"/>
    <w:rsid w:val="3DB1150E"/>
    <w:rsid w:val="462937A6"/>
    <w:rsid w:val="489420C9"/>
    <w:rsid w:val="48CC36A0"/>
    <w:rsid w:val="4D424BF3"/>
    <w:rsid w:val="4DAB1AD6"/>
    <w:rsid w:val="5BCD1176"/>
    <w:rsid w:val="5F3F4062"/>
    <w:rsid w:val="60477E17"/>
    <w:rsid w:val="608F5287"/>
    <w:rsid w:val="61660FFC"/>
    <w:rsid w:val="65513795"/>
    <w:rsid w:val="6DED1618"/>
    <w:rsid w:val="76990185"/>
    <w:rsid w:val="78493763"/>
    <w:rsid w:val="7EB12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pPr>
    <w:rPr>
      <w:rFonts w:ascii="Times New Roman" w:hAnsi="Times New Roman"/>
    </w:rPr>
  </w:style>
  <w:style w:type="paragraph" w:styleId="4">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alloon Text"/>
    <w:basedOn w:val="1"/>
    <w:link w:val="13"/>
    <w:unhideWhenUsed/>
    <w:qFormat/>
    <w:uiPriority w:val="99"/>
    <w:pPr>
      <w:spacing w:line="240" w:lineRule="auto"/>
    </w:pPr>
    <w:rPr>
      <w:sz w:val="18"/>
      <w:szCs w:val="18"/>
    </w:rPr>
  </w:style>
  <w:style w:type="paragraph" w:styleId="6">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basedOn w:val="9"/>
    <w:link w:val="4"/>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5"/>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7677</Words>
  <Characters>8663</Characters>
  <Lines>278</Lines>
  <Paragraphs>196</Paragraphs>
  <TotalTime>325</TotalTime>
  <ScaleCrop>false</ScaleCrop>
  <LinksUpToDate>false</LinksUpToDate>
  <CharactersWithSpaces>8784</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吉里吉里</cp:lastModifiedBy>
  <dcterms:modified xsi:type="dcterms:W3CDTF">2022-11-07T07:00:59Z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03FAEF34A19447F182143B558EB4D990</vt:lpwstr>
  </property>
</Properties>
</file>