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D971B">
      <w:pPr>
        <w:keepNext w:val="0"/>
        <w:keepLines w:val="0"/>
        <w:pageBreakBefore w:val="0"/>
        <w:widowControl w:val="0"/>
        <w:numPr>
          <w:ilvl w:val="0"/>
          <w:numId w:val="0"/>
        </w:numPr>
        <w:kinsoku/>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kern w:val="2"/>
          <w:sz w:val="32"/>
          <w:szCs w:val="32"/>
          <w:lang w:val="en-US" w:eastAsia="zh-CN" w:bidi="ar-SA"/>
        </w:rPr>
      </w:pPr>
      <w:bookmarkStart w:id="0" w:name="_GoBack"/>
      <w:r>
        <w:rPr>
          <w:rFonts w:hint="default" w:ascii="Times New Roman" w:hAnsi="Times New Roman" w:eastAsia="仿宋_GB2312" w:cs="Times New Roman"/>
          <w:snapToGrid/>
          <w:kern w:val="2"/>
          <w:sz w:val="32"/>
          <w:szCs w:val="32"/>
          <w:lang w:val="en-US" w:eastAsia="zh-CN" w:bidi="ar-SA"/>
        </w:rPr>
        <w:t>附件7</w:t>
      </w:r>
    </w:p>
    <w:p w14:paraId="07FF959C">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outlineLvl w:val="9"/>
        <w:rPr>
          <w:rFonts w:hint="default" w:ascii="Times New Roman" w:hAnsi="Times New Roman" w:cs="Times New Roman"/>
          <w:b/>
          <w:bCs/>
          <w:sz w:val="44"/>
          <w:szCs w:val="44"/>
        </w:rPr>
      </w:pPr>
    </w:p>
    <w:p w14:paraId="372837EA">
      <w:pPr>
        <w:keepNext w:val="0"/>
        <w:keepLines w:val="0"/>
        <w:pageBreakBefore w:val="0"/>
        <w:widowControl/>
        <w:kinsoku w:val="0"/>
        <w:wordWrap/>
        <w:overflowPunct/>
        <w:topLinePunct w:val="0"/>
        <w:autoSpaceDE w:val="0"/>
        <w:autoSpaceDN w:val="0"/>
        <w:bidi w:val="0"/>
        <w:adjustRightInd w:val="0"/>
        <w:snapToGrid w:val="0"/>
        <w:spacing w:line="560" w:lineRule="exact"/>
        <w:ind w:right="-150" w:rightChars="-73"/>
        <w:jc w:val="center"/>
        <w:textAlignment w:val="baseline"/>
        <w:outlineLvl w:val="9"/>
        <w:rPr>
          <w:rFonts w:hint="default" w:ascii="Times New Roman" w:hAnsi="Times New Roman" w:eastAsia="方正小标宋简体" w:cs="Times New Roman"/>
          <w:sz w:val="36"/>
          <w:szCs w:val="36"/>
        </w:rPr>
      </w:pPr>
      <w:r>
        <w:rPr>
          <w:rFonts w:hint="default" w:ascii="Times New Roman" w:hAnsi="Times New Roman" w:eastAsia="方正小标宋简体" w:cs="Times New Roman"/>
          <w:sz w:val="36"/>
          <w:szCs w:val="36"/>
        </w:rPr>
        <w:t>202</w:t>
      </w:r>
      <w:r>
        <w:rPr>
          <w:rFonts w:hint="default" w:ascii="Times New Roman" w:hAnsi="Times New Roman" w:eastAsia="方正小标宋简体" w:cs="Times New Roman"/>
          <w:sz w:val="36"/>
          <w:szCs w:val="36"/>
          <w:lang w:val="en-US" w:eastAsia="zh-CN"/>
        </w:rPr>
        <w:t>4</w:t>
      </w:r>
      <w:r>
        <w:rPr>
          <w:rFonts w:hint="default" w:ascii="Times New Roman" w:hAnsi="Times New Roman" w:eastAsia="方正小标宋简体" w:cs="Times New Roman"/>
          <w:sz w:val="36"/>
          <w:szCs w:val="36"/>
        </w:rPr>
        <w:t>年上杭县病虫害专业化统防统治全程服务合同</w:t>
      </w:r>
    </w:p>
    <w:bookmarkEnd w:id="0"/>
    <w:p w14:paraId="0CBA8CED">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outlineLvl w:val="9"/>
        <w:rPr>
          <w:rFonts w:hint="default" w:ascii="Times New Roman" w:hAnsi="Times New Roman" w:cs="Times New Roman"/>
          <w:sz w:val="23"/>
        </w:rPr>
      </w:pPr>
    </w:p>
    <w:p w14:paraId="71E50E82">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outlineLvl w:val="9"/>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rPr>
        <w:t>甲  方：</w:t>
      </w:r>
      <w:r>
        <w:rPr>
          <w:rFonts w:hint="default" w:ascii="Times New Roman" w:hAnsi="Times New Roman" w:eastAsia="仿宋_GB2312" w:cs="Times New Roman"/>
          <w:sz w:val="28"/>
          <w:szCs w:val="28"/>
          <w:u w:val="single"/>
        </w:rPr>
        <w:t xml:space="preserve">                         </w:t>
      </w:r>
    </w:p>
    <w:p w14:paraId="1489DBDF">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outlineLvl w:val="9"/>
        <w:rPr>
          <w:rFonts w:hint="default" w:ascii="Times New Roman" w:hAnsi="Times New Roman" w:eastAsia="仿宋_GB2312" w:cs="Times New Roman"/>
          <w:sz w:val="28"/>
          <w:szCs w:val="28"/>
          <w:u w:val="single"/>
          <w:lang w:val="en-US" w:eastAsia="zh-CN"/>
        </w:rPr>
      </w:pPr>
      <w:r>
        <w:rPr>
          <w:rFonts w:hint="default" w:ascii="Times New Roman" w:hAnsi="Times New Roman" w:eastAsia="仿宋_GB2312" w:cs="Times New Roman"/>
          <w:sz w:val="28"/>
          <w:szCs w:val="28"/>
        </w:rPr>
        <w:t>乙  方：</w:t>
      </w:r>
      <w:r>
        <w:rPr>
          <w:rFonts w:hint="default" w:ascii="Times New Roman" w:hAnsi="Times New Roman" w:eastAsia="仿宋_GB2312" w:cs="Times New Roman"/>
          <w:sz w:val="28"/>
          <w:szCs w:val="28"/>
          <w:u w:val="single"/>
          <w:lang w:val="en-US" w:eastAsia="zh-CN"/>
        </w:rPr>
        <w:t xml:space="preserve">                         </w:t>
      </w:r>
    </w:p>
    <w:p w14:paraId="4428B238">
      <w:pPr>
        <w:pStyle w:val="2"/>
        <w:keepNext w:val="0"/>
        <w:keepLines w:val="0"/>
        <w:pageBreakBefore w:val="0"/>
        <w:overflowPunct/>
        <w:topLinePunct w:val="0"/>
        <w:bidi w:val="0"/>
        <w:spacing w:line="560" w:lineRule="exact"/>
        <w:rPr>
          <w:rFonts w:hint="default" w:ascii="Times New Roman" w:hAnsi="Times New Roman" w:cs="Times New Roman"/>
        </w:rPr>
      </w:pPr>
    </w:p>
    <w:p w14:paraId="732EA1ED">
      <w:pPr>
        <w:keepNext w:val="0"/>
        <w:keepLines w:val="0"/>
        <w:pageBreakBefore w:val="0"/>
        <w:widowControl/>
        <w:kinsoku w:val="0"/>
        <w:wordWrap/>
        <w:overflowPunct/>
        <w:topLinePunct w:val="0"/>
        <w:autoSpaceDE w:val="0"/>
        <w:autoSpaceDN w:val="0"/>
        <w:bidi w:val="0"/>
        <w:adjustRightInd w:val="0"/>
        <w:snapToGrid w:val="0"/>
        <w:spacing w:line="560" w:lineRule="exact"/>
        <w:ind w:firstLine="414" w:firstLineChars="15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pacing w:val="-6"/>
          <w:sz w:val="28"/>
          <w:szCs w:val="28"/>
        </w:rPr>
        <w:t>为了切实解决农户重大病虫防治难的问题，做到科学用药，采用安全、</w:t>
      </w:r>
      <w:r>
        <w:rPr>
          <w:rFonts w:hint="default" w:ascii="Times New Roman" w:hAnsi="Times New Roman" w:eastAsia="仿宋_GB2312" w:cs="Times New Roman"/>
          <w:sz w:val="28"/>
          <w:szCs w:val="28"/>
        </w:rPr>
        <w:t>高效、环保方法防治病虫害，降低农业生产成本，提高病虫害综合防治水平。根据合同法，经甲乙双方协商，特签订</w:t>
      </w:r>
      <w:r>
        <w:rPr>
          <w:rFonts w:hint="default" w:ascii="Times New Roman" w:hAnsi="Times New Roman" w:eastAsia="仿宋_GB2312" w:cs="Times New Roman"/>
          <w:sz w:val="28"/>
          <w:szCs w:val="28"/>
          <w:u w:val="single"/>
          <w:lang w:val="en-US" w:eastAsia="zh-CN"/>
        </w:rPr>
        <w:t xml:space="preserve"> 2024  </w:t>
      </w:r>
      <w:r>
        <w:rPr>
          <w:rFonts w:hint="default" w:ascii="Times New Roman" w:hAnsi="Times New Roman" w:eastAsia="仿宋_GB2312" w:cs="Times New Roman"/>
          <w:sz w:val="28"/>
          <w:szCs w:val="28"/>
        </w:rPr>
        <w:t>年度病虫害专业化统防统治全程服务合同。</w:t>
      </w:r>
    </w:p>
    <w:p w14:paraId="78B0E732">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552" w:firstLineChars="20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甲方以有偿服务形式将甲方位于</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乡/镇</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村，</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亩</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的病虫害防治工作交由乙方全程防治（即乙方包工包药），乙方每次收费</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元。</w:t>
      </w:r>
    </w:p>
    <w:p w14:paraId="5AD94626">
      <w:pPr>
        <w:keepNext w:val="0"/>
        <w:keepLines w:val="0"/>
        <w:pageBreakBefore w:val="0"/>
        <w:widowControl/>
        <w:kinsoku w:val="0"/>
        <w:wordWrap/>
        <w:overflowPunct/>
        <w:topLinePunct w:val="0"/>
        <w:autoSpaceDE w:val="0"/>
        <w:autoSpaceDN w:val="0"/>
        <w:bidi w:val="0"/>
        <w:adjustRightInd w:val="0"/>
        <w:snapToGrid w:val="0"/>
        <w:spacing w:line="560" w:lineRule="exact"/>
        <w:ind w:firstLine="552" w:firstLineChars="20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二、服务内容及形式：乙方对合同约定的甲方田块实施常规病虫害全</w:t>
      </w:r>
      <w:r>
        <w:rPr>
          <w:rFonts w:hint="default" w:ascii="Times New Roman" w:hAnsi="Times New Roman" w:eastAsia="仿宋_GB2312" w:cs="Times New Roman"/>
          <w:spacing w:val="-6"/>
          <w:sz w:val="28"/>
          <w:szCs w:val="28"/>
        </w:rPr>
        <w:t>程防治服务，即由乙方提供防治技术方案，包农药、包药械、包施药人工</w:t>
      </w:r>
      <w:r>
        <w:rPr>
          <w:rFonts w:hint="default" w:ascii="Times New Roman" w:hAnsi="Times New Roman" w:eastAsia="仿宋_GB2312" w:cs="Times New Roman"/>
          <w:sz w:val="28"/>
          <w:szCs w:val="28"/>
        </w:rPr>
        <w:t>、包农药残留达到国标要求、包危害损失超标部分赔偿的全程服务。</w:t>
      </w:r>
    </w:p>
    <w:p w14:paraId="4B342DB7">
      <w:pPr>
        <w:keepNext w:val="0"/>
        <w:keepLines w:val="0"/>
        <w:pageBreakBefore w:val="0"/>
        <w:widowControl/>
        <w:kinsoku w:val="0"/>
        <w:wordWrap/>
        <w:overflowPunct/>
        <w:topLinePunct w:val="0"/>
        <w:autoSpaceDE w:val="0"/>
        <w:autoSpaceDN w:val="0"/>
        <w:bidi w:val="0"/>
        <w:adjustRightInd w:val="0"/>
        <w:snapToGrid w:val="0"/>
        <w:spacing w:line="560" w:lineRule="exact"/>
        <w:ind w:firstLine="552" w:firstLineChars="20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三、甲方责任：</w:t>
      </w:r>
    </w:p>
    <w:p w14:paraId="79CE8640">
      <w:pPr>
        <w:keepNext w:val="0"/>
        <w:keepLines w:val="0"/>
        <w:pageBreakBefore w:val="0"/>
        <w:widowControl/>
        <w:kinsoku w:val="0"/>
        <w:wordWrap/>
        <w:overflowPunct/>
        <w:topLinePunct w:val="0"/>
        <w:autoSpaceDE w:val="0"/>
        <w:autoSpaceDN w:val="0"/>
        <w:bidi w:val="0"/>
        <w:adjustRightInd w:val="0"/>
        <w:snapToGrid w:val="0"/>
        <w:spacing w:line="560" w:lineRule="exact"/>
        <w:ind w:firstLine="552" w:firstLineChars="20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1、选好适宜的种植品种和栽培方式，播种前按照种子包装说明书的要求做好种子消毒处理，科学管水施肥。由自然灾害、种子原因、栽培措施不当及其他非乙方造成的人为因素引起的损失由甲方自负。</w:t>
      </w:r>
    </w:p>
    <w:p w14:paraId="50C8BA39">
      <w:pPr>
        <w:keepNext w:val="0"/>
        <w:keepLines w:val="0"/>
        <w:pageBreakBefore w:val="0"/>
        <w:widowControl/>
        <w:kinsoku w:val="0"/>
        <w:wordWrap/>
        <w:overflowPunct/>
        <w:topLinePunct w:val="0"/>
        <w:autoSpaceDE w:val="0"/>
        <w:autoSpaceDN w:val="0"/>
        <w:bidi w:val="0"/>
        <w:adjustRightInd w:val="0"/>
        <w:snapToGrid w:val="0"/>
        <w:spacing w:line="560" w:lineRule="exact"/>
        <w:ind w:firstLine="552" w:firstLineChars="20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2、甲方须如实向乙方申报被服务田块的实际面积，及时缴清防治费</w:t>
      </w:r>
      <w:r>
        <w:rPr>
          <w:rFonts w:hint="default" w:ascii="Times New Roman" w:hAnsi="Times New Roman" w:eastAsia="仿宋_GB2312" w:cs="Times New Roman"/>
          <w:spacing w:val="-6"/>
          <w:sz w:val="28"/>
          <w:szCs w:val="28"/>
        </w:rPr>
        <w:t>用；并按照乙方防治技术要求及时管水；在乙方防治后及时检查防治效果</w:t>
      </w:r>
      <w:r>
        <w:rPr>
          <w:rFonts w:hint="default" w:ascii="Times New Roman" w:hAnsi="Times New Roman" w:eastAsia="仿宋_GB2312" w:cs="Times New Roman"/>
          <w:sz w:val="28"/>
          <w:szCs w:val="28"/>
        </w:rPr>
        <w:t>；如防治效果不达标，需在72小时内通知乙方。甲方不得在施药后将田中药水向临近水域排放，因排放造成的损失由甲方自负。</w:t>
      </w:r>
    </w:p>
    <w:p w14:paraId="10CC92BF">
      <w:pPr>
        <w:keepNext w:val="0"/>
        <w:keepLines w:val="0"/>
        <w:pageBreakBefore w:val="0"/>
        <w:widowControl/>
        <w:kinsoku w:val="0"/>
        <w:wordWrap/>
        <w:overflowPunct/>
        <w:topLinePunct w:val="0"/>
        <w:autoSpaceDE w:val="0"/>
        <w:autoSpaceDN w:val="0"/>
        <w:bidi w:val="0"/>
        <w:adjustRightInd w:val="0"/>
        <w:snapToGrid w:val="0"/>
        <w:spacing w:line="560" w:lineRule="exact"/>
        <w:ind w:firstLine="414" w:firstLineChars="15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3、甲方不得干扰乙方的防治安排，乙方对病虫防治有决策权。对达不到防治指标的田块，乙方有权不安排防治。</w:t>
      </w:r>
    </w:p>
    <w:p w14:paraId="0C7B1451">
      <w:pPr>
        <w:keepNext w:val="0"/>
        <w:keepLines w:val="0"/>
        <w:pageBreakBefore w:val="0"/>
        <w:widowControl/>
        <w:kinsoku w:val="0"/>
        <w:wordWrap/>
        <w:overflowPunct/>
        <w:topLinePunct w:val="0"/>
        <w:autoSpaceDE w:val="0"/>
        <w:autoSpaceDN w:val="0"/>
        <w:bidi w:val="0"/>
        <w:adjustRightInd w:val="0"/>
        <w:snapToGrid w:val="0"/>
        <w:spacing w:line="560" w:lineRule="exact"/>
        <w:ind w:firstLine="414" w:firstLineChars="15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4、甲方提供便利的充电场地及便捷的交通工具（例如：摩托车、电动车等）。</w:t>
      </w:r>
    </w:p>
    <w:p w14:paraId="0B50FA7D">
      <w:pPr>
        <w:keepNext w:val="0"/>
        <w:keepLines w:val="0"/>
        <w:pageBreakBefore w:val="0"/>
        <w:widowControl/>
        <w:kinsoku w:val="0"/>
        <w:wordWrap/>
        <w:overflowPunct/>
        <w:topLinePunct w:val="0"/>
        <w:autoSpaceDE w:val="0"/>
        <w:autoSpaceDN w:val="0"/>
        <w:bidi w:val="0"/>
        <w:adjustRightInd w:val="0"/>
        <w:snapToGrid w:val="0"/>
        <w:spacing w:line="560" w:lineRule="exact"/>
        <w:ind w:firstLine="552" w:firstLineChars="20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四、乙方责任：</w:t>
      </w:r>
    </w:p>
    <w:p w14:paraId="23B3F344">
      <w:pPr>
        <w:keepNext w:val="0"/>
        <w:keepLines w:val="0"/>
        <w:pageBreakBefore w:val="0"/>
        <w:widowControl/>
        <w:kinsoku w:val="0"/>
        <w:wordWrap/>
        <w:overflowPunct/>
        <w:topLinePunct w:val="0"/>
        <w:autoSpaceDE w:val="0"/>
        <w:autoSpaceDN w:val="0"/>
        <w:bidi w:val="0"/>
        <w:adjustRightInd w:val="0"/>
        <w:snapToGrid w:val="0"/>
        <w:spacing w:line="560" w:lineRule="exact"/>
        <w:ind w:firstLine="528" w:firstLineChars="20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pacing w:val="-6"/>
          <w:sz w:val="28"/>
          <w:szCs w:val="28"/>
        </w:rPr>
        <w:t>１、乙方对本合同</w:t>
      </w:r>
      <w:r>
        <w:rPr>
          <w:rFonts w:hint="default" w:ascii="Times New Roman" w:hAnsi="Times New Roman" w:eastAsia="仿宋_GB2312" w:cs="Times New Roman"/>
          <w:spacing w:val="-6"/>
          <w:sz w:val="28"/>
          <w:szCs w:val="28"/>
          <w:lang w:eastAsia="zh-CN"/>
        </w:rPr>
        <w:t>第一，</w:t>
      </w:r>
      <w:r>
        <w:rPr>
          <w:rFonts w:hint="default" w:ascii="Times New Roman" w:hAnsi="Times New Roman" w:eastAsia="仿宋_GB2312" w:cs="Times New Roman"/>
          <w:spacing w:val="-6"/>
          <w:sz w:val="28"/>
          <w:szCs w:val="28"/>
        </w:rPr>
        <w:t>二条约定的服务田块、内容开展病虫害防治</w:t>
      </w:r>
      <w:r>
        <w:rPr>
          <w:rFonts w:hint="default" w:ascii="Times New Roman" w:hAnsi="Times New Roman" w:eastAsia="仿宋_GB2312" w:cs="Times New Roman"/>
          <w:sz w:val="28"/>
          <w:szCs w:val="28"/>
        </w:rPr>
        <w:t xml:space="preserve">，保证病虫害损失率在5%以下。如果病虫害损失超标，但损失不严重，由甲乙双方协商解决；如损失较重，由农业部门测定损失值，超过损失率部分由乙方赔偿。 </w:t>
      </w:r>
    </w:p>
    <w:p w14:paraId="7D0B4316">
      <w:pPr>
        <w:keepNext w:val="0"/>
        <w:keepLines w:val="0"/>
        <w:pageBreakBefore w:val="0"/>
        <w:widowControl/>
        <w:kinsoku w:val="0"/>
        <w:wordWrap/>
        <w:overflowPunct/>
        <w:topLinePunct w:val="0"/>
        <w:autoSpaceDE w:val="0"/>
        <w:autoSpaceDN w:val="0"/>
        <w:bidi w:val="0"/>
        <w:adjustRightInd w:val="0"/>
        <w:snapToGrid w:val="0"/>
        <w:spacing w:line="560" w:lineRule="exact"/>
        <w:ind w:firstLine="552" w:firstLineChars="20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２、乙方负责回收服务面积内使用药剂的包装物。</w:t>
      </w:r>
    </w:p>
    <w:p w14:paraId="1AB08AAA">
      <w:pPr>
        <w:keepNext w:val="0"/>
        <w:keepLines w:val="0"/>
        <w:pageBreakBefore w:val="0"/>
        <w:widowControl/>
        <w:kinsoku w:val="0"/>
        <w:wordWrap/>
        <w:overflowPunct/>
        <w:topLinePunct w:val="0"/>
        <w:autoSpaceDE w:val="0"/>
        <w:autoSpaceDN w:val="0"/>
        <w:bidi w:val="0"/>
        <w:adjustRightInd w:val="0"/>
        <w:snapToGrid w:val="0"/>
        <w:spacing w:line="560" w:lineRule="exact"/>
        <w:ind w:left="220" w:leftChars="107" w:firstLine="414" w:firstLineChars="15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3、因特殊气候或者出现大范围爆发性病虫害等原因造成的损失时，乙方应主动与甲方协商妥善解决。</w:t>
      </w:r>
    </w:p>
    <w:p w14:paraId="451F77A3">
      <w:pPr>
        <w:keepNext w:val="0"/>
        <w:keepLines w:val="0"/>
        <w:pageBreakBefore w:val="0"/>
        <w:widowControl/>
        <w:kinsoku w:val="0"/>
        <w:wordWrap/>
        <w:overflowPunct/>
        <w:topLinePunct w:val="0"/>
        <w:autoSpaceDE w:val="0"/>
        <w:autoSpaceDN w:val="0"/>
        <w:bidi w:val="0"/>
        <w:adjustRightInd w:val="0"/>
        <w:snapToGrid w:val="0"/>
        <w:spacing w:line="560" w:lineRule="exact"/>
        <w:ind w:firstLine="552" w:firstLineChars="20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4、及时建好详细的防治档案（防治时间、药剂、面积、天气、防治人员等） 。</w:t>
      </w:r>
    </w:p>
    <w:p w14:paraId="2D6400BB">
      <w:pPr>
        <w:keepNext w:val="0"/>
        <w:keepLines w:val="0"/>
        <w:pageBreakBefore w:val="0"/>
        <w:widowControl/>
        <w:kinsoku w:val="0"/>
        <w:wordWrap/>
        <w:overflowPunct/>
        <w:topLinePunct w:val="0"/>
        <w:autoSpaceDE w:val="0"/>
        <w:autoSpaceDN w:val="0"/>
        <w:bidi w:val="0"/>
        <w:adjustRightInd w:val="0"/>
        <w:snapToGrid w:val="0"/>
        <w:spacing w:line="560" w:lineRule="exact"/>
        <w:ind w:firstLine="552" w:firstLineChars="20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五、责任免除，以下原因造成的产量损失，乙方不承担责任：</w:t>
      </w:r>
    </w:p>
    <w:p w14:paraId="3260161A">
      <w:pPr>
        <w:keepNext w:val="0"/>
        <w:keepLines w:val="0"/>
        <w:pageBreakBefore w:val="0"/>
        <w:widowControl/>
        <w:kinsoku w:val="0"/>
        <w:wordWrap/>
        <w:overflowPunct/>
        <w:topLinePunct w:val="0"/>
        <w:autoSpaceDE w:val="0"/>
        <w:autoSpaceDN w:val="0"/>
        <w:bidi w:val="0"/>
        <w:adjustRightInd w:val="0"/>
        <w:snapToGrid w:val="0"/>
        <w:spacing w:line="560" w:lineRule="exact"/>
        <w:ind w:left="220" w:leftChars="107" w:firstLine="414" w:firstLineChars="15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1、检疫性病虫害、病毒病等（如南方黑条矮缩病）所造成的损失，或因品种抗性原因造成穗颈瘟的损失。</w:t>
      </w:r>
    </w:p>
    <w:p w14:paraId="0DABF2F6">
      <w:pPr>
        <w:keepNext w:val="0"/>
        <w:keepLines w:val="0"/>
        <w:pageBreakBefore w:val="0"/>
        <w:widowControl/>
        <w:kinsoku w:val="0"/>
        <w:wordWrap/>
        <w:overflowPunct/>
        <w:topLinePunct w:val="0"/>
        <w:autoSpaceDE w:val="0"/>
        <w:autoSpaceDN w:val="0"/>
        <w:bidi w:val="0"/>
        <w:adjustRightInd w:val="0"/>
        <w:snapToGrid w:val="0"/>
        <w:spacing w:line="560" w:lineRule="exact"/>
        <w:ind w:left="220" w:leftChars="107" w:firstLine="414" w:firstLineChars="15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2、因洪涝、干旱、冻害、污染等人力不可抗拒的因素造成的损失。</w:t>
      </w:r>
    </w:p>
    <w:p w14:paraId="4BA1DC55">
      <w:pPr>
        <w:keepNext w:val="0"/>
        <w:keepLines w:val="0"/>
        <w:pageBreakBefore w:val="0"/>
        <w:widowControl/>
        <w:kinsoku w:val="0"/>
        <w:wordWrap/>
        <w:overflowPunct/>
        <w:topLinePunct w:val="0"/>
        <w:autoSpaceDE w:val="0"/>
        <w:autoSpaceDN w:val="0"/>
        <w:bidi w:val="0"/>
        <w:adjustRightInd w:val="0"/>
        <w:snapToGrid w:val="0"/>
        <w:spacing w:line="560" w:lineRule="exact"/>
        <w:ind w:left="220" w:leftChars="107" w:firstLine="414" w:firstLineChars="15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3、甲方虚报承包面积，即甲方实际防治面积大于合同服务面积而影响防治效果所造成的损失。</w:t>
      </w:r>
    </w:p>
    <w:p w14:paraId="5BBD5222">
      <w:pPr>
        <w:keepNext w:val="0"/>
        <w:keepLines w:val="0"/>
        <w:pageBreakBefore w:val="0"/>
        <w:widowControl/>
        <w:kinsoku w:val="0"/>
        <w:wordWrap/>
        <w:overflowPunct/>
        <w:topLinePunct w:val="0"/>
        <w:autoSpaceDE w:val="0"/>
        <w:autoSpaceDN w:val="0"/>
        <w:bidi w:val="0"/>
        <w:adjustRightInd w:val="0"/>
        <w:snapToGrid w:val="0"/>
        <w:spacing w:line="560" w:lineRule="exact"/>
        <w:ind w:left="220" w:leftChars="107" w:firstLine="414" w:firstLineChars="15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4、甲方未进行正常的田间肥水管理。</w:t>
      </w:r>
    </w:p>
    <w:p w14:paraId="7D547248">
      <w:pPr>
        <w:keepNext w:val="0"/>
        <w:keepLines w:val="0"/>
        <w:pageBreakBefore w:val="0"/>
        <w:widowControl/>
        <w:kinsoku w:val="0"/>
        <w:wordWrap/>
        <w:overflowPunct/>
        <w:topLinePunct w:val="0"/>
        <w:autoSpaceDE w:val="0"/>
        <w:autoSpaceDN w:val="0"/>
        <w:bidi w:val="0"/>
        <w:adjustRightInd w:val="0"/>
        <w:snapToGrid w:val="0"/>
        <w:spacing w:line="560" w:lineRule="exact"/>
        <w:ind w:left="220" w:leftChars="107" w:firstLine="414" w:firstLineChars="15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5、甲方不按时缴纳费用，乙方终止协议后，甲方田间病虫害造成的损失。</w:t>
      </w:r>
    </w:p>
    <w:p w14:paraId="100D2297">
      <w:pPr>
        <w:keepNext w:val="0"/>
        <w:keepLines w:val="0"/>
        <w:pageBreakBefore w:val="0"/>
        <w:widowControl/>
        <w:kinsoku w:val="0"/>
        <w:wordWrap/>
        <w:overflowPunct/>
        <w:topLinePunct w:val="0"/>
        <w:autoSpaceDE w:val="0"/>
        <w:autoSpaceDN w:val="0"/>
        <w:bidi w:val="0"/>
        <w:adjustRightInd w:val="0"/>
        <w:snapToGrid w:val="0"/>
        <w:spacing w:line="560" w:lineRule="exact"/>
        <w:ind w:left="220" w:leftChars="107" w:firstLine="414" w:firstLineChars="15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六、</w:t>
      </w:r>
      <w:r>
        <w:rPr>
          <w:rFonts w:hint="default" w:ascii="Times New Roman" w:hAnsi="Times New Roman" w:eastAsia="仿宋_GB2312" w:cs="Times New Roman"/>
          <w:sz w:val="28"/>
          <w:szCs w:val="28"/>
          <w:lang w:eastAsia="zh-CN"/>
        </w:rPr>
        <w:t>本合同一式四份</w:t>
      </w:r>
      <w:r>
        <w:rPr>
          <w:rFonts w:hint="default" w:ascii="Times New Roman" w:hAnsi="Times New Roman" w:eastAsia="仿宋_GB2312" w:cs="Times New Roman"/>
          <w:sz w:val="28"/>
          <w:szCs w:val="28"/>
        </w:rPr>
        <w:t>，甲乙双方和各执贰份，双方签字（盖章）后生效，合同有效期至202</w:t>
      </w: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rPr>
        <w:t>年12月31日。</w:t>
      </w:r>
    </w:p>
    <w:p w14:paraId="6B6B198C">
      <w:pPr>
        <w:keepNext w:val="0"/>
        <w:keepLines w:val="0"/>
        <w:pageBreakBefore w:val="0"/>
        <w:widowControl/>
        <w:kinsoku w:val="0"/>
        <w:wordWrap/>
        <w:overflowPunct/>
        <w:topLinePunct w:val="0"/>
        <w:autoSpaceDE w:val="0"/>
        <w:autoSpaceDN w:val="0"/>
        <w:bidi w:val="0"/>
        <w:adjustRightInd w:val="0"/>
        <w:snapToGrid w:val="0"/>
        <w:spacing w:line="560" w:lineRule="exact"/>
        <w:ind w:left="220" w:leftChars="107" w:firstLine="414" w:firstLineChars="15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以上合同条款，双方需共同遵守，如有纠纷协商解决，协商解决失败可申请当地人民法院裁决。</w:t>
      </w:r>
    </w:p>
    <w:p w14:paraId="29489915">
      <w:pPr>
        <w:keepNext w:val="0"/>
        <w:keepLines w:val="0"/>
        <w:pageBreakBefore w:val="0"/>
        <w:widowControl/>
        <w:kinsoku w:val="0"/>
        <w:wordWrap/>
        <w:overflowPunct/>
        <w:topLinePunct w:val="0"/>
        <w:autoSpaceDE w:val="0"/>
        <w:autoSpaceDN w:val="0"/>
        <w:bidi w:val="0"/>
        <w:adjustRightInd w:val="0"/>
        <w:snapToGrid w:val="0"/>
        <w:spacing w:line="560" w:lineRule="exact"/>
        <w:ind w:left="220" w:leftChars="107" w:firstLine="552" w:firstLineChars="20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w:t>
      </w:r>
    </w:p>
    <w:p w14:paraId="1ED946ED">
      <w:pPr>
        <w:keepNext w:val="0"/>
        <w:keepLines w:val="0"/>
        <w:pageBreakBefore w:val="0"/>
        <w:widowControl/>
        <w:kinsoku w:val="0"/>
        <w:wordWrap/>
        <w:overflowPunct/>
        <w:topLinePunct w:val="0"/>
        <w:autoSpaceDE w:val="0"/>
        <w:autoSpaceDN w:val="0"/>
        <w:bidi w:val="0"/>
        <w:adjustRightInd w:val="0"/>
        <w:snapToGrid w:val="0"/>
        <w:spacing w:line="560" w:lineRule="exact"/>
        <w:ind w:firstLine="690" w:firstLineChars="25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甲  方（签章）：               乙  方（签章）： </w:t>
      </w:r>
    </w:p>
    <w:p w14:paraId="1AEE991F">
      <w:pPr>
        <w:keepNext w:val="0"/>
        <w:keepLines w:val="0"/>
        <w:pageBreakBefore w:val="0"/>
        <w:widowControl/>
        <w:kinsoku w:val="0"/>
        <w:wordWrap/>
        <w:overflowPunct/>
        <w:topLinePunct w:val="0"/>
        <w:autoSpaceDE w:val="0"/>
        <w:autoSpaceDN w:val="0"/>
        <w:bidi w:val="0"/>
        <w:adjustRightInd w:val="0"/>
        <w:snapToGrid w:val="0"/>
        <w:spacing w:line="560" w:lineRule="exact"/>
        <w:ind w:firstLine="1104" w:firstLineChars="40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w:t>
      </w:r>
    </w:p>
    <w:p w14:paraId="4208CBA4">
      <w:pPr>
        <w:keepNext w:val="0"/>
        <w:keepLines w:val="0"/>
        <w:pageBreakBefore w:val="0"/>
        <w:widowControl/>
        <w:kinsoku w:val="0"/>
        <w:wordWrap/>
        <w:overflowPunct/>
        <w:topLinePunct w:val="0"/>
        <w:autoSpaceDE w:val="0"/>
        <w:autoSpaceDN w:val="0"/>
        <w:bidi w:val="0"/>
        <w:adjustRightInd w:val="0"/>
        <w:snapToGrid w:val="0"/>
        <w:spacing w:line="560" w:lineRule="exact"/>
        <w:ind w:firstLine="690" w:firstLineChars="250"/>
        <w:jc w:val="both"/>
        <w:textAlignment w:val="baseline"/>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电  话：                              电  话：    </w:t>
      </w:r>
    </w:p>
    <w:p w14:paraId="5A6F108E">
      <w:pPr>
        <w:keepNext w:val="0"/>
        <w:keepLines w:val="0"/>
        <w:pageBreakBefore w:val="0"/>
        <w:widowControl/>
        <w:kinsoku w:val="0"/>
        <w:wordWrap/>
        <w:overflowPunct/>
        <w:topLinePunct w:val="0"/>
        <w:autoSpaceDE w:val="0"/>
        <w:autoSpaceDN w:val="0"/>
        <w:bidi w:val="0"/>
        <w:adjustRightInd w:val="0"/>
        <w:snapToGrid w:val="0"/>
        <w:spacing w:line="560" w:lineRule="exact"/>
        <w:ind w:left="220" w:leftChars="107" w:firstLine="1380" w:firstLineChars="500"/>
        <w:jc w:val="both"/>
        <w:textAlignment w:val="baseline"/>
        <w:outlineLvl w:val="9"/>
        <w:rPr>
          <w:rFonts w:hint="default" w:ascii="Times New Roman" w:hAnsi="Times New Roman" w:eastAsia="仿宋_GB2312" w:cs="Times New Roman"/>
          <w:sz w:val="32"/>
          <w:szCs w:val="32"/>
        </w:rPr>
        <w:sectPr>
          <w:headerReference r:id="rId5" w:type="default"/>
          <w:footerReference r:id="rId6" w:type="default"/>
          <w:footerReference r:id="rId7" w:type="even"/>
          <w:pgSz w:w="11907" w:h="16840"/>
          <w:pgMar w:top="1417" w:right="1417" w:bottom="1417" w:left="1417" w:header="0" w:footer="1587" w:gutter="0"/>
          <w:pgNumType w:fmt="numberInDash"/>
          <w:cols w:space="720" w:num="1"/>
          <w:docGrid w:type="linesAndChars" w:linePitch="584" w:charSpace="-834"/>
        </w:sectPr>
      </w:pPr>
      <w:r>
        <w:rPr>
          <w:rFonts w:hint="default" w:ascii="Times New Roman" w:hAnsi="Times New Roman" w:eastAsia="仿宋_GB2312" w:cs="Times New Roman"/>
          <w:sz w:val="28"/>
          <w:szCs w:val="28"/>
        </w:rPr>
        <w:t xml:space="preserve">                                年   月</w:t>
      </w:r>
      <w:r>
        <w:rPr>
          <w:rFonts w:hint="eastAsia" w:ascii="Times New Roman" w:hAnsi="Times New Roman" w:eastAsia="仿宋_GB2312" w:cs="Times New Roman"/>
          <w:sz w:val="28"/>
          <w:szCs w:val="28"/>
          <w:lang w:val="en-US" w:eastAsia="zh-CN"/>
        </w:rPr>
        <w:t xml:space="preserve">   日</w:t>
      </w:r>
      <w:r>
        <w:rPr>
          <w:rFonts w:hint="default" w:ascii="Times New Roman" w:hAnsi="Times New Roman" w:eastAsia="仿宋_GB2312" w:cs="Times New Roman"/>
          <w:sz w:val="28"/>
          <w:szCs w:val="28"/>
        </w:rPr>
        <w:t xml:space="preserve"> </w:t>
      </w:r>
    </w:p>
    <w:p w14:paraId="1105160E">
      <w:pPr>
        <w:rPr>
          <w:rFonts w:hint="eastAsia"/>
          <w:lang w:val="en-US" w:eastAsia="zh-CN"/>
        </w:rPr>
      </w:pPr>
    </w:p>
    <w:sectPr>
      <w:footerReference r:id="rId8" w:type="default"/>
      <w:pgSz w:w="11906" w:h="16838"/>
      <w:pgMar w:top="1417" w:right="1417" w:bottom="1417"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EF39C">
    <w:pPr>
      <w:pStyle w:val="4"/>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2E93B58">
                          <w:pPr>
                            <w:pStyle w:val="4"/>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- 16 -</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8PUr4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J8PUr45AgAAcQQAAA4AAAAAAAAAAQAgAAAAHwEAAGRycy9lMm9Eb2Mu&#10;eG1sUEsFBgAAAAAGAAYAWQEAAMoFAAAAAA==&#10;">
              <v:fill on="f" focussize="0,0"/>
              <v:stroke on="f" weight="0.5pt"/>
              <v:imagedata o:title=""/>
              <o:lock v:ext="edit" aspectratio="f"/>
              <v:textbox inset="0mm,0mm,0mm,0mm" style="mso-fit-shape-to-text:t;">
                <w:txbxContent>
                  <w:p w14:paraId="72E93B58">
                    <w:pPr>
                      <w:pStyle w:val="4"/>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- 16 -</w:t>
                    </w:r>
                    <w:r>
                      <w:rPr>
                        <w:rFonts w:hint="eastAsia" w:ascii="仿宋_GB2312" w:hAnsi="仿宋_GB2312" w:eastAsia="仿宋_GB2312" w:cs="仿宋_GB2312"/>
                        <w:sz w:val="28"/>
                        <w:szCs w:val="28"/>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posOffset>4951730</wp:posOffset>
              </wp:positionH>
              <wp:positionV relativeFrom="paragraph">
                <wp:posOffset>-6350</wp:posOffset>
              </wp:positionV>
              <wp:extent cx="665480" cy="346710"/>
              <wp:effectExtent l="0" t="0" r="0" b="0"/>
              <wp:wrapNone/>
              <wp:docPr id="5" name="文本框 5"/>
              <wp:cNvGraphicFramePr/>
              <a:graphic xmlns:a="http://schemas.openxmlformats.org/drawingml/2006/main">
                <a:graphicData uri="http://schemas.microsoft.com/office/word/2010/wordprocessingShape">
                  <wps:wsp>
                    <wps:cNvSpPr txBox="1"/>
                    <wps:spPr>
                      <a:xfrm>
                        <a:off x="0" y="0"/>
                        <a:ext cx="665480" cy="368300"/>
                      </a:xfrm>
                      <a:prstGeom prst="rect">
                        <a:avLst/>
                      </a:prstGeom>
                      <a:noFill/>
                      <a:ln w="6350">
                        <a:noFill/>
                      </a:ln>
                      <a:effectLst/>
                    </wps:spPr>
                    <wps:txbx>
                      <w:txbxContent>
                        <w:p w14:paraId="386560AF">
                          <w:pPr>
                            <w:rPr>
                              <w:rFonts w:hint="eastAsia"/>
                            </w:rPr>
                          </w:pPr>
                        </w:p>
                      </w:txbxContent>
                    </wps:txbx>
                    <wps:bodyPr wrap="square" lIns="0" tIns="0" rIns="0" bIns="0" upright="0"/>
                  </wps:wsp>
                </a:graphicData>
              </a:graphic>
            </wp:anchor>
          </w:drawing>
        </mc:Choice>
        <mc:Fallback>
          <w:pict>
            <v:shape id="_x0000_s1026" o:spid="_x0000_s1026" o:spt="202" type="#_x0000_t202" style="position:absolute;left:0pt;margin-left:389.9pt;margin-top:-0.5pt;height:27.3pt;width:52.4pt;mso-position-horizontal-relative:margin;z-index:251659264;mso-width-relative:page;mso-height-relative:page;" filled="f" stroked="f" coordsize="21600,21600" o:gfxdata="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LHYmFdkAAAAJAQAADwAAAAAAAAABACAAAAAi&#10;AAAAZHJzL2Rvd25yZXYueG1sUEsBAhQAFAAAAAgAh07iQKwxcA/QAQAAlgMAAA4AAAAAAAAAAQAg&#10;AAAAKAEAAGRycy9lMm9Eb2MueG1sUEsFBgAAAAAGAAYAWQEAAGoFAAAAAA==&#10;">
              <v:fill on="f" focussize="0,0"/>
              <v:stroke on="f" weight="0.5pt"/>
              <v:imagedata o:title=""/>
              <o:lock v:ext="edit" aspectratio="f"/>
              <v:textbox inset="0mm,0mm,0mm,0mm">
                <w:txbxContent>
                  <w:p w14:paraId="386560AF">
                    <w:pPr>
                      <w:rPr>
                        <w:rFonts w:hint="eastAsia"/>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28EBD">
    <w:pPr>
      <w:pStyle w:val="4"/>
    </w:pPr>
    <w: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-167005</wp:posOffset>
              </wp:positionV>
              <wp:extent cx="852170" cy="298450"/>
              <wp:effectExtent l="0" t="0" r="0" b="0"/>
              <wp:wrapNone/>
              <wp:docPr id="6" name="文本框 6"/>
              <wp:cNvGraphicFramePr/>
              <a:graphic xmlns:a="http://schemas.openxmlformats.org/drawingml/2006/main">
                <a:graphicData uri="http://schemas.microsoft.com/office/word/2010/wordprocessingShape">
                  <wps:wsp>
                    <wps:cNvSpPr txBox="1"/>
                    <wps:spPr>
                      <a:xfrm>
                        <a:off x="0" y="0"/>
                        <a:ext cx="852170" cy="298450"/>
                      </a:xfrm>
                      <a:prstGeom prst="rect">
                        <a:avLst/>
                      </a:prstGeom>
                      <a:noFill/>
                      <a:ln w="15875">
                        <a:noFill/>
                      </a:ln>
                      <a:effectLst/>
                    </wps:spPr>
                    <wps:txbx>
                      <w:txbxContent>
                        <w:p w14:paraId="1CDC690F">
                          <w:pPr>
                            <w:pStyle w:val="4"/>
                            <w:jc w:val="right"/>
                            <w:rPr>
                              <w:rFonts w:hint="eastAsia" w:eastAsia="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w:t>
                          </w:r>
                        </w:p>
                        <w:p w14:paraId="6BA4FE0B">
                          <w:pPr>
                            <w:pStyle w:val="4"/>
                            <w:jc w:val="right"/>
                            <w:rPr>
                              <w:rFonts w:hint="eastAsia"/>
                            </w:rPr>
                          </w:pPr>
                        </w:p>
                      </w:txbxContent>
                    </wps:txbx>
                    <wps:bodyPr wrap="square" lIns="0" tIns="0" rIns="0" bIns="0" upright="0"/>
                  </wps:wsp>
                </a:graphicData>
              </a:graphic>
            </wp:anchor>
          </w:drawing>
        </mc:Choice>
        <mc:Fallback>
          <w:pict>
            <v:shape id="_x0000_s1026" o:spid="_x0000_s1026" o:spt="202" type="#_x0000_t202" style="position:absolute;left:0pt;margin-left:0pt;margin-top:-13.15pt;height:23.5pt;width:67.1pt;mso-position-horizontal-relative:margin;z-index:251660288;mso-width-relative:page;mso-height-relative:page;" filled="f" stroked="f" coordsize="21600,21600" o:gfxdata="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VpnF61gAAAAcBAAAPAAAAAAAAAAEAIAAAACIA&#10;AABkcnMvZG93bnJldi54bWxQSwECFAAUAAAACACHTuJA9mAMvNIBAACXAwAADgAAAAAAAAABACAA&#10;AAAlAQAAZHJzL2Uyb0RvYy54bWxQSwUGAAAAAAYABgBZAQAAaQUAAAAA&#10;">
              <v:fill on="f" focussize="0,0"/>
              <v:stroke on="f" weight="1.25pt"/>
              <v:imagedata o:title=""/>
              <o:lock v:ext="edit" aspectratio="f"/>
              <v:textbox inset="0mm,0mm,0mm,0mm">
                <w:txbxContent>
                  <w:p w14:paraId="1CDC690F">
                    <w:pPr>
                      <w:pStyle w:val="4"/>
                      <w:jc w:val="right"/>
                      <w:rPr>
                        <w:rFonts w:hint="eastAsia" w:eastAsia="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w:t>
                    </w:r>
                  </w:p>
                  <w:p w14:paraId="6BA4FE0B">
                    <w:pPr>
                      <w:pStyle w:val="4"/>
                      <w:jc w:val="right"/>
                      <w:rPr>
                        <w:rFonts w:hint="eastAsia"/>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E6347">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CC98B97">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- 14 -</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X1r85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6/ejt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DkX1r85AgAAcQQAAA4AAAAAAAAAAQAgAAAAHwEAAGRycy9lMm9Eb2Mu&#10;eG1sUEsFBgAAAAAGAAYAWQEAAMoFAAAAAA==&#10;">
              <v:fill on="f" focussize="0,0"/>
              <v:stroke on="f" weight="0.5pt"/>
              <v:imagedata o:title=""/>
              <o:lock v:ext="edit" aspectratio="f"/>
              <v:textbox inset="0mm,0mm,0mm,0mm" style="mso-fit-shape-to-text:t;">
                <w:txbxContent>
                  <w:p w14:paraId="1CC98B97">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- 14 -</w:t>
                    </w:r>
                    <w:r>
                      <w:rPr>
                        <w:rFonts w:hint="eastAsia" w:ascii="仿宋_GB2312" w:hAnsi="仿宋_GB2312" w:eastAsia="仿宋_GB2312" w:cs="仿宋_GB2312"/>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2A327">
    <w:pPr>
      <w:pStyle w:val="3"/>
      <w:pBdr>
        <w:top w:val="none" w:color="auto" w:sz="0" w:space="0"/>
        <w:left w:val="none" w:color="auto" w:sz="0" w:space="0"/>
        <w:bottom w:val="none" w:color="auto" w:sz="0" w:space="1"/>
        <w:right w:val="none" w:color="auto" w:sz="0" w:space="0"/>
        <w:between w:val="none" w:color="auto" w:sz="0" w:space="0"/>
      </w:pBd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1DE531"/>
    <w:multiLevelType w:val="singleLevel"/>
    <w:tmpl w:val="121DE53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yMGIzMWIyYzllNjYwODVhZTVmM2FiNDJmOTRjNzMifQ=="/>
  </w:docVars>
  <w:rsids>
    <w:rsidRoot w:val="62A308CE"/>
    <w:rsid w:val="3C1F45B2"/>
    <w:rsid w:val="3F78302F"/>
    <w:rsid w:val="4F9F68AD"/>
    <w:rsid w:val="62A308CE"/>
    <w:rsid w:val="63D464D8"/>
    <w:rsid w:val="723F61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1.正文"/>
    <w:basedOn w:val="1"/>
    <w:next w:val="3"/>
    <w:qFormat/>
    <w:uiPriority w:val="0"/>
    <w:rPr>
      <w:szCs w:val="22"/>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137</Words>
  <Characters>137</Characters>
  <Lines>0</Lines>
  <Paragraphs>0</Paragraphs>
  <TotalTime>0</TotalTime>
  <ScaleCrop>false</ScaleCrop>
  <LinksUpToDate>false</LinksUpToDate>
  <CharactersWithSpaces>212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2024-09-24T02:48:00Z</dcterms:created>
  <dc:creator>October.</dc:creator>
  <cp:lastModifiedBy>October.</cp:lastModifiedBy>
  <dcterms:modified xsi:type="dcterms:W3CDTF">2024-09-24T02:55:14Z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0150598956634DD4A4ECA6D703FB63C8_13</vt:lpwstr>
  </property>
</Properties>
</file>