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附件</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白砂镇消防安全治本攻坚三年行动目标任务清单</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sz w:val="24"/>
          <w:szCs w:val="24"/>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59"/>
        <w:gridCol w:w="1146"/>
        <w:gridCol w:w="3759"/>
        <w:gridCol w:w="1622"/>
        <w:gridCol w:w="1622"/>
        <w:gridCol w:w="1622"/>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blHeader/>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序号</w:t>
            </w:r>
          </w:p>
        </w:tc>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项目</w:t>
            </w: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工作任务</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工作内容</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2024年</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2025年</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2026年</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b/>
                <w:bCs/>
                <w:color w:val="000000"/>
                <w:kern w:val="2"/>
                <w:sz w:val="24"/>
                <w:szCs w:val="24"/>
                <w:vertAlign w:val="baseline"/>
                <w:lang w:val="en-US" w:eastAsia="zh-CN" w:bidi="ar-SA"/>
              </w:rPr>
            </w:pPr>
            <w:r>
              <w:rPr>
                <w:rFonts w:hint="eastAsia" w:ascii="宋体" w:hAnsi="宋体" w:eastAsia="宋体" w:cs="宋体"/>
                <w:b/>
                <w:bCs/>
                <w:color w:val="000000"/>
                <w:kern w:val="2"/>
                <w:sz w:val="24"/>
                <w:szCs w:val="24"/>
                <w:vertAlign w:val="baseline"/>
                <w:lang w:val="en-US" w:eastAsia="zh-CN" w:bidi="ar-SA"/>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w:t>
            </w:r>
          </w:p>
        </w:tc>
        <w:tc>
          <w:tcPr>
            <w:tcW w:w="8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70" w:lineRule="exact"/>
              <w:ind w:firstLine="210" w:firstLineChars="1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(一)</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健全消防安全责任体系</w:t>
            </w: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1.落实政府领导责任</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按照“党政同责、一岗双责、齐抓共管、失职追责”要求，明确消防安全责任，强化消防工作考核，统筹抓好本地消防安全工作；定期召开会议、分析形势、通报情况，解决重大问题。</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w:t>
            </w:r>
          </w:p>
        </w:tc>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2.落实基层管理责任</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压实镇、村日常管理、防火检查、隐患督改等工作职责，实行常态化、规范化消防安全赋权执法。</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执法队</w:t>
            </w:r>
          </w:p>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eastAsia="仿宋_GB2312"/>
                <w:lang w:val="en-US" w:eastAsia="zh-CN"/>
              </w:rPr>
            </w:pPr>
            <w:r>
              <w:rPr>
                <w:rFonts w:hint="eastAsia" w:ascii="宋体" w:hAnsi="宋体" w:cs="宋体"/>
                <w:color w:val="000000"/>
                <w:kern w:val="2"/>
                <w:sz w:val="21"/>
                <w:szCs w:val="21"/>
                <w:vertAlign w:val="baseline"/>
                <w:lang w:val="en-US" w:eastAsia="zh-CN" w:bidi="ar-SA"/>
              </w:rPr>
              <w:t>各村委会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w:t>
            </w:r>
          </w:p>
        </w:tc>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3.落实单位主体责任</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社会单位对照重点场所火灾风险防范指南和检查指引开展自查自改，健全完善重大火灾隐患排查整改常态化机制，全面推行社会单位消防安全标准化管理，提升消防安全管理水平。</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各村</w:t>
            </w:r>
            <w:r>
              <w:rPr>
                <w:rFonts w:hint="eastAsia" w:ascii="宋体" w:hAnsi="宋体" w:cs="宋体"/>
                <w:color w:val="000000"/>
                <w:kern w:val="2"/>
                <w:sz w:val="21"/>
                <w:szCs w:val="21"/>
                <w:vertAlign w:val="baseline"/>
                <w:lang w:val="en-US" w:eastAsia="zh-CN" w:bidi="ar-SA"/>
              </w:rPr>
              <w:t>委会</w:t>
            </w:r>
          </w:p>
          <w:p>
            <w:pPr>
              <w:pStyle w:val="2"/>
              <w:keepNext w:val="0"/>
              <w:keepLines w:val="0"/>
              <w:pageBreakBefore w:val="0"/>
              <w:widowControl w:val="0"/>
              <w:kinsoku/>
              <w:wordWrap/>
              <w:topLinePunct w:val="0"/>
              <w:autoSpaceDE/>
              <w:autoSpaceDN/>
              <w:bidi w:val="0"/>
              <w:adjustRightInd/>
              <w:snapToGrid/>
              <w:spacing w:line="570" w:lineRule="exact"/>
              <w:jc w:val="center"/>
              <w:textAlignment w:val="auto"/>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w:t>
            </w:r>
          </w:p>
        </w:tc>
        <w:tc>
          <w:tcPr>
            <w:tcW w:w="8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（二）开展火灾风险隐患精准排查</w:t>
            </w: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4.聚焦重点领域</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紧盯经营性自建房、沿街商铺、餐馆饭店、家庭作坊、“多合一”等“小场所”，重点排查违章搭建、违规住人、违规用火用电用气等危险行为；紧盯医疗、寄宿制学校、幼儿园，社会福利机构等特殊敏感场所，重点排查违规动火施工作业、采用易燃彩钢板房搭建、消防设施损坏停用等突出问题。</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村建站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安监站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5</w:t>
            </w:r>
          </w:p>
        </w:tc>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5.强化风险研判</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坚持定期研判与专题研判相结合，分析本地区、本行业消防安全风险，找准最不放心区域、最薄弱环节、最突出问题，在重大节日、重要活动及发生亡人、有影响的火灾事故时，开展火灾风险预警警示，提示社会单位、告知村民群众采取防范措施。</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安监站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6"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w:t>
            </w:r>
          </w:p>
        </w:tc>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6.组织全面排查</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组织对走道、楼梯间堆放的易燃可燃杂物进行清理；各村要广泛发动村民及时清除家庭阳台、窗台和室内的易燃可燃杂物。针对公众聚集、人员密集等重点场所存在违规电气焊、营业期间动用明火作业，违规使用电烤炉、明火取暖等不安全取暖行为，以及电动车违规停放、充电等高风险行为的，要坚决依法处理。镇消防工作站、综合执法队、派出所等基层力量加强家庭作坊等“小场所”检查巡查，及时纠治动态火灾隐患，落实闭环管理；构成重大火灾隐患的，抄报移交消防部门。持续开展经营性自建房消防安全隐患整治“回头看”，强化经营性自建房日常消防安全监管。</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2024年基本摸清家庭作坊底数，及时纠治动态火灾隐患，落实闭环管理；构成重大火灾隐患的，抄报移交消防部门。</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村建站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安监站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执法队</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派出所</w:t>
            </w:r>
          </w:p>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各村</w:t>
            </w:r>
            <w:r>
              <w:rPr>
                <w:rFonts w:hint="eastAsia" w:ascii="宋体" w:hAnsi="宋体" w:cs="宋体"/>
                <w:color w:val="000000"/>
                <w:kern w:val="2"/>
                <w:sz w:val="21"/>
                <w:szCs w:val="21"/>
                <w:vertAlign w:val="baseline"/>
                <w:lang w:val="en-US" w:eastAsia="zh-CN" w:bidi="ar-SA"/>
              </w:rPr>
              <w:t>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w:t>
            </w:r>
          </w:p>
        </w:tc>
        <w:tc>
          <w:tcPr>
            <w:tcW w:w="8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7.加强电动自行车管理</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抓实电动自行车全链条监管责任，切实强化部门工作合力，下大力气解决电动自行车停放充电、拆解回收等方面的突出问题，有效遏制电动自行车火灾。对飞线充电、乱停乱放的要劝导，同时引导群众规范停放、充电。</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ind w:firstLine="210" w:firstLineChars="1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安监站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执法队</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派出所</w:t>
            </w:r>
          </w:p>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各村</w:t>
            </w:r>
            <w:r>
              <w:rPr>
                <w:rFonts w:hint="eastAsia" w:ascii="宋体" w:hAnsi="宋体" w:cs="宋体"/>
                <w:color w:val="000000"/>
                <w:kern w:val="2"/>
                <w:sz w:val="21"/>
                <w:szCs w:val="21"/>
                <w:vertAlign w:val="baseline"/>
                <w:lang w:val="en-US" w:eastAsia="zh-CN" w:bidi="ar-SA"/>
              </w:rPr>
              <w:t>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w:t>
            </w:r>
          </w:p>
        </w:tc>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（三）强化消防安全综合整治</w:t>
            </w: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8.严格执法查处</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持续推进消防安全重大风险隐患、燃气消防安全和打通“生命通道”专项整治。对检查发现的各类消防违法行为和火灾隐患，建立问题清单，要求限期整改，实行闭环管理。</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村建站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安监站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执法队</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派出所</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w:t>
            </w:r>
          </w:p>
        </w:tc>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9.筑牢农村火灾防控基础单元</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依托乡村振兴，结合乡村房改、水改、电改等工作，有计划地改造防火间距不足、木结构建筑集中连片的村庄。铺设市政供水管网的村完成消火栓建设，不具备给水管网条件的村建设若干消防水池或依托天然水源建设取水设施。推动100%的行政村建立微型消防站。</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配备必要的消防装备器材</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推动100%的行政村建立微型消防站。</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村建站</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水利站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w:t>
            </w:r>
          </w:p>
        </w:tc>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（四）加强消防安全培训</w:t>
            </w: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10.加强专业培训</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组织所属行业部门消防安全相关人员开展消防安全培训。</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w:t>
            </w:r>
          </w:p>
        </w:tc>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（五）提升全民消防安全素质</w:t>
            </w: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11.普及安全常识</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开展消防宣传月等活动，深入推进消防宣传“五进”，广泛开展安全用火用电用气、保持生命通道畅通、应急疏散逃生等常识宣传，引导群众常态开展“三清三关”（清理楼道、阳台、厨房可燃杂物，离家关闭电源、火源、气源），增强消防安全意识。发动村安全员、消防志愿者、入户开展消防宣传提示，结对帮扶“老、幼、病、弱”群体，提升逃生能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持续推进</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各村</w:t>
            </w:r>
            <w:r>
              <w:rPr>
                <w:rFonts w:hint="eastAsia" w:ascii="宋体" w:hAnsi="宋体" w:cs="宋体"/>
                <w:color w:val="000000"/>
                <w:kern w:val="2"/>
                <w:sz w:val="21"/>
                <w:szCs w:val="21"/>
                <w:vertAlign w:val="baseline"/>
                <w:lang w:val="en-US" w:eastAsia="zh-CN" w:bidi="ar-SA"/>
              </w:rPr>
              <w:t>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7"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w:t>
            </w:r>
          </w:p>
        </w:tc>
        <w:tc>
          <w:tcPr>
            <w:tcW w:w="8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p>
        </w:tc>
        <w:tc>
          <w:tcPr>
            <w:tcW w:w="1146"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12.落实“全生命周期”工作</w:t>
            </w:r>
          </w:p>
        </w:tc>
        <w:tc>
          <w:tcPr>
            <w:tcW w:w="3759"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各村要建立消防安全宣讲队，开展宣导员培训、提升宣讲能力。要广泛应用“全生命周期”微信小程序，提高社会单位“一教一练”和进门入户“一看一单一讲一查”工作实效。</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2024年底，完成70%数量的沿街店面、小场所“一看一单一讲一查”工作、60%数量的居家群体“一看一单一讲一查”，独居老人、留守儿童、残疾人家庭等特殊人群做到100%覆盖。</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2025年底，完成沿街店面、小场所和居家群体“一看一单一讲一查”工作动态100%全覆盖，特殊重点人群做到100%覆盖。</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2026年，开展全生命周期攻坚行动验收和效果评估，同步实现全生命周期全体动态100%覆盖。指导行业部门推动行业系统内单位落实消防宣传教育培训主体责任，利用“全生命周期”小程序，通过公安电子二维码门牌进行上门入户“一看一单一讲一查”打卡宣讲，实现从青少年到中青年到老年人群体的消防宣传教育培训全覆盖。</w:t>
            </w:r>
          </w:p>
        </w:tc>
        <w:tc>
          <w:tcPr>
            <w:tcW w:w="1622" w:type="dxa"/>
            <w:noWrap w:val="0"/>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消防站</w:t>
            </w:r>
          </w:p>
          <w:p>
            <w:pPr>
              <w:keepNext w:val="0"/>
              <w:keepLines w:val="0"/>
              <w:pageBreakBefore w:val="0"/>
              <w:widowControl w:val="0"/>
              <w:kinsoku/>
              <w:wordWrap/>
              <w:overflowPunct/>
              <w:topLinePunct w:val="0"/>
              <w:autoSpaceDE/>
              <w:autoSpaceDN/>
              <w:bidi w:val="0"/>
              <w:adjustRightInd/>
              <w:snapToGrid/>
              <w:spacing w:line="570" w:lineRule="exact"/>
              <w:ind w:firstLine="420" w:firstLineChars="200"/>
              <w:jc w:val="both"/>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各村</w:t>
            </w:r>
            <w:r>
              <w:rPr>
                <w:rFonts w:hint="eastAsia" w:ascii="宋体" w:hAnsi="宋体" w:cs="宋体"/>
                <w:color w:val="000000"/>
                <w:kern w:val="2"/>
                <w:sz w:val="21"/>
                <w:szCs w:val="21"/>
                <w:vertAlign w:val="baseline"/>
                <w:lang w:val="en-US" w:eastAsia="zh-CN" w:bidi="ar-SA"/>
              </w:rPr>
              <w:t>委会</w:t>
            </w:r>
          </w:p>
        </w:tc>
      </w:tr>
    </w:tbl>
    <w:p>
      <w:pPr>
        <w:sectPr>
          <w:pgSz w:w="16838" w:h="11906" w:orient="landscape"/>
          <w:pgMar w:top="1800" w:right="1440" w:bottom="1800" w:left="1440" w:header="851" w:footer="992" w:gutter="0"/>
          <w:cols w:space="425" w:num="1"/>
          <w:docGrid w:type="lines" w:linePitch="312" w:charSpace="0"/>
        </w:sectPr>
      </w:pPr>
      <w:bookmarkStart w:id="0" w:name="_GoBack"/>
      <w:bookmarkEnd w:id="0"/>
    </w:p>
    <w:p>
      <w:pPr>
        <w:pStyle w:val="2"/>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OTNlYzk0YzA0ODRiMWI2NmUyODEwYjNiZmY2MTYifQ=="/>
  </w:docVars>
  <w:rsids>
    <w:rsidRoot w:val="00000000"/>
    <w:rsid w:val="1D311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rPr>
      <w:rFonts w:eastAsia="宋体"/>
    </w:rPr>
  </w:style>
  <w:style w:type="paragraph" w:styleId="4">
    <w:name w:val="Normal Indent"/>
    <w:basedOn w:val="1"/>
    <w:next w:val="5"/>
    <w:qFormat/>
    <w:uiPriority w:val="0"/>
    <w:pPr>
      <w:spacing w:line="360" w:lineRule="auto"/>
      <w:ind w:firstLine="420" w:firstLineChars="200"/>
    </w:pPr>
    <w:rPr>
      <w:sz w:val="24"/>
    </w:rPr>
  </w:style>
  <w:style w:type="paragraph" w:styleId="5">
    <w:name w:val="envelope return"/>
    <w:basedOn w:val="1"/>
    <w:qFormat/>
    <w:uiPriority w:val="0"/>
    <w:pPr>
      <w:snapToGrid w:val="0"/>
    </w:pPr>
    <w:rPr>
      <w:rFonts w:ascii="Arial" w:hAnsi="Arial"/>
    </w:rPr>
  </w:style>
  <w:style w:type="paragraph" w:styleId="6">
    <w:name w:val="footer"/>
    <w:basedOn w:val="1"/>
    <w:next w:val="1"/>
    <w:qFormat/>
    <w:uiPriority w:val="0"/>
    <w:pPr>
      <w:tabs>
        <w:tab w:val="center" w:pos="4153"/>
        <w:tab w:val="right" w:pos="8306"/>
      </w:tabs>
      <w:snapToGrid w:val="0"/>
      <w:jc w:val="left"/>
    </w:pPr>
    <w:rPr>
      <w:sz w:val="18"/>
      <w:szCs w:val="18"/>
    </w:rPr>
  </w:style>
  <w:style w:type="table" w:styleId="8">
    <w:name w:val="Table Grid"/>
    <w:basedOn w:val="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2024-07-16T08:15:24Z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74A3698282CF4C52B05995DCA5549ED2_12</vt:lpwstr>
  </property>
</Properties>
</file>