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5E96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0"/>
          <w:sz w:val="44"/>
          <w:szCs w:val="44"/>
          <w:shd w:val="clear" w:color="auto" w:fill="FFFFFF"/>
          <w:lang w:val="en-US" w:eastAsia="zh-CN" w:bidi="ar"/>
        </w:rPr>
        <w:t>上杭县城区住宅小区公共充电</w:t>
      </w:r>
    </w:p>
    <w:p w14:paraId="307ED62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0"/>
          <w:sz w:val="44"/>
          <w:szCs w:val="44"/>
          <w:shd w:val="clear" w:color="auto" w:fill="FFFFFF"/>
          <w:lang w:val="en-US" w:eastAsia="zh-CN" w:bidi="ar"/>
        </w:rPr>
        <w:t>设施建设管理规定（试行）</w:t>
      </w:r>
    </w:p>
    <w:p w14:paraId="240DCC0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center"/>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i w:val="0"/>
          <w:iCs w:val="0"/>
          <w:caps w:val="0"/>
          <w:color w:val="auto"/>
          <w:spacing w:val="0"/>
          <w:kern w:val="0"/>
          <w:sz w:val="36"/>
          <w:szCs w:val="36"/>
          <w:shd w:val="clear" w:color="auto" w:fill="FFFFFF"/>
          <w:lang w:val="en-US" w:eastAsia="zh-CN" w:bidi="ar"/>
        </w:rPr>
        <w:t>（</w:t>
      </w:r>
      <w:r>
        <w:rPr>
          <w:rFonts w:hint="eastAsia" w:ascii="楷体_GB2312" w:hAnsi="楷体_GB2312" w:eastAsia="楷体_GB2312" w:cs="楷体_GB2312"/>
          <w:b/>
          <w:bCs/>
          <w:color w:val="auto"/>
          <w:sz w:val="36"/>
          <w:szCs w:val="36"/>
          <w:lang w:eastAsia="zh-CN"/>
        </w:rPr>
        <w:t>征求意见稿</w:t>
      </w:r>
      <w:bookmarkStart w:id="0" w:name="_GoBack"/>
      <w:bookmarkEnd w:id="0"/>
      <w:r>
        <w:rPr>
          <w:rFonts w:hint="eastAsia" w:ascii="楷体_GB2312" w:hAnsi="楷体_GB2312" w:eastAsia="楷体_GB2312" w:cs="楷体_GB2312"/>
          <w:b/>
          <w:bCs/>
          <w:color w:val="auto"/>
          <w:sz w:val="36"/>
          <w:szCs w:val="36"/>
          <w:lang w:eastAsia="zh-CN"/>
        </w:rPr>
        <w:t>）</w:t>
      </w:r>
    </w:p>
    <w:p w14:paraId="373BF0FA">
      <w:pPr>
        <w:keepNext w:val="0"/>
        <w:keepLines w:val="0"/>
        <w:pageBreakBefore w:val="0"/>
        <w:widowControl w:val="0"/>
        <w:kinsoku/>
        <w:wordWrap/>
        <w:overflowPunct/>
        <w:topLinePunct w:val="0"/>
        <w:autoSpaceDE/>
        <w:autoSpaceDN/>
        <w:bidi w:val="0"/>
        <w:adjustRightInd/>
        <w:snapToGrid/>
        <w:spacing w:before="157" w:beforeLines="50" w:after="157" w:afterLines="50" w:line="59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第一章 总则</w:t>
      </w:r>
    </w:p>
    <w:p w14:paraId="0DAE9FF5">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第一条</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目的依据</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为规范上杭县城区新建、既有住宅小区电动汽车公共充电设施规划建设、施工验收、运营维护、消防安全管理，破解小区充电配套不足，消除电动汽车充电安全隐患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依据《国</w:t>
      </w:r>
      <w:r>
        <w:rPr>
          <w:rFonts w:hint="eastAsia" w:ascii="仿宋_GB2312" w:hAnsi="仿宋_GB2312" w:eastAsia="仿宋_GB2312" w:cs="仿宋_GB2312"/>
          <w:i w:val="0"/>
          <w:iCs w:val="0"/>
          <w:caps w:val="0"/>
          <w:color w:val="auto"/>
          <w:spacing w:val="0"/>
          <w:sz w:val="32"/>
          <w:szCs w:val="32"/>
          <w:shd w:val="clear" w:color="auto" w:fill="FFFFFF"/>
        </w:rPr>
        <w:t>务院办公厅关于进一步构建高质量充电基础设施体系的指导意见》（国办发〔20</w:t>
      </w:r>
      <w:r>
        <w:rPr>
          <w:rFonts w:hint="eastAsia" w:ascii="仿宋_GB2312" w:hAnsi="仿宋_GB2312" w:eastAsia="仿宋_GB2312" w:cs="仿宋_GB2312"/>
          <w:i w:val="0"/>
          <w:iCs w:val="0"/>
          <w:caps w:val="0"/>
          <w:color w:val="auto"/>
          <w:spacing w:val="0"/>
          <w:sz w:val="32"/>
          <w:szCs w:val="32"/>
          <w:shd w:val="clear" w:color="auto" w:fill="FFFFFF"/>
          <w:lang w:val="en-US" w:eastAsia="zh-CN"/>
        </w:rPr>
        <w:t>23</w:t>
      </w:r>
      <w:r>
        <w:rPr>
          <w:rFonts w:hint="eastAsia"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val="en-US" w:eastAsia="zh-CN"/>
        </w:rPr>
        <w:t>19</w:t>
      </w:r>
      <w:r>
        <w:rPr>
          <w:rFonts w:hint="eastAsia" w:ascii="仿宋_GB2312" w:hAnsi="仿宋_GB2312" w:eastAsia="仿宋_GB2312" w:cs="仿宋_GB2312"/>
          <w:i w:val="0"/>
          <w:iCs w:val="0"/>
          <w:caps w:val="0"/>
          <w:color w:val="auto"/>
          <w:spacing w:val="0"/>
          <w:sz w:val="32"/>
          <w:szCs w:val="32"/>
          <w:shd w:val="clear" w:color="auto" w:fill="FFFFFF"/>
        </w:rPr>
        <w:t>号）、</w:t>
      </w:r>
      <w:r>
        <w:rPr>
          <w:rFonts w:hint="eastAsia" w:ascii="仿宋_GB2312" w:hAnsi="仿宋_GB2312" w:eastAsia="仿宋_GB2312" w:cs="仿宋_GB2312"/>
          <w:i w:val="0"/>
          <w:iCs w:val="0"/>
          <w:caps w:val="0"/>
          <w:color w:val="auto"/>
          <w:spacing w:val="0"/>
          <w:sz w:val="32"/>
          <w:szCs w:val="32"/>
          <w:shd w:val="clear" w:color="auto" w:fill="FFFFFF"/>
          <w:lang w:eastAsia="zh-CN"/>
        </w:rPr>
        <w:t>《福建省人民政府办公厅关于印发福建省电动汽车充电基础设施建设运营管理暂行办法的通知》（</w:t>
      </w:r>
      <w:r>
        <w:rPr>
          <w:rFonts w:hint="eastAsia" w:ascii="仿宋_GB2312" w:hAnsi="仿宋_GB2312" w:eastAsia="仿宋_GB2312" w:cs="仿宋_GB2312"/>
          <w:i w:val="0"/>
          <w:iCs w:val="0"/>
          <w:caps w:val="0"/>
          <w:color w:val="auto"/>
          <w:spacing w:val="0"/>
          <w:sz w:val="32"/>
          <w:szCs w:val="32"/>
          <w:shd w:val="clear" w:color="auto" w:fill="FFFFFF"/>
        </w:rPr>
        <w:t>闽政</w:t>
      </w:r>
      <w:r>
        <w:rPr>
          <w:rFonts w:hint="eastAsia" w:ascii="仿宋_GB2312" w:hAnsi="仿宋_GB2312" w:eastAsia="仿宋_GB2312" w:cs="仿宋_GB2312"/>
          <w:i w:val="0"/>
          <w:iCs w:val="0"/>
          <w:caps w:val="0"/>
          <w:color w:val="auto"/>
          <w:spacing w:val="0"/>
          <w:sz w:val="32"/>
          <w:szCs w:val="32"/>
          <w:shd w:val="clear" w:color="auto" w:fill="FFFFFF"/>
          <w:lang w:eastAsia="zh-CN"/>
        </w:rPr>
        <w:t>办</w:t>
      </w:r>
      <w:r>
        <w:rPr>
          <w:rFonts w:hint="eastAsia" w:ascii="仿宋_GB2312" w:hAnsi="仿宋_GB2312" w:eastAsia="仿宋_GB2312" w:cs="仿宋_GB2312"/>
          <w:i w:val="0"/>
          <w:iCs w:val="0"/>
          <w:caps w:val="0"/>
          <w:color w:val="auto"/>
          <w:spacing w:val="0"/>
          <w:sz w:val="32"/>
          <w:szCs w:val="32"/>
          <w:shd w:val="clear" w:color="auto" w:fill="FFFFFF"/>
        </w:rPr>
        <w:t>〔201</w:t>
      </w:r>
      <w:r>
        <w:rPr>
          <w:rFonts w:hint="eastAsia" w:ascii="仿宋_GB2312" w:hAnsi="仿宋_GB2312" w:eastAsia="仿宋_GB2312" w:cs="仿宋_GB2312"/>
          <w:i w:val="0"/>
          <w:iCs w:val="0"/>
          <w:caps w:val="0"/>
          <w:color w:val="auto"/>
          <w:spacing w:val="0"/>
          <w:sz w:val="32"/>
          <w:szCs w:val="32"/>
          <w:shd w:val="clear" w:color="auto" w:fill="FFFFFF"/>
          <w:lang w:val="en-US" w:eastAsia="zh-CN"/>
        </w:rPr>
        <w:t>6</w:t>
      </w:r>
      <w:r>
        <w:rPr>
          <w:rFonts w:hint="eastAsia"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val="en-US" w:eastAsia="zh-CN"/>
        </w:rPr>
        <w:t>62</w:t>
      </w:r>
      <w:r>
        <w:rPr>
          <w:rFonts w:hint="eastAsia" w:ascii="仿宋_GB2312" w:hAnsi="仿宋_GB2312" w:eastAsia="仿宋_GB2312" w:cs="仿宋_GB2312"/>
          <w:i w:val="0"/>
          <w:iCs w:val="0"/>
          <w:caps w:val="0"/>
          <w:color w:val="auto"/>
          <w:spacing w:val="0"/>
          <w:sz w:val="32"/>
          <w:szCs w:val="32"/>
          <w:shd w:val="clear" w:color="auto" w:fill="FFFFFF"/>
        </w:rPr>
        <w:t>号</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rPr>
        <w:t>福</w:t>
      </w:r>
      <w:r>
        <w:rPr>
          <w:rFonts w:hint="eastAsia" w:ascii="仿宋_GB2312" w:hAnsi="仿宋_GB2312" w:eastAsia="仿宋_GB2312" w:cs="仿宋_GB2312"/>
          <w:color w:val="auto"/>
          <w:sz w:val="32"/>
          <w:szCs w:val="32"/>
        </w:rPr>
        <w:t>建省既有住宅小区电动汽车充电设施建设工作方案》（闽建城〔2025〕16号）</w:t>
      </w:r>
      <w:r>
        <w:rPr>
          <w:rFonts w:hint="eastAsia" w:ascii="仿宋_GB2312" w:hAnsi="仿宋_GB2312" w:eastAsia="仿宋_GB2312" w:cs="仿宋_GB2312"/>
          <w:i w:val="0"/>
          <w:iCs w:val="0"/>
          <w:caps w:val="0"/>
          <w:color w:val="auto"/>
          <w:spacing w:val="0"/>
          <w:sz w:val="32"/>
          <w:szCs w:val="32"/>
          <w:shd w:val="clear" w:color="auto" w:fill="FFFFFF"/>
          <w:lang w:eastAsia="zh-CN"/>
        </w:rPr>
        <w:t>等文件</w:t>
      </w:r>
      <w:r>
        <w:rPr>
          <w:rFonts w:hint="eastAsia" w:ascii="仿宋_GB2312" w:hAnsi="仿宋_GB2312" w:eastAsia="仿宋_GB2312" w:cs="仿宋_GB2312"/>
          <w:i w:val="0"/>
          <w:iCs w:val="0"/>
          <w:caps w:val="0"/>
          <w:color w:val="auto"/>
          <w:spacing w:val="0"/>
          <w:sz w:val="32"/>
          <w:szCs w:val="32"/>
          <w:shd w:val="clear" w:color="auto" w:fill="FFFFFF"/>
        </w:rPr>
        <w:t>精神，</w:t>
      </w:r>
      <w:r>
        <w:rPr>
          <w:rFonts w:hint="eastAsia" w:ascii="仿宋_GB2312" w:hAnsi="仿宋_GB2312" w:eastAsia="仿宋_GB2312" w:cs="仿宋_GB2312"/>
          <w:color w:val="auto"/>
          <w:sz w:val="32"/>
          <w:szCs w:val="32"/>
        </w:rPr>
        <w:t>结合本县城区实际，制定本规定。</w:t>
      </w:r>
    </w:p>
    <w:p w14:paraId="0C04A0C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第二条</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适用范围</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上杭县城区临江镇、临城镇建成区内所有商品住宅小区、老旧安置小区、单位配套住宅小区</w:t>
      </w:r>
      <w:r>
        <w:rPr>
          <w:rFonts w:hint="eastAsia" w:ascii="仿宋_GB2312" w:hAnsi="仿宋_GB2312" w:eastAsia="仿宋_GB2312" w:cs="仿宋_GB2312"/>
          <w:color w:val="auto"/>
          <w:sz w:val="32"/>
          <w:szCs w:val="32"/>
          <w:lang w:eastAsia="zh-CN"/>
        </w:rPr>
        <w:t>，在公共停车位上建设</w:t>
      </w:r>
      <w:r>
        <w:rPr>
          <w:rFonts w:hint="eastAsia" w:ascii="仿宋_GB2312" w:hAnsi="仿宋_GB2312" w:eastAsia="仿宋_GB2312" w:cs="仿宋_GB2312"/>
          <w:i w:val="0"/>
          <w:iCs w:val="0"/>
          <w:caps w:val="0"/>
          <w:color w:val="auto"/>
          <w:spacing w:val="0"/>
          <w:sz w:val="32"/>
          <w:szCs w:val="32"/>
          <w:shd w:val="clear" w:color="auto" w:fill="FFFFFF"/>
        </w:rPr>
        <w:t>电动汽车</w:t>
      </w:r>
      <w:r>
        <w:rPr>
          <w:rFonts w:hint="eastAsia" w:ascii="仿宋_GB2312" w:hAnsi="仿宋_GB2312" w:eastAsia="仿宋_GB2312" w:cs="仿宋_GB2312"/>
          <w:color w:val="auto"/>
          <w:sz w:val="32"/>
          <w:szCs w:val="32"/>
          <w:lang w:eastAsia="zh-CN"/>
        </w:rPr>
        <w:t>公共</w:t>
      </w:r>
      <w:r>
        <w:rPr>
          <w:rFonts w:hint="eastAsia" w:ascii="仿宋_GB2312" w:hAnsi="仿宋_GB2312" w:eastAsia="仿宋_GB2312" w:cs="仿宋_GB2312"/>
          <w:i w:val="0"/>
          <w:iCs w:val="0"/>
          <w:caps w:val="0"/>
          <w:color w:val="auto"/>
          <w:spacing w:val="0"/>
          <w:sz w:val="32"/>
          <w:szCs w:val="32"/>
          <w:shd w:val="clear" w:color="auto" w:fill="FFFFFF"/>
        </w:rPr>
        <w:t>充电设施</w:t>
      </w:r>
      <w:r>
        <w:rPr>
          <w:rFonts w:hint="eastAsia" w:ascii="仿宋_GB2312" w:hAnsi="仿宋_GB2312" w:eastAsia="仿宋_GB2312" w:cs="仿宋_GB2312"/>
          <w:i w:val="0"/>
          <w:iCs w:val="0"/>
          <w:caps w:val="0"/>
          <w:color w:val="auto"/>
          <w:spacing w:val="0"/>
          <w:sz w:val="32"/>
          <w:szCs w:val="32"/>
          <w:shd w:val="clear" w:color="auto" w:fill="FFFFFF"/>
          <w:lang w:eastAsia="zh-CN"/>
        </w:rPr>
        <w:t>及</w:t>
      </w:r>
      <w:r>
        <w:rPr>
          <w:rFonts w:hint="eastAsia" w:ascii="仿宋_GB2312" w:hAnsi="仿宋_GB2312" w:eastAsia="仿宋_GB2312" w:cs="仿宋_GB2312"/>
          <w:i w:val="0"/>
          <w:iCs w:val="0"/>
          <w:caps w:val="0"/>
          <w:color w:val="auto"/>
          <w:spacing w:val="0"/>
          <w:sz w:val="32"/>
          <w:szCs w:val="32"/>
          <w:shd w:val="clear" w:color="auto" w:fill="FFFFFF"/>
        </w:rPr>
        <w:t>运营，适用本</w:t>
      </w:r>
      <w:r>
        <w:rPr>
          <w:rFonts w:hint="eastAsia" w:ascii="仿宋_GB2312" w:hAnsi="仿宋_GB2312" w:eastAsia="仿宋_GB2312" w:cs="仿宋_GB2312"/>
          <w:i w:val="0"/>
          <w:iCs w:val="0"/>
          <w:caps w:val="0"/>
          <w:color w:val="auto"/>
          <w:spacing w:val="0"/>
          <w:sz w:val="32"/>
          <w:szCs w:val="32"/>
          <w:shd w:val="clear" w:color="auto" w:fill="FFFFFF"/>
          <w:lang w:eastAsia="zh-CN"/>
        </w:rPr>
        <w:t>规定</w:t>
      </w:r>
      <w:r>
        <w:rPr>
          <w:rFonts w:hint="eastAsia" w:ascii="仿宋_GB2312" w:hAnsi="仿宋_GB2312" w:eastAsia="仿宋_GB2312" w:cs="仿宋_GB2312"/>
          <w:i w:val="0"/>
          <w:iCs w:val="0"/>
          <w:caps w:val="0"/>
          <w:color w:val="auto"/>
          <w:spacing w:val="0"/>
          <w:sz w:val="32"/>
          <w:szCs w:val="32"/>
          <w:shd w:val="clear" w:color="auto" w:fill="FFFFFF"/>
        </w:rPr>
        <w:t>。</w:t>
      </w:r>
    </w:p>
    <w:p w14:paraId="27BB2C1A">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本规定</w:t>
      </w:r>
      <w:r>
        <w:rPr>
          <w:rFonts w:hint="eastAsia" w:ascii="仿宋_GB2312" w:hAnsi="仿宋_GB2312" w:eastAsia="仿宋_GB2312" w:cs="仿宋_GB2312"/>
          <w:color w:val="auto"/>
          <w:sz w:val="32"/>
          <w:szCs w:val="32"/>
          <w:lang w:val="en-US" w:eastAsia="zh-CN"/>
        </w:rPr>
        <w:t>所称</w:t>
      </w:r>
      <w:r>
        <w:rPr>
          <w:rFonts w:hint="eastAsia" w:ascii="仿宋_GB2312" w:hAnsi="仿宋_GB2312" w:eastAsia="仿宋_GB2312" w:cs="仿宋_GB2312"/>
          <w:color w:val="auto"/>
          <w:sz w:val="32"/>
          <w:szCs w:val="32"/>
          <w:lang w:eastAsia="zh-CN"/>
        </w:rPr>
        <w:t>公共充电设施包括在小区</w:t>
      </w:r>
      <w:r>
        <w:rPr>
          <w:rFonts w:hint="eastAsia" w:ascii="仿宋_GB2312" w:hAnsi="仿宋_GB2312" w:eastAsia="仿宋_GB2312" w:cs="仿宋_GB2312"/>
          <w:color w:val="auto"/>
          <w:sz w:val="32"/>
          <w:szCs w:val="32"/>
        </w:rPr>
        <w:t>公共停车位集中布设面向全体业主分时共享的电动汽车快慢充充电桩、配套配电桥架、分支配电箱、消防、视频监控等附属设施。</w:t>
      </w:r>
    </w:p>
    <w:p w14:paraId="7D95FF99">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住宅小区</w:t>
      </w:r>
      <w:r>
        <w:rPr>
          <w:rFonts w:hint="eastAsia" w:ascii="仿宋_GB2312" w:hAnsi="仿宋_GB2312" w:eastAsia="仿宋_GB2312" w:cs="仿宋_GB2312"/>
          <w:color w:val="auto"/>
          <w:sz w:val="32"/>
          <w:szCs w:val="32"/>
        </w:rPr>
        <w:t>业主自有产权车位、租期1年以上固定长租车位安</w:t>
      </w:r>
      <w:r>
        <w:rPr>
          <w:rFonts w:hint="eastAsia" w:ascii="仿宋_GB2312" w:hAnsi="仿宋_GB2312" w:eastAsia="仿宋_GB2312" w:cs="仿宋_GB2312"/>
          <w:color w:val="auto"/>
          <w:spacing w:val="-6"/>
          <w:sz w:val="32"/>
          <w:szCs w:val="32"/>
        </w:rPr>
        <w:t>装的自用充电桩，不适用本规定，按照自用充电设施管理规则执行。</w:t>
      </w:r>
    </w:p>
    <w:p w14:paraId="3DA46B32">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第三条【基本原则】</w:t>
      </w:r>
      <w:r>
        <w:rPr>
          <w:rFonts w:hint="eastAsia" w:ascii="仿宋_GB2312" w:hAnsi="仿宋_GB2312" w:eastAsia="仿宋_GB2312" w:cs="仿宋_GB2312"/>
          <w:color w:val="auto"/>
          <w:sz w:val="32"/>
          <w:szCs w:val="32"/>
          <w:lang w:eastAsia="zh-CN"/>
        </w:rPr>
        <w:t>住宅小区公共充电设施建设和运营管理工作应当坚持政府引导、市场运营、物业协同、业主自治、安全优先，落实福建省“专（自）用为主、公用为辅，快慢结合、分时共享”建设原则，推行“统建统营、多车一桩、智能有序充电”模式。</w:t>
      </w:r>
    </w:p>
    <w:p w14:paraId="567C6E7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四</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职责分工</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eastAsia="zh-CN"/>
        </w:rPr>
        <w:t>住宅小区</w:t>
      </w:r>
      <w:r>
        <w:rPr>
          <w:rFonts w:hint="eastAsia" w:ascii="仿宋_GB2312" w:hAnsi="仿宋_GB2312" w:eastAsia="仿宋_GB2312" w:cs="仿宋_GB2312"/>
          <w:i w:val="0"/>
          <w:iCs w:val="0"/>
          <w:caps w:val="0"/>
          <w:color w:val="auto"/>
          <w:spacing w:val="0"/>
          <w:sz w:val="32"/>
          <w:szCs w:val="32"/>
          <w:shd w:val="clear" w:color="auto" w:fill="FFFFFF"/>
          <w:lang w:val="en-US" w:eastAsia="zh-CN"/>
        </w:rPr>
        <w:t>公共</w:t>
      </w:r>
      <w:r>
        <w:rPr>
          <w:rFonts w:hint="default" w:ascii="仿宋_GB2312" w:hAnsi="仿宋_GB2312" w:eastAsia="仿宋_GB2312" w:cs="仿宋_GB2312"/>
          <w:i w:val="0"/>
          <w:iCs w:val="0"/>
          <w:caps w:val="0"/>
          <w:color w:val="auto"/>
          <w:spacing w:val="0"/>
          <w:sz w:val="32"/>
          <w:szCs w:val="32"/>
          <w:shd w:val="clear" w:color="auto" w:fill="FFFFFF"/>
          <w:lang w:val="en-US" w:eastAsia="zh-CN"/>
        </w:rPr>
        <w:t>充电设施建设</w:t>
      </w:r>
      <w:r>
        <w:rPr>
          <w:rFonts w:hint="eastAsia" w:ascii="仿宋_GB2312" w:hAnsi="仿宋_GB2312" w:eastAsia="仿宋_GB2312" w:cs="仿宋_GB2312"/>
          <w:i w:val="0"/>
          <w:iCs w:val="0"/>
          <w:caps w:val="0"/>
          <w:color w:val="auto"/>
          <w:spacing w:val="0"/>
          <w:sz w:val="32"/>
          <w:szCs w:val="32"/>
          <w:shd w:val="clear" w:color="auto" w:fill="FFFFFF"/>
          <w:lang w:val="en-US" w:eastAsia="zh-CN"/>
        </w:rPr>
        <w:t>有关</w:t>
      </w:r>
      <w:r>
        <w:rPr>
          <w:rFonts w:hint="default" w:ascii="仿宋_GB2312" w:hAnsi="仿宋_GB2312" w:eastAsia="仿宋_GB2312" w:cs="仿宋_GB2312"/>
          <w:i w:val="0"/>
          <w:iCs w:val="0"/>
          <w:caps w:val="0"/>
          <w:color w:val="auto"/>
          <w:spacing w:val="0"/>
          <w:sz w:val="32"/>
          <w:szCs w:val="32"/>
          <w:shd w:val="clear" w:color="auto" w:fill="FFFFFF"/>
          <w:lang w:val="en-US" w:eastAsia="zh-CN"/>
        </w:rPr>
        <w:t>单位按照职责分工，压实工作责任，紧密协同做好</w:t>
      </w:r>
      <w:r>
        <w:rPr>
          <w:rFonts w:hint="eastAsia" w:ascii="仿宋_GB2312" w:hAnsi="仿宋_GB2312" w:eastAsia="仿宋_GB2312" w:cs="仿宋_GB2312"/>
          <w:i w:val="0"/>
          <w:iCs w:val="0"/>
          <w:caps w:val="0"/>
          <w:color w:val="auto"/>
          <w:spacing w:val="0"/>
          <w:sz w:val="32"/>
          <w:szCs w:val="32"/>
          <w:shd w:val="clear" w:color="auto" w:fill="FFFFFF"/>
          <w:lang w:val="en-US" w:eastAsia="zh-CN"/>
        </w:rPr>
        <w:t>住宅小</w:t>
      </w:r>
      <w:r>
        <w:rPr>
          <w:rFonts w:hint="default" w:ascii="仿宋_GB2312" w:hAnsi="仿宋_GB2312" w:eastAsia="仿宋_GB2312" w:cs="仿宋_GB2312"/>
          <w:i w:val="0"/>
          <w:iCs w:val="0"/>
          <w:caps w:val="0"/>
          <w:color w:val="auto"/>
          <w:spacing w:val="0"/>
          <w:sz w:val="32"/>
          <w:szCs w:val="32"/>
          <w:shd w:val="clear" w:color="auto" w:fill="FFFFFF"/>
          <w:lang w:val="en-US" w:eastAsia="zh-CN"/>
        </w:rPr>
        <w:t>区</w:t>
      </w:r>
      <w:r>
        <w:rPr>
          <w:rFonts w:hint="eastAsia" w:ascii="仿宋_GB2312" w:hAnsi="仿宋_GB2312" w:eastAsia="仿宋_GB2312" w:cs="仿宋_GB2312"/>
          <w:i w:val="0"/>
          <w:iCs w:val="0"/>
          <w:caps w:val="0"/>
          <w:color w:val="auto"/>
          <w:spacing w:val="0"/>
          <w:sz w:val="32"/>
          <w:szCs w:val="32"/>
          <w:shd w:val="clear" w:color="auto" w:fill="FFFFFF"/>
          <w:lang w:val="en-US" w:eastAsia="zh-CN"/>
        </w:rPr>
        <w:t>公共</w:t>
      </w:r>
      <w:r>
        <w:rPr>
          <w:rFonts w:hint="default" w:ascii="仿宋_GB2312" w:hAnsi="仿宋_GB2312" w:eastAsia="仿宋_GB2312" w:cs="仿宋_GB2312"/>
          <w:i w:val="0"/>
          <w:iCs w:val="0"/>
          <w:caps w:val="0"/>
          <w:color w:val="auto"/>
          <w:spacing w:val="0"/>
          <w:sz w:val="32"/>
          <w:szCs w:val="32"/>
          <w:shd w:val="clear" w:color="auto" w:fill="FFFFFF"/>
          <w:lang w:val="en-US" w:eastAsia="zh-CN"/>
        </w:rPr>
        <w:t>充电基础设施建设管理指导和推进工作。</w:t>
      </w:r>
    </w:p>
    <w:p w14:paraId="1601A308">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b/>
          <w:bCs/>
          <w:color w:val="auto"/>
          <w:sz w:val="32"/>
          <w:szCs w:val="32"/>
        </w:rPr>
        <w:t>住建</w:t>
      </w:r>
      <w:r>
        <w:rPr>
          <w:rFonts w:hint="eastAsia" w:ascii="仿宋_GB2312" w:hAnsi="仿宋_GB2312" w:eastAsia="仿宋_GB2312" w:cs="仿宋_GB2312"/>
          <w:b/>
          <w:bCs/>
          <w:color w:val="auto"/>
          <w:sz w:val="32"/>
          <w:szCs w:val="32"/>
          <w:lang w:eastAsia="zh-CN"/>
        </w:rPr>
        <w:t>部门</w:t>
      </w:r>
      <w:r>
        <w:rPr>
          <w:rFonts w:hint="eastAsia" w:ascii="仿宋_GB2312" w:hAnsi="仿宋_GB2312" w:eastAsia="仿宋_GB2312" w:cs="仿宋_GB2312"/>
          <w:color w:val="auto"/>
          <w:sz w:val="32"/>
          <w:szCs w:val="32"/>
        </w:rPr>
        <w:t>统筹全县</w:t>
      </w:r>
      <w:r>
        <w:rPr>
          <w:rFonts w:hint="eastAsia" w:ascii="仿宋_GB2312" w:hAnsi="仿宋_GB2312" w:eastAsia="仿宋_GB2312" w:cs="仿宋_GB2312"/>
          <w:color w:val="auto"/>
          <w:sz w:val="32"/>
          <w:szCs w:val="32"/>
          <w:lang w:eastAsia="zh-CN"/>
        </w:rPr>
        <w:t>城区住宅</w:t>
      </w:r>
      <w:r>
        <w:rPr>
          <w:rFonts w:hint="eastAsia" w:ascii="仿宋_GB2312" w:hAnsi="仿宋_GB2312" w:eastAsia="仿宋_GB2312" w:cs="仿宋_GB2312"/>
          <w:color w:val="auto"/>
          <w:sz w:val="32"/>
          <w:szCs w:val="32"/>
        </w:rPr>
        <w:t>小区公共充电设施建设管理；将</w:t>
      </w:r>
      <w:r>
        <w:rPr>
          <w:rFonts w:hint="eastAsia" w:ascii="仿宋_GB2312" w:hAnsi="仿宋_GB2312" w:eastAsia="仿宋_GB2312" w:cs="仿宋_GB2312"/>
          <w:color w:val="auto"/>
          <w:sz w:val="32"/>
          <w:szCs w:val="32"/>
          <w:lang w:eastAsia="zh-CN"/>
        </w:rPr>
        <w:t>公共</w:t>
      </w:r>
      <w:r>
        <w:rPr>
          <w:rFonts w:hint="eastAsia" w:ascii="仿宋_GB2312" w:hAnsi="仿宋_GB2312" w:eastAsia="仿宋_GB2312" w:cs="仿宋_GB2312"/>
          <w:color w:val="auto"/>
          <w:sz w:val="32"/>
          <w:szCs w:val="32"/>
        </w:rPr>
        <w:t>充电</w:t>
      </w:r>
      <w:r>
        <w:rPr>
          <w:rFonts w:hint="eastAsia" w:ascii="仿宋_GB2312" w:hAnsi="仿宋_GB2312" w:eastAsia="仿宋_GB2312" w:cs="仿宋_GB2312"/>
          <w:color w:val="auto"/>
          <w:sz w:val="32"/>
          <w:szCs w:val="32"/>
          <w:lang w:eastAsia="zh-CN"/>
        </w:rPr>
        <w:t>设施</w:t>
      </w:r>
      <w:r>
        <w:rPr>
          <w:rFonts w:hint="eastAsia" w:ascii="仿宋_GB2312" w:hAnsi="仿宋_GB2312" w:eastAsia="仿宋_GB2312" w:cs="仿宋_GB2312"/>
          <w:color w:val="auto"/>
          <w:sz w:val="32"/>
          <w:szCs w:val="32"/>
        </w:rPr>
        <w:t>纳入新建住宅施工图审查、竣工验收备案；</w:t>
      </w:r>
      <w:r>
        <w:rPr>
          <w:rFonts w:hint="default" w:ascii="仿宋_GB2312" w:hAnsi="仿宋_GB2312" w:eastAsia="仿宋_GB2312" w:cs="仿宋_GB2312"/>
          <w:i w:val="0"/>
          <w:iCs w:val="0"/>
          <w:caps w:val="0"/>
          <w:color w:val="auto"/>
          <w:spacing w:val="0"/>
          <w:sz w:val="32"/>
          <w:szCs w:val="32"/>
          <w:shd w:val="clear" w:color="auto" w:fill="FFFFFF"/>
          <w:lang w:val="en-US" w:eastAsia="zh-CN"/>
        </w:rPr>
        <w:t>将</w:t>
      </w:r>
      <w:r>
        <w:rPr>
          <w:rFonts w:hint="eastAsia" w:ascii="仿宋_GB2312" w:hAnsi="仿宋_GB2312" w:eastAsia="仿宋_GB2312" w:cs="仿宋_GB2312"/>
          <w:i w:val="0"/>
          <w:iCs w:val="0"/>
          <w:caps w:val="0"/>
          <w:color w:val="auto"/>
          <w:spacing w:val="0"/>
          <w:sz w:val="32"/>
          <w:szCs w:val="32"/>
          <w:shd w:val="clear" w:color="auto" w:fill="FFFFFF"/>
          <w:lang w:val="en-US" w:eastAsia="zh-CN"/>
        </w:rPr>
        <w:t>公共</w:t>
      </w:r>
      <w:r>
        <w:rPr>
          <w:rFonts w:hint="default" w:ascii="仿宋_GB2312" w:hAnsi="仿宋_GB2312" w:eastAsia="仿宋_GB2312" w:cs="仿宋_GB2312"/>
          <w:i w:val="0"/>
          <w:iCs w:val="0"/>
          <w:caps w:val="0"/>
          <w:color w:val="auto"/>
          <w:spacing w:val="0"/>
          <w:sz w:val="32"/>
          <w:szCs w:val="32"/>
          <w:shd w:val="clear" w:color="auto" w:fill="FFFFFF"/>
          <w:lang w:val="en-US" w:eastAsia="zh-CN"/>
        </w:rPr>
        <w:t>充电基础设施建设纳入老旧小区改造范围</w:t>
      </w:r>
      <w:r>
        <w:rPr>
          <w:rFonts w:hint="eastAsia" w:ascii="仿宋_GB2312" w:hAnsi="仿宋_GB2312" w:eastAsia="仿宋_GB2312" w:cs="仿宋_GB2312"/>
          <w:i w:val="0"/>
          <w:iCs w:val="0"/>
          <w:caps w:val="0"/>
          <w:color w:val="auto"/>
          <w:spacing w:val="0"/>
          <w:sz w:val="32"/>
          <w:szCs w:val="32"/>
          <w:shd w:val="clear" w:color="auto" w:fill="FFFFFF"/>
          <w:lang w:val="en-US" w:eastAsia="zh-CN"/>
        </w:rPr>
        <w:t>。</w:t>
      </w:r>
    </w:p>
    <w:p w14:paraId="7986F6C7">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城市管理部门</w:t>
      </w:r>
      <w:r>
        <w:rPr>
          <w:rFonts w:hint="eastAsia" w:ascii="仿宋_GB2312" w:hAnsi="仿宋_GB2312" w:eastAsia="仿宋_GB2312" w:cs="仿宋_GB2312"/>
          <w:i w:val="0"/>
          <w:iCs w:val="0"/>
          <w:caps w:val="0"/>
          <w:color w:val="auto"/>
          <w:spacing w:val="0"/>
          <w:sz w:val="32"/>
          <w:szCs w:val="32"/>
          <w:shd w:val="clear" w:color="auto" w:fill="FFFFFF"/>
          <w:lang w:val="en-US" w:eastAsia="zh-CN"/>
        </w:rPr>
        <w:t>负责</w:t>
      </w:r>
      <w:r>
        <w:rPr>
          <w:rFonts w:hint="eastAsia" w:ascii="仿宋_GB2312" w:hAnsi="仿宋_GB2312" w:eastAsia="仿宋_GB2312" w:cs="仿宋_GB2312"/>
          <w:color w:val="auto"/>
          <w:sz w:val="32"/>
          <w:szCs w:val="32"/>
        </w:rPr>
        <w:t>监督物业服务企业履职行为；指导业主委员会规范组织业主表决；牵头调处物业、业主、运营企业矛盾纠纷；定期开展物业行业专项督查。</w:t>
      </w:r>
    </w:p>
    <w:p w14:paraId="69529102">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发改部门</w:t>
      </w:r>
      <w:r>
        <w:rPr>
          <w:rFonts w:hint="eastAsia" w:ascii="仿宋_GB2312" w:hAnsi="仿宋_GB2312" w:eastAsia="仿宋_GB2312" w:cs="仿宋_GB2312"/>
          <w:i w:val="0"/>
          <w:iCs w:val="0"/>
          <w:caps w:val="0"/>
          <w:color w:val="auto"/>
          <w:spacing w:val="0"/>
          <w:sz w:val="32"/>
          <w:szCs w:val="32"/>
          <w:shd w:val="clear" w:color="auto" w:fill="FFFFFF"/>
          <w:lang w:val="en-US" w:eastAsia="zh-CN"/>
        </w:rPr>
        <w:t>负责住宅小区公共充电设施</w:t>
      </w:r>
      <w:r>
        <w:rPr>
          <w:rFonts w:hint="eastAsia" w:ascii="仿宋_GB2312" w:hAnsi="仿宋_GB2312" w:eastAsia="仿宋_GB2312" w:cs="仿宋_GB2312"/>
          <w:color w:val="auto"/>
          <w:sz w:val="32"/>
          <w:szCs w:val="32"/>
          <w:lang w:val="en-US" w:eastAsia="zh-CN"/>
        </w:rPr>
        <w:t>项目备案；落实充电服务费政府指导价。</w:t>
      </w:r>
    </w:p>
    <w:p w14:paraId="042A1695">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应急管理</w:t>
      </w:r>
      <w:r>
        <w:rPr>
          <w:rFonts w:hint="eastAsia" w:ascii="仿宋_GB2312" w:hAnsi="仿宋_GB2312" w:eastAsia="仿宋_GB2312" w:cs="仿宋_GB2312"/>
          <w:b/>
          <w:bCs/>
          <w:color w:val="auto"/>
          <w:sz w:val="32"/>
          <w:szCs w:val="32"/>
          <w:lang w:eastAsia="zh-CN"/>
        </w:rPr>
        <w:t>部门</w:t>
      </w:r>
      <w:r>
        <w:rPr>
          <w:rFonts w:hint="eastAsia" w:ascii="仿宋_GB2312" w:hAnsi="仿宋_GB2312" w:eastAsia="仿宋_GB2312" w:cs="仿宋_GB2312"/>
          <w:color w:val="auto"/>
          <w:sz w:val="32"/>
          <w:szCs w:val="32"/>
        </w:rPr>
        <w:t>负责公共充电区域消防安全监督检查；指导充电区消防设施配置、火灾应急预案编制、年度消防演练；依法查处充电场所消防安全违法违规行为，开展火灾事故调查处置。</w:t>
      </w:r>
    </w:p>
    <w:p w14:paraId="48E4A53C">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市场监督管理</w:t>
      </w:r>
      <w:r>
        <w:rPr>
          <w:rFonts w:hint="eastAsia" w:ascii="仿宋_GB2312" w:hAnsi="仿宋_GB2312" w:eastAsia="仿宋_GB2312" w:cs="仿宋_GB2312"/>
          <w:b/>
          <w:bCs/>
          <w:color w:val="auto"/>
          <w:sz w:val="32"/>
          <w:szCs w:val="32"/>
          <w:lang w:eastAsia="zh-CN"/>
        </w:rPr>
        <w:t>部门</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监管充电桩产品3C强制认证、计量器具定期检定；查处不合格充电设备销售、使用行为；协同发改</w:t>
      </w:r>
      <w:r>
        <w:rPr>
          <w:rFonts w:hint="eastAsia" w:ascii="仿宋_GB2312" w:hAnsi="仿宋_GB2312" w:eastAsia="仿宋_GB2312" w:cs="仿宋_GB2312"/>
          <w:color w:val="auto"/>
          <w:sz w:val="32"/>
          <w:szCs w:val="32"/>
          <w:lang w:eastAsia="zh-CN"/>
        </w:rPr>
        <w:t>部门</w:t>
      </w:r>
      <w:r>
        <w:rPr>
          <w:rFonts w:hint="eastAsia" w:ascii="仿宋_GB2312" w:hAnsi="仿宋_GB2312" w:eastAsia="仿宋_GB2312" w:cs="仿宋_GB2312"/>
          <w:color w:val="auto"/>
          <w:sz w:val="32"/>
          <w:szCs w:val="32"/>
        </w:rPr>
        <w:t>开展价格监管。</w:t>
      </w:r>
    </w:p>
    <w:p w14:paraId="0D28AE6F">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国网上杭县供电有限公司</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免费开展小区</w:t>
      </w:r>
      <w:r>
        <w:rPr>
          <w:rFonts w:hint="eastAsia" w:ascii="仿宋_GB2312" w:hAnsi="仿宋_GB2312" w:eastAsia="仿宋_GB2312" w:cs="仿宋_GB2312"/>
          <w:color w:val="auto"/>
          <w:sz w:val="32"/>
          <w:szCs w:val="32"/>
          <w:lang w:eastAsia="zh-CN"/>
        </w:rPr>
        <w:t>公共充电设施</w:t>
      </w:r>
      <w:r>
        <w:rPr>
          <w:rFonts w:hint="eastAsia" w:ascii="仿宋_GB2312" w:hAnsi="仿宋_GB2312" w:eastAsia="仿宋_GB2312" w:cs="仿宋_GB2312"/>
          <w:color w:val="auto"/>
          <w:sz w:val="32"/>
          <w:szCs w:val="32"/>
        </w:rPr>
        <w:t>配电容量现场勘测，出具电力接入、增容改造方案；简化公共充电</w:t>
      </w:r>
      <w:r>
        <w:rPr>
          <w:rFonts w:hint="eastAsia" w:ascii="仿宋_GB2312" w:hAnsi="仿宋_GB2312" w:eastAsia="仿宋_GB2312" w:cs="仿宋_GB2312"/>
          <w:color w:val="auto"/>
          <w:sz w:val="32"/>
          <w:szCs w:val="32"/>
          <w:lang w:eastAsia="zh-CN"/>
        </w:rPr>
        <w:t>设施</w:t>
      </w:r>
      <w:r>
        <w:rPr>
          <w:rFonts w:hint="eastAsia" w:ascii="仿宋_GB2312" w:hAnsi="仿宋_GB2312" w:eastAsia="仿宋_GB2312" w:cs="仿宋_GB2312"/>
          <w:color w:val="auto"/>
          <w:sz w:val="32"/>
          <w:szCs w:val="32"/>
        </w:rPr>
        <w:t>用电报装流程；负责电表、主干电网安装检修；落实峰谷分时电价政策；对超负荷、私拉乱接用电实施断电整改。</w:t>
      </w:r>
    </w:p>
    <w:p w14:paraId="7B69818C">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临江镇、临城镇人民政府及社区居委会</w:t>
      </w:r>
      <w:r>
        <w:rPr>
          <w:rFonts w:hint="default" w:ascii="仿宋_GB2312" w:hAnsi="仿宋_GB2312" w:eastAsia="仿宋_GB2312" w:cs="仿宋_GB2312"/>
          <w:i w:val="0"/>
          <w:iCs w:val="0"/>
          <w:caps w:val="0"/>
          <w:color w:val="auto"/>
          <w:spacing w:val="0"/>
          <w:sz w:val="32"/>
          <w:szCs w:val="32"/>
          <w:shd w:val="clear" w:color="auto" w:fill="FFFFFF"/>
          <w:lang w:eastAsia="zh-CN"/>
        </w:rPr>
        <w:t>指导、协调推进物业小区</w:t>
      </w:r>
      <w:r>
        <w:rPr>
          <w:rFonts w:hint="eastAsia" w:ascii="仿宋_GB2312" w:hAnsi="仿宋_GB2312" w:eastAsia="仿宋_GB2312" w:cs="仿宋_GB2312"/>
          <w:i w:val="0"/>
          <w:iCs w:val="0"/>
          <w:caps w:val="0"/>
          <w:color w:val="auto"/>
          <w:spacing w:val="0"/>
          <w:sz w:val="32"/>
          <w:szCs w:val="32"/>
          <w:shd w:val="clear" w:color="auto" w:fill="FFFFFF"/>
          <w:lang w:eastAsia="zh-CN"/>
        </w:rPr>
        <w:t>公共</w:t>
      </w:r>
      <w:r>
        <w:rPr>
          <w:rFonts w:hint="default" w:ascii="仿宋_GB2312" w:hAnsi="仿宋_GB2312" w:eastAsia="仿宋_GB2312" w:cs="仿宋_GB2312"/>
          <w:i w:val="0"/>
          <w:iCs w:val="0"/>
          <w:caps w:val="0"/>
          <w:color w:val="auto"/>
          <w:spacing w:val="0"/>
          <w:sz w:val="32"/>
          <w:szCs w:val="32"/>
          <w:shd w:val="clear" w:color="auto" w:fill="FFFFFF"/>
          <w:lang w:eastAsia="zh-CN"/>
        </w:rPr>
        <w:t>充电设施建设，定期开展安全检查，督促整改安全隐患</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color w:val="auto"/>
          <w:sz w:val="32"/>
          <w:szCs w:val="32"/>
        </w:rPr>
        <w:t>无物业小区由社区代为履行物业协调职责；组织无业委会小区业主意见征集；参与充电项目现场巡查、充电纠纷调解；督促老旧小区同步配套</w:t>
      </w:r>
      <w:r>
        <w:rPr>
          <w:rFonts w:hint="eastAsia" w:ascii="仿宋_GB2312" w:hAnsi="仿宋_GB2312" w:eastAsia="仿宋_GB2312" w:cs="仿宋_GB2312"/>
          <w:color w:val="auto"/>
          <w:sz w:val="32"/>
          <w:szCs w:val="32"/>
          <w:lang w:eastAsia="zh-CN"/>
        </w:rPr>
        <w:t>公共</w:t>
      </w:r>
      <w:r>
        <w:rPr>
          <w:rFonts w:hint="eastAsia" w:ascii="仿宋_GB2312" w:hAnsi="仿宋_GB2312" w:eastAsia="仿宋_GB2312" w:cs="仿宋_GB2312"/>
          <w:color w:val="auto"/>
          <w:sz w:val="32"/>
          <w:szCs w:val="32"/>
        </w:rPr>
        <w:t>充电设施。</w:t>
      </w:r>
    </w:p>
    <w:p w14:paraId="47AABCA5">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物业服务企业</w:t>
      </w:r>
      <w:r>
        <w:rPr>
          <w:rFonts w:hint="eastAsia" w:ascii="仿宋_GB2312" w:hAnsi="仿宋_GB2312" w:eastAsia="仿宋_GB2312" w:cs="仿宋_GB2312"/>
          <w:color w:val="auto"/>
          <w:sz w:val="32"/>
          <w:szCs w:val="32"/>
        </w:rPr>
        <w:t>配合现场勘测、提供小区配电、车位平面图纸；协调施工场地、维护充电区域秩序；开展充电区防火、占道巡查；协助处置充电火灾、漏电应急险情。</w:t>
      </w:r>
    </w:p>
    <w:p w14:paraId="4F9874EB">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业主委员会</w:t>
      </w:r>
      <w:r>
        <w:rPr>
          <w:rFonts w:hint="eastAsia" w:ascii="仿宋_GB2312" w:hAnsi="仿宋_GB2312" w:eastAsia="仿宋_GB2312" w:cs="仿宋_GB2312"/>
          <w:color w:val="auto"/>
          <w:sz w:val="32"/>
          <w:szCs w:val="32"/>
        </w:rPr>
        <w:t>组织业主大会审议充电建设运营方案；监督运营商、物业履约；每季度核查充电运营收支台账并公示；代表全体业主与运营企业签订合作协议。</w:t>
      </w:r>
    </w:p>
    <w:p w14:paraId="641B0D5A">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充电运营企业</w:t>
      </w:r>
      <w:r>
        <w:rPr>
          <w:rFonts w:hint="eastAsia" w:ascii="仿宋_GB2312" w:hAnsi="仿宋_GB2312" w:eastAsia="仿宋_GB2312" w:cs="仿宋_GB2312"/>
          <w:color w:val="auto"/>
          <w:sz w:val="32"/>
          <w:szCs w:val="32"/>
        </w:rPr>
        <w:t>全额投资建设公共充电设施；落实设备运维、24小时应急抢修；足额投保安全责任险；规范收费公示；完整留存运营、维保、充电数据台账。</w:t>
      </w:r>
    </w:p>
    <w:p w14:paraId="351E9044">
      <w:pPr>
        <w:keepNext w:val="0"/>
        <w:keepLines w:val="0"/>
        <w:pageBreakBefore w:val="0"/>
        <w:widowControl w:val="0"/>
        <w:kinsoku/>
        <w:wordWrap/>
        <w:overflowPunct/>
        <w:topLinePunct w:val="0"/>
        <w:autoSpaceDE/>
        <w:autoSpaceDN/>
        <w:bidi w:val="0"/>
        <w:adjustRightInd/>
        <w:snapToGrid/>
        <w:spacing w:before="157" w:beforeLines="50" w:after="157" w:afterLines="50" w:line="590" w:lineRule="exact"/>
        <w:jc w:val="center"/>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第二章 规划配建与建设标准</w:t>
      </w:r>
    </w:p>
    <w:p w14:paraId="3AE07F74">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五</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eastAsia="zh-CN"/>
        </w:rPr>
        <w:t>【配建要求】</w:t>
      </w:r>
      <w:r>
        <w:rPr>
          <w:rFonts w:hint="eastAsia" w:ascii="仿宋_GB2312" w:hAnsi="仿宋_GB2312" w:eastAsia="仿宋_GB2312" w:cs="仿宋_GB2312"/>
          <w:color w:val="auto"/>
          <w:sz w:val="32"/>
          <w:szCs w:val="32"/>
        </w:rPr>
        <w:t>新建住宅小区严格落实新建住宅小区固定车位100%建设充电设施或预留安装条件，预留安装条件时需将管线(含低压电缆、电缆分支箱、计量表箱)和桥架等供电设施建设到车位，以满足直接装表接电需要。鼓励新建住宅小区在具备充电设施安装条件的公共停车区域，按照快慢结合方式配建一定比例的公共充电车位，建立充电车位分时共享机制，缓解覆盖区域业主（住户）的充电需求。</w:t>
      </w:r>
    </w:p>
    <w:p w14:paraId="73EB1DB8">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具备充电设施安装条件的既有住宅小区公共停车区域可根据充电需求，按照快慢结合的方式建设小区公共充电设施。符合老旧小区改造条件的，可以</w:t>
      </w:r>
      <w:r>
        <w:rPr>
          <w:rFonts w:hint="default" w:ascii="仿宋_GB2312" w:hAnsi="仿宋_GB2312" w:eastAsia="仿宋_GB2312" w:cs="仿宋_GB2312"/>
          <w:color w:val="auto"/>
          <w:sz w:val="32"/>
          <w:szCs w:val="32"/>
          <w:lang w:val="en-US" w:eastAsia="zh-CN"/>
        </w:rPr>
        <w:t>将</w:t>
      </w:r>
      <w:r>
        <w:rPr>
          <w:rFonts w:hint="eastAsia" w:ascii="仿宋_GB2312" w:hAnsi="仿宋_GB2312" w:eastAsia="仿宋_GB2312" w:cs="仿宋_GB2312"/>
          <w:color w:val="auto"/>
          <w:sz w:val="32"/>
          <w:szCs w:val="32"/>
          <w:lang w:val="en-US" w:eastAsia="zh-CN"/>
        </w:rPr>
        <w:t>公共</w:t>
      </w:r>
      <w:r>
        <w:rPr>
          <w:rFonts w:hint="default" w:ascii="仿宋_GB2312" w:hAnsi="仿宋_GB2312" w:eastAsia="仿宋_GB2312" w:cs="仿宋_GB2312"/>
          <w:color w:val="auto"/>
          <w:sz w:val="32"/>
          <w:szCs w:val="32"/>
          <w:lang w:val="en-US" w:eastAsia="zh-CN"/>
        </w:rPr>
        <w:t>充电设施建设纳入老旧小区改造内容</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积极申报上级改造配套补助资金。</w:t>
      </w:r>
    </w:p>
    <w:p w14:paraId="615EEBA7">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第六条【建设条件】</w:t>
      </w:r>
      <w:r>
        <w:rPr>
          <w:rFonts w:hint="eastAsia" w:ascii="仿宋_GB2312" w:hAnsi="仿宋_GB2312" w:eastAsia="仿宋_GB2312" w:cs="仿宋_GB2312"/>
          <w:color w:val="auto"/>
          <w:sz w:val="32"/>
          <w:szCs w:val="32"/>
          <w:lang w:eastAsia="zh-CN"/>
        </w:rPr>
        <w:t>公共充电设施建设应符合小区整体规划，</w:t>
      </w:r>
      <w:r>
        <w:rPr>
          <w:rFonts w:hint="eastAsia" w:ascii="仿宋_GB2312" w:hAnsi="仿宋_GB2312" w:eastAsia="仿宋_GB2312" w:cs="仿宋_GB2312"/>
          <w:color w:val="auto"/>
          <w:sz w:val="32"/>
          <w:szCs w:val="32"/>
        </w:rPr>
        <w:t>严禁在消防通道、疏散楼梯出入口、燃气管道正上方、人防密闭段、配电房内部</w:t>
      </w:r>
      <w:r>
        <w:rPr>
          <w:rFonts w:hint="eastAsia" w:ascii="仿宋_GB2312" w:hAnsi="仿宋_GB2312" w:eastAsia="仿宋_GB2312" w:cs="仿宋_GB2312"/>
          <w:color w:val="auto"/>
          <w:sz w:val="32"/>
          <w:szCs w:val="32"/>
          <w:lang w:eastAsia="zh-CN"/>
        </w:rPr>
        <w:t>及公共通行区域</w:t>
      </w:r>
      <w:r>
        <w:rPr>
          <w:rFonts w:hint="eastAsia" w:ascii="仿宋_GB2312" w:hAnsi="仿宋_GB2312" w:eastAsia="仿宋_GB2312" w:cs="仿宋_GB2312"/>
          <w:color w:val="auto"/>
          <w:sz w:val="32"/>
          <w:szCs w:val="32"/>
        </w:rPr>
        <w:t>布设充电</w:t>
      </w:r>
      <w:r>
        <w:rPr>
          <w:rFonts w:hint="eastAsia" w:ascii="仿宋_GB2312" w:hAnsi="仿宋_GB2312" w:eastAsia="仿宋_GB2312" w:cs="仿宋_GB2312"/>
          <w:color w:val="auto"/>
          <w:sz w:val="32"/>
          <w:szCs w:val="32"/>
          <w:lang w:eastAsia="zh-CN"/>
        </w:rPr>
        <w:t>设施。</w:t>
      </w:r>
    </w:p>
    <w:p w14:paraId="0286D266">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公共充电设施选址需符合消防安全规范，地下车库设置公共充电设施宜布置在首层出口或消防通道附近，独立防火分区，需</w:t>
      </w:r>
      <w:r>
        <w:rPr>
          <w:rFonts w:hint="eastAsia" w:ascii="仿宋_GB2312" w:hAnsi="仿宋_GB2312" w:eastAsia="仿宋_GB2312" w:cs="仿宋_GB2312"/>
          <w:color w:val="auto"/>
          <w:sz w:val="32"/>
          <w:szCs w:val="32"/>
        </w:rPr>
        <w:t>配套独立烟感、温感报警、应急照明、灭火器材；连片充电桩区域增设自动喷淋灭火系统，车位间距、防火隔离距离严格执行消防规范。</w:t>
      </w:r>
    </w:p>
    <w:p w14:paraId="17F8F52D">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人防车位设置公共充电设施，不得破坏人防主体结构、密闭通道、人防防护设备，建设方案同步报备县人防主管部门。</w:t>
      </w:r>
    </w:p>
    <w:p w14:paraId="33E79063">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施工图设计未落实充电配套标准的，不予通过规划、施工图审查；配套未达标项目，不予办理竣工验收备案。</w:t>
      </w:r>
    </w:p>
    <w:p w14:paraId="09D0E45F">
      <w:pPr>
        <w:keepNext w:val="0"/>
        <w:keepLines w:val="0"/>
        <w:pageBreakBefore w:val="0"/>
        <w:widowControl w:val="0"/>
        <w:kinsoku/>
        <w:wordWrap/>
        <w:overflowPunct/>
        <w:topLinePunct w:val="0"/>
        <w:autoSpaceDE/>
        <w:autoSpaceDN/>
        <w:bidi w:val="0"/>
        <w:adjustRightInd/>
        <w:snapToGrid/>
        <w:spacing w:before="157" w:beforeLines="50" w:after="157" w:afterLines="50" w:line="59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第三章 项目建设实施流程</w:t>
      </w:r>
    </w:p>
    <w:p w14:paraId="0171FEF8">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七</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业主民主表决前置程序</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eastAsia="zh-CN"/>
        </w:rPr>
        <w:t>小区</w:t>
      </w:r>
      <w:r>
        <w:rPr>
          <w:rFonts w:hint="eastAsia" w:ascii="仿宋_GB2312" w:hAnsi="仿宋_GB2312" w:eastAsia="仿宋_GB2312" w:cs="仿宋_GB2312"/>
          <w:color w:val="auto"/>
          <w:sz w:val="32"/>
          <w:szCs w:val="32"/>
        </w:rPr>
        <w:t>业委会、物业联合编制完整建设实施方案，包含充电桩点位分布图、设备数量、投资运营主体、合作期限、充电收费标准、公共收益分配、消防安全管理细则，在小区公告栏、业主微信群公示不少于7日。</w:t>
      </w:r>
    </w:p>
    <w:p w14:paraId="4CA9724A">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组织召开业主大会，建设运营方案须经小区专有部分面积占比、业主户数双过半表决同意后方可实施，完整留存表决票、签到表、现场公示照片、会议记录存档备查。</w:t>
      </w:r>
    </w:p>
    <w:p w14:paraId="54705459">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未选举产生业主委员会的小区，由属地社区居委会牵头组织业主意见征集、公示、表决工作。</w:t>
      </w:r>
    </w:p>
    <w:p w14:paraId="091A556B">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八</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项目备案管理</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业主表决通过后，由</w:t>
      </w:r>
      <w:r>
        <w:rPr>
          <w:rFonts w:hint="eastAsia" w:ascii="仿宋_GB2312" w:hAnsi="仿宋_GB2312" w:eastAsia="仿宋_GB2312" w:cs="仿宋_GB2312"/>
          <w:color w:val="auto"/>
          <w:sz w:val="32"/>
          <w:szCs w:val="32"/>
          <w:lang w:eastAsia="zh-CN"/>
        </w:rPr>
        <w:t>业主大会通过法定程序授权或委托经办人（含充电桩运营企业、物业服务企业或其他管理人）</w:t>
      </w:r>
      <w:r>
        <w:rPr>
          <w:rFonts w:hint="eastAsia" w:ascii="仿宋_GB2312" w:hAnsi="仿宋_GB2312" w:eastAsia="仿宋_GB2312" w:cs="仿宋_GB2312"/>
          <w:color w:val="auto"/>
          <w:sz w:val="32"/>
          <w:szCs w:val="32"/>
        </w:rPr>
        <w:t>，携带业主大会表决材料、小区车位平面图、充电设备安全检测报告、运营商资质文件</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报县发改部门备案</w:t>
      </w:r>
      <w:r>
        <w:rPr>
          <w:rFonts w:hint="eastAsia" w:ascii="仿宋_GB2312" w:hAnsi="仿宋_GB2312" w:eastAsia="仿宋_GB2312" w:cs="仿宋_GB2312"/>
          <w:color w:val="auto"/>
          <w:sz w:val="32"/>
          <w:szCs w:val="32"/>
        </w:rPr>
        <w:t>。</w:t>
      </w:r>
    </w:p>
    <w:p w14:paraId="3B1EA1D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九</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用电报装</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kern w:val="2"/>
          <w:sz w:val="32"/>
          <w:szCs w:val="32"/>
          <w:lang w:val="en-US" w:eastAsia="zh-CN" w:bidi="ar-SA"/>
        </w:rPr>
        <w:t>住宅小区在</w:t>
      </w:r>
      <w:r>
        <w:rPr>
          <w:rFonts w:hint="default" w:ascii="仿宋_GB2312" w:hAnsi="仿宋_GB2312" w:eastAsia="仿宋_GB2312" w:cs="仿宋_GB2312"/>
          <w:color w:val="auto"/>
          <w:kern w:val="2"/>
          <w:sz w:val="32"/>
          <w:szCs w:val="32"/>
          <w:lang w:val="en-US" w:eastAsia="zh-CN" w:bidi="ar-SA"/>
        </w:rPr>
        <w:t>公共停车</w:t>
      </w:r>
      <w:r>
        <w:rPr>
          <w:rFonts w:hint="eastAsia" w:ascii="仿宋_GB2312" w:hAnsi="仿宋_GB2312" w:eastAsia="仿宋_GB2312" w:cs="仿宋_GB2312"/>
          <w:color w:val="auto"/>
          <w:kern w:val="2"/>
          <w:sz w:val="32"/>
          <w:szCs w:val="32"/>
          <w:lang w:val="en-US" w:eastAsia="zh-CN" w:bidi="ar-SA"/>
        </w:rPr>
        <w:t>区域</w:t>
      </w:r>
      <w:r>
        <w:rPr>
          <w:rFonts w:hint="default" w:ascii="仿宋_GB2312" w:hAnsi="仿宋_GB2312" w:eastAsia="仿宋_GB2312" w:cs="仿宋_GB2312"/>
          <w:color w:val="auto"/>
          <w:kern w:val="2"/>
          <w:sz w:val="32"/>
          <w:szCs w:val="32"/>
          <w:lang w:val="en-US" w:eastAsia="zh-CN" w:bidi="ar-SA"/>
        </w:rPr>
        <w:t>安装</w:t>
      </w:r>
      <w:r>
        <w:rPr>
          <w:rFonts w:hint="eastAsia" w:ascii="仿宋_GB2312" w:hAnsi="仿宋_GB2312" w:eastAsia="仿宋_GB2312" w:cs="仿宋_GB2312"/>
          <w:color w:val="auto"/>
          <w:kern w:val="2"/>
          <w:sz w:val="32"/>
          <w:szCs w:val="32"/>
          <w:lang w:val="en-US" w:eastAsia="zh-CN" w:bidi="ar-SA"/>
        </w:rPr>
        <w:t>公共</w:t>
      </w:r>
      <w:r>
        <w:rPr>
          <w:rFonts w:hint="default" w:ascii="仿宋_GB2312" w:hAnsi="仿宋_GB2312" w:eastAsia="仿宋_GB2312" w:cs="仿宋_GB2312"/>
          <w:color w:val="auto"/>
          <w:kern w:val="2"/>
          <w:sz w:val="32"/>
          <w:szCs w:val="32"/>
          <w:lang w:val="en-US" w:eastAsia="zh-CN" w:bidi="ar-SA"/>
        </w:rPr>
        <w:t>充电设施时，按本</w:t>
      </w:r>
      <w:r>
        <w:rPr>
          <w:rFonts w:hint="eastAsia" w:ascii="仿宋_GB2312" w:hAnsi="仿宋_GB2312" w:eastAsia="仿宋_GB2312" w:cs="仿宋_GB2312"/>
          <w:color w:val="auto"/>
          <w:kern w:val="2"/>
          <w:sz w:val="32"/>
          <w:szCs w:val="32"/>
          <w:lang w:val="en-US" w:eastAsia="zh-CN" w:bidi="ar-SA"/>
        </w:rPr>
        <w:t>规定</w:t>
      </w:r>
      <w:r>
        <w:rPr>
          <w:rFonts w:hint="default" w:ascii="仿宋_GB2312" w:hAnsi="仿宋_GB2312" w:eastAsia="仿宋_GB2312" w:cs="仿宋_GB2312"/>
          <w:color w:val="auto"/>
          <w:kern w:val="2"/>
          <w:sz w:val="32"/>
          <w:szCs w:val="32"/>
          <w:lang w:val="en-US" w:eastAsia="zh-CN" w:bidi="ar-SA"/>
        </w:rPr>
        <w:t>第</w:t>
      </w:r>
      <w:r>
        <w:rPr>
          <w:rFonts w:hint="eastAsia" w:ascii="仿宋_GB2312" w:hAnsi="仿宋_GB2312" w:eastAsia="仿宋_GB2312" w:cs="仿宋_GB2312"/>
          <w:color w:val="auto"/>
          <w:kern w:val="2"/>
          <w:sz w:val="32"/>
          <w:szCs w:val="32"/>
          <w:lang w:val="en-US" w:eastAsia="zh-CN" w:bidi="ar-SA"/>
        </w:rPr>
        <w:t>八</w:t>
      </w:r>
      <w:r>
        <w:rPr>
          <w:rFonts w:hint="default" w:ascii="仿宋_GB2312" w:hAnsi="仿宋_GB2312" w:eastAsia="仿宋_GB2312" w:cs="仿宋_GB2312"/>
          <w:color w:val="auto"/>
          <w:kern w:val="2"/>
          <w:sz w:val="32"/>
          <w:szCs w:val="32"/>
          <w:lang w:val="en-US" w:eastAsia="zh-CN" w:bidi="ar-SA"/>
        </w:rPr>
        <w:t>条要求经县发改部门备案后，</w:t>
      </w:r>
      <w:r>
        <w:rPr>
          <w:rFonts w:hint="eastAsia" w:ascii="仿宋_GB2312" w:hAnsi="仿宋_GB2312" w:eastAsia="仿宋_GB2312" w:cs="仿宋_GB2312"/>
          <w:color w:val="auto"/>
          <w:kern w:val="2"/>
          <w:sz w:val="32"/>
          <w:szCs w:val="32"/>
          <w:lang w:val="en-US" w:eastAsia="zh-CN" w:bidi="ar-SA"/>
        </w:rPr>
        <w:t>由申请方准备营业执照、经办人身份证、授权委托书、项目批准或备案文件、业主大会表决的同意公建桩的材料、停车场物权证明（含场地租赁协议）等资料，</w:t>
      </w:r>
      <w:r>
        <w:rPr>
          <w:rFonts w:hint="default" w:ascii="仿宋_GB2312" w:hAnsi="仿宋_GB2312" w:eastAsia="仿宋_GB2312" w:cs="仿宋_GB2312"/>
          <w:color w:val="auto"/>
          <w:kern w:val="2"/>
          <w:sz w:val="32"/>
          <w:szCs w:val="32"/>
          <w:lang w:val="en-US" w:eastAsia="zh-CN" w:bidi="ar-SA"/>
        </w:rPr>
        <w:t>向所在区域电网经营企业提交报装申请。无需办理建设用地规划许可证、建设工程规划许可证和施工许可证。</w:t>
      </w:r>
    </w:p>
    <w:p w14:paraId="5E14D7E8">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b/>
          <w:bCs/>
          <w:color w:val="auto"/>
          <w:sz w:val="32"/>
          <w:szCs w:val="32"/>
          <w:lang w:eastAsia="zh-CN"/>
        </w:rPr>
        <w:t>第十条【现场勘察】</w:t>
      </w:r>
      <w:r>
        <w:rPr>
          <w:rFonts w:hint="eastAsia" w:ascii="仿宋_GB2312" w:hAnsi="仿宋_GB2312" w:eastAsia="仿宋_GB2312" w:cs="仿宋_GB2312"/>
          <w:color w:val="auto"/>
          <w:kern w:val="2"/>
          <w:sz w:val="32"/>
          <w:szCs w:val="32"/>
          <w:lang w:val="en-US" w:eastAsia="zh-CN" w:bidi="ar-SA"/>
        </w:rPr>
        <w:t>供电企业</w:t>
      </w:r>
      <w:r>
        <w:rPr>
          <w:rFonts w:hint="eastAsia" w:ascii="仿宋_GB2312" w:hAnsi="仿宋_GB2312" w:eastAsia="仿宋_GB2312" w:cs="仿宋_GB2312"/>
          <w:i w:val="0"/>
          <w:iCs w:val="0"/>
          <w:caps w:val="0"/>
          <w:color w:val="auto"/>
          <w:spacing w:val="0"/>
          <w:sz w:val="32"/>
          <w:szCs w:val="32"/>
          <w:shd w:val="clear" w:color="auto" w:fill="FFFFFF"/>
        </w:rPr>
        <w:t>会同申请方、物业服务企业（或业委会、居委会等小区其他管理人）到现场进行用电及施工可行性勘察。物业服务企业应指定专人积极配合现场勘察，提供相关图纸或指认停车区域内电源位置及暗埋管线的走向。</w:t>
      </w:r>
    </w:p>
    <w:p w14:paraId="7919E59E">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rPr>
        <w:t>现场勘察后，</w:t>
      </w:r>
      <w:r>
        <w:rPr>
          <w:rFonts w:hint="eastAsia" w:ascii="仿宋_GB2312" w:hAnsi="仿宋_GB2312" w:eastAsia="仿宋_GB2312" w:cs="仿宋_GB2312"/>
          <w:color w:val="auto"/>
          <w:kern w:val="2"/>
          <w:sz w:val="32"/>
          <w:szCs w:val="32"/>
          <w:lang w:val="en-US" w:eastAsia="zh-CN" w:bidi="ar-SA"/>
        </w:rPr>
        <w:t>供电企业</w:t>
      </w:r>
      <w:r>
        <w:rPr>
          <w:rFonts w:hint="eastAsia" w:ascii="仿宋_GB2312" w:hAnsi="仿宋_GB2312" w:eastAsia="仿宋_GB2312" w:cs="仿宋_GB2312"/>
          <w:i w:val="0"/>
          <w:iCs w:val="0"/>
          <w:caps w:val="0"/>
          <w:color w:val="auto"/>
          <w:spacing w:val="0"/>
          <w:sz w:val="32"/>
          <w:szCs w:val="32"/>
          <w:shd w:val="clear" w:color="auto" w:fill="FFFFFF"/>
        </w:rPr>
        <w:t>应书面出具勘察意见，明确电表安装位置、供电管线路径、破路或桥架装设要求等事项。申请方与物业服务企业应在2个工作日内对勘察意见进行共同确认。无法确认勘察结果的，供电企业可终止办理流程，待各方协商一致后由申请方重新提出申请。</w:t>
      </w:r>
    </w:p>
    <w:p w14:paraId="7E8BEA9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i w:val="0"/>
          <w:iCs w:val="0"/>
          <w:caps w:val="0"/>
          <w:color w:val="auto"/>
          <w:spacing w:val="0"/>
          <w:sz w:val="32"/>
          <w:szCs w:val="32"/>
          <w:shd w:val="clear" w:color="auto" w:fill="FFFFFF"/>
          <w:lang w:eastAsia="zh-CN"/>
        </w:rPr>
        <w:t>第十一条【电力施工装表】</w:t>
      </w:r>
      <w:r>
        <w:rPr>
          <w:rFonts w:hint="eastAsia" w:ascii="仿宋_GB2312" w:hAnsi="仿宋_GB2312" w:eastAsia="仿宋_GB2312" w:cs="仿宋_GB2312"/>
          <w:i w:val="0"/>
          <w:iCs w:val="0"/>
          <w:caps w:val="0"/>
          <w:color w:val="auto"/>
          <w:spacing w:val="0"/>
          <w:sz w:val="32"/>
          <w:szCs w:val="32"/>
          <w:shd w:val="clear" w:color="auto" w:fill="FFFFFF"/>
        </w:rPr>
        <w:t>充电设施电表及电表前端供电线路由</w:t>
      </w:r>
      <w:r>
        <w:rPr>
          <w:rFonts w:hint="eastAsia" w:ascii="仿宋_GB2312" w:hAnsi="仿宋_GB2312" w:eastAsia="仿宋_GB2312" w:cs="仿宋_GB2312"/>
          <w:color w:val="auto"/>
          <w:kern w:val="2"/>
          <w:sz w:val="32"/>
          <w:szCs w:val="32"/>
          <w:lang w:val="en-US" w:eastAsia="zh-CN" w:bidi="ar-SA"/>
        </w:rPr>
        <w:t>供电企业</w:t>
      </w:r>
      <w:r>
        <w:rPr>
          <w:rFonts w:hint="eastAsia" w:ascii="仿宋_GB2312" w:hAnsi="仿宋_GB2312" w:eastAsia="仿宋_GB2312" w:cs="仿宋_GB2312"/>
          <w:i w:val="0"/>
          <w:iCs w:val="0"/>
          <w:caps w:val="0"/>
          <w:color w:val="auto"/>
          <w:spacing w:val="0"/>
          <w:sz w:val="32"/>
          <w:szCs w:val="32"/>
          <w:shd w:val="clear" w:color="auto" w:fill="FFFFFF"/>
        </w:rPr>
        <w:t>免费负责建设，电表后至充电设施线路由申请方自行委托有资质的单位建设。申请方、物业服务企业应积极配合供电企业做好施工过程协调。</w:t>
      </w:r>
    </w:p>
    <w:p w14:paraId="255DC7F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color="auto" w:fill="FFFFFF"/>
        </w:rPr>
        <w:t>现有配电设施确实无法满足充电设施用电报装申请的，产权为供电企业的，应由供电企业配合相关方提出解决方案；产权为非供电企业的，申请方向实际产权人提出申请，由产权人组织相关方提出解决方案。</w:t>
      </w:r>
    </w:p>
    <w:p w14:paraId="57206E7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i w:val="0"/>
          <w:iCs w:val="0"/>
          <w:caps w:val="0"/>
          <w:color w:val="auto"/>
          <w:spacing w:val="0"/>
          <w:sz w:val="32"/>
          <w:szCs w:val="32"/>
          <w:shd w:val="clear" w:color="auto" w:fill="FFFFFF"/>
          <w:lang w:eastAsia="zh-CN"/>
        </w:rPr>
        <w:t>第十二条【充电桩建设施工和接电确认】</w:t>
      </w:r>
      <w:r>
        <w:rPr>
          <w:rFonts w:hint="eastAsia" w:ascii="仿宋_GB2312" w:hAnsi="仿宋_GB2312" w:eastAsia="仿宋_GB2312" w:cs="仿宋_GB2312"/>
          <w:i w:val="0"/>
          <w:iCs w:val="0"/>
          <w:caps w:val="0"/>
          <w:color w:val="auto"/>
          <w:spacing w:val="0"/>
          <w:sz w:val="32"/>
          <w:szCs w:val="32"/>
          <w:shd w:val="clear" w:color="auto" w:fill="FFFFFF"/>
        </w:rPr>
        <w:t>充电设施安装前，充电设施所有权人应提供产品合格材料，并与充电设施安装单位（安装方）、物业服务企业签订《电动汽车自建桩安装承诺书》（详见附件），明确充电设施安装责任、安全责任以及运营维护责任等内容。物业服务企业应配合协调安装选址工作。</w:t>
      </w:r>
    </w:p>
    <w:p w14:paraId="76250CA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color="auto" w:fill="FFFFFF"/>
        </w:rPr>
        <w:t>按照确认后的供电勘察意见，申请方委托有资质的充电设施安装单位开展工程建设。充电设施安装单位应严格按照电力施工相关技术规范要求，组织充电设施安装以及安装区域的改造工作。如在施工过程中对小区共用部位、共用设施造成损坏的，应负责相关设施的修复。</w:t>
      </w:r>
    </w:p>
    <w:p w14:paraId="7AC070B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color="auto" w:fill="FFFFFF"/>
        </w:rPr>
        <w:t>充电设施安装完成后，充电设施所有权人应组织安装单位和物业服务企业进行验收和试充电确认。</w:t>
      </w:r>
    </w:p>
    <w:p w14:paraId="299EC9FB">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第十三条【联合验收】</w:t>
      </w:r>
      <w:r>
        <w:rPr>
          <w:rFonts w:hint="eastAsia" w:ascii="仿宋_GB2312" w:hAnsi="仿宋_GB2312" w:eastAsia="仿宋_GB2312" w:cs="仿宋_GB2312"/>
          <w:color w:val="auto"/>
          <w:sz w:val="32"/>
          <w:szCs w:val="32"/>
        </w:rPr>
        <w:t>施工全过程由物业、业委会现场监督，完工后开展四方联合验收（供电公司、物业服务企业、业主委员会、充电运营企业），核验设备接地、漏电保护、消防器材、视频监控系统，验收全部合格方可通电投入运营。</w:t>
      </w:r>
    </w:p>
    <w:p w14:paraId="7E3F3D3A">
      <w:pPr>
        <w:keepNext w:val="0"/>
        <w:keepLines w:val="0"/>
        <w:pageBreakBefore w:val="0"/>
        <w:widowControl w:val="0"/>
        <w:kinsoku/>
        <w:wordWrap/>
        <w:overflowPunct/>
        <w:topLinePunct w:val="0"/>
        <w:autoSpaceDE/>
        <w:autoSpaceDN/>
        <w:bidi w:val="0"/>
        <w:adjustRightInd/>
        <w:snapToGrid/>
        <w:spacing w:before="157" w:beforeLines="50" w:after="157" w:afterLines="50" w:line="590" w:lineRule="exact"/>
        <w:jc w:val="center"/>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 xml:space="preserve">章 </w:t>
      </w:r>
      <w:r>
        <w:rPr>
          <w:rFonts w:hint="eastAsia" w:ascii="黑体" w:hAnsi="黑体" w:eastAsia="黑体" w:cs="黑体"/>
          <w:color w:val="auto"/>
          <w:sz w:val="32"/>
          <w:szCs w:val="32"/>
          <w:lang w:eastAsia="zh-CN"/>
        </w:rPr>
        <w:t>公共</w:t>
      </w:r>
      <w:r>
        <w:rPr>
          <w:rFonts w:hint="eastAsia" w:ascii="黑体" w:hAnsi="黑体" w:eastAsia="黑体" w:cs="黑体"/>
          <w:color w:val="auto"/>
          <w:sz w:val="32"/>
          <w:szCs w:val="32"/>
        </w:rPr>
        <w:t>充电设施运营和</w:t>
      </w:r>
      <w:r>
        <w:rPr>
          <w:rFonts w:hint="eastAsia" w:ascii="黑体" w:hAnsi="黑体" w:eastAsia="黑体" w:cs="黑体"/>
          <w:color w:val="auto"/>
          <w:sz w:val="32"/>
          <w:szCs w:val="32"/>
          <w:lang w:eastAsia="zh-CN"/>
        </w:rPr>
        <w:t>管理</w:t>
      </w:r>
    </w:p>
    <w:p w14:paraId="7BFB6EA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bidi="ar"/>
        </w:rPr>
        <w:t>第十四条</w:t>
      </w: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【运营商选定】</w:t>
      </w:r>
      <w:r>
        <w:rPr>
          <w:rFonts w:hint="eastAsia" w:ascii="仿宋_GB2312" w:hAnsi="仿宋_GB2312" w:eastAsia="仿宋_GB2312" w:cs="仿宋_GB2312"/>
          <w:i w:val="0"/>
          <w:iCs w:val="0"/>
          <w:caps w:val="0"/>
          <w:color w:val="auto"/>
          <w:spacing w:val="0"/>
          <w:sz w:val="32"/>
          <w:szCs w:val="32"/>
          <w:shd w:val="clear" w:color="auto" w:fill="FFFFFF"/>
        </w:rPr>
        <w:t>业主大会或者业主大会授权的业委会表决通过开展小区公</w:t>
      </w:r>
      <w:r>
        <w:rPr>
          <w:rFonts w:hint="eastAsia" w:ascii="仿宋_GB2312" w:hAnsi="仿宋_GB2312" w:eastAsia="仿宋_GB2312" w:cs="仿宋_GB2312"/>
          <w:i w:val="0"/>
          <w:iCs w:val="0"/>
          <w:caps w:val="0"/>
          <w:color w:val="auto"/>
          <w:spacing w:val="0"/>
          <w:sz w:val="32"/>
          <w:szCs w:val="32"/>
          <w:shd w:val="clear" w:color="auto" w:fill="FFFFFF"/>
          <w:lang w:eastAsia="zh-CN"/>
        </w:rPr>
        <w:t>共充电设施</w:t>
      </w:r>
      <w:r>
        <w:rPr>
          <w:rFonts w:hint="eastAsia" w:ascii="仿宋_GB2312" w:hAnsi="仿宋_GB2312" w:eastAsia="仿宋_GB2312" w:cs="仿宋_GB2312"/>
          <w:i w:val="0"/>
          <w:iCs w:val="0"/>
          <w:caps w:val="0"/>
          <w:color w:val="auto"/>
          <w:spacing w:val="0"/>
          <w:sz w:val="32"/>
          <w:szCs w:val="32"/>
          <w:shd w:val="clear" w:color="auto" w:fill="FFFFFF"/>
        </w:rPr>
        <w:t>建设的，小区业主大会应当通过公开择优方式选定运营商，</w:t>
      </w:r>
      <w:r>
        <w:rPr>
          <w:rFonts w:hint="eastAsia" w:ascii="仿宋_GB2312" w:hAnsi="仿宋_GB2312" w:eastAsia="仿宋_GB2312" w:cs="仿宋_GB2312"/>
          <w:i w:val="0"/>
          <w:iCs w:val="0"/>
          <w:caps w:val="0"/>
          <w:color w:val="auto"/>
          <w:spacing w:val="0"/>
          <w:sz w:val="32"/>
          <w:szCs w:val="32"/>
          <w:shd w:val="clear" w:color="auto" w:fill="FFFFFF"/>
          <w:lang w:val="en-US" w:eastAsia="zh-CN"/>
        </w:rPr>
        <w:t>并</w:t>
      </w:r>
      <w:r>
        <w:rPr>
          <w:rFonts w:hint="eastAsia" w:ascii="仿宋_GB2312" w:hAnsi="仿宋_GB2312" w:eastAsia="仿宋_GB2312" w:cs="仿宋_GB2312"/>
          <w:i w:val="0"/>
          <w:iCs w:val="0"/>
          <w:caps w:val="0"/>
          <w:color w:val="auto"/>
          <w:spacing w:val="0"/>
          <w:sz w:val="32"/>
          <w:szCs w:val="32"/>
          <w:shd w:val="clear" w:color="auto" w:fill="FFFFFF"/>
        </w:rPr>
        <w:t>与充电运营商签订合同或者协议。因客观原因未能选举产生业主委员会的小区，由</w:t>
      </w:r>
      <w:r>
        <w:rPr>
          <w:rFonts w:hint="eastAsia" w:ascii="仿宋_GB2312" w:hAnsi="仿宋_GB2312" w:eastAsia="仿宋_GB2312" w:cs="仿宋_GB2312"/>
          <w:i w:val="0"/>
          <w:iCs w:val="0"/>
          <w:caps w:val="0"/>
          <w:color w:val="auto"/>
          <w:spacing w:val="0"/>
          <w:sz w:val="32"/>
          <w:szCs w:val="32"/>
          <w:shd w:val="clear" w:color="auto" w:fill="FFFFFF"/>
          <w:lang w:val="en-US" w:eastAsia="zh-CN"/>
        </w:rPr>
        <w:t>社区、</w:t>
      </w:r>
      <w:r>
        <w:rPr>
          <w:rFonts w:hint="default" w:ascii="仿宋_GB2312" w:hAnsi="仿宋_GB2312" w:eastAsia="仿宋_GB2312" w:cs="仿宋_GB2312"/>
          <w:i w:val="0"/>
          <w:iCs w:val="0"/>
          <w:caps w:val="0"/>
          <w:color w:val="auto"/>
          <w:spacing w:val="0"/>
          <w:sz w:val="32"/>
          <w:szCs w:val="32"/>
          <w:shd w:val="clear" w:color="auto" w:fill="FFFFFF"/>
        </w:rPr>
        <w:t>居（村）委</w:t>
      </w:r>
      <w:r>
        <w:rPr>
          <w:rFonts w:hint="eastAsia" w:ascii="仿宋_GB2312" w:hAnsi="仿宋_GB2312" w:eastAsia="仿宋_GB2312" w:cs="仿宋_GB2312"/>
          <w:i w:val="0"/>
          <w:iCs w:val="0"/>
          <w:caps w:val="0"/>
          <w:color w:val="auto"/>
          <w:spacing w:val="0"/>
          <w:sz w:val="32"/>
          <w:szCs w:val="32"/>
          <w:shd w:val="clear" w:color="auto" w:fill="FFFFFF"/>
          <w:lang w:val="en-US" w:eastAsia="zh-CN"/>
        </w:rPr>
        <w:t>会</w:t>
      </w:r>
      <w:r>
        <w:rPr>
          <w:rFonts w:hint="eastAsia" w:ascii="仿宋_GB2312" w:hAnsi="仿宋_GB2312" w:eastAsia="仿宋_GB2312" w:cs="仿宋_GB2312"/>
          <w:i w:val="0"/>
          <w:iCs w:val="0"/>
          <w:caps w:val="0"/>
          <w:color w:val="auto"/>
          <w:spacing w:val="0"/>
          <w:sz w:val="32"/>
          <w:szCs w:val="32"/>
          <w:shd w:val="clear" w:color="auto" w:fill="FFFFFF"/>
        </w:rPr>
        <w:t>组织征求业主意见后实施。</w:t>
      </w:r>
    </w:p>
    <w:p w14:paraId="5C85555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bidi="ar"/>
        </w:rPr>
        <w:t>第十五条【运营条件】</w:t>
      </w:r>
      <w:r>
        <w:rPr>
          <w:rFonts w:hint="eastAsia" w:ascii="仿宋_GB2312" w:hAnsi="仿宋_GB2312" w:eastAsia="仿宋_GB2312" w:cs="仿宋_GB2312"/>
          <w:i w:val="0"/>
          <w:iCs w:val="0"/>
          <w:caps w:val="0"/>
          <w:color w:val="auto"/>
          <w:spacing w:val="0"/>
          <w:sz w:val="32"/>
          <w:szCs w:val="32"/>
          <w:shd w:val="clear" w:color="auto" w:fill="FFFFFF"/>
          <w:lang w:eastAsia="zh-CN"/>
        </w:rPr>
        <w:t>住宅小区</w:t>
      </w:r>
      <w:r>
        <w:rPr>
          <w:rFonts w:hint="eastAsia" w:ascii="仿宋_GB2312" w:hAnsi="仿宋_GB2312" w:eastAsia="仿宋_GB2312" w:cs="仿宋_GB2312"/>
          <w:i w:val="0"/>
          <w:iCs w:val="0"/>
          <w:caps w:val="0"/>
          <w:color w:val="auto"/>
          <w:spacing w:val="0"/>
          <w:sz w:val="32"/>
          <w:szCs w:val="32"/>
          <w:shd w:val="clear" w:color="auto" w:fill="FFFFFF"/>
        </w:rPr>
        <w:t>公</w:t>
      </w:r>
      <w:r>
        <w:rPr>
          <w:rFonts w:hint="eastAsia" w:ascii="仿宋_GB2312" w:hAnsi="仿宋_GB2312" w:eastAsia="仿宋_GB2312" w:cs="仿宋_GB2312"/>
          <w:i w:val="0"/>
          <w:iCs w:val="0"/>
          <w:caps w:val="0"/>
          <w:color w:val="auto"/>
          <w:spacing w:val="0"/>
          <w:sz w:val="32"/>
          <w:szCs w:val="32"/>
          <w:shd w:val="clear" w:color="auto" w:fill="FFFFFF"/>
          <w:lang w:eastAsia="zh-CN"/>
        </w:rPr>
        <w:t>共</w:t>
      </w:r>
      <w:r>
        <w:rPr>
          <w:rFonts w:hint="eastAsia" w:ascii="仿宋_GB2312" w:hAnsi="仿宋_GB2312" w:eastAsia="仿宋_GB2312" w:cs="仿宋_GB2312"/>
          <w:i w:val="0"/>
          <w:iCs w:val="0"/>
          <w:caps w:val="0"/>
          <w:color w:val="auto"/>
          <w:spacing w:val="0"/>
          <w:sz w:val="32"/>
          <w:szCs w:val="32"/>
          <w:shd w:val="clear" w:color="auto" w:fill="FFFFFF"/>
        </w:rPr>
        <w:t>充电设施运营</w:t>
      </w:r>
      <w:r>
        <w:rPr>
          <w:rFonts w:hint="eastAsia" w:ascii="仿宋_GB2312" w:hAnsi="仿宋_GB2312" w:eastAsia="仿宋_GB2312" w:cs="仿宋_GB2312"/>
          <w:i w:val="0"/>
          <w:iCs w:val="0"/>
          <w:caps w:val="0"/>
          <w:color w:val="auto"/>
          <w:spacing w:val="0"/>
          <w:sz w:val="32"/>
          <w:szCs w:val="32"/>
          <w:shd w:val="clear" w:color="auto" w:fill="FFFFFF"/>
          <w:lang w:eastAsia="zh-CN"/>
        </w:rPr>
        <w:t>商</w:t>
      </w:r>
      <w:r>
        <w:rPr>
          <w:rFonts w:hint="eastAsia" w:ascii="仿宋_GB2312" w:hAnsi="仿宋_GB2312" w:eastAsia="仿宋_GB2312" w:cs="仿宋_GB2312"/>
          <w:i w:val="0"/>
          <w:iCs w:val="0"/>
          <w:caps w:val="0"/>
          <w:color w:val="auto"/>
          <w:spacing w:val="0"/>
          <w:sz w:val="32"/>
          <w:szCs w:val="32"/>
          <w:shd w:val="clear" w:color="auto" w:fill="FFFFFF"/>
        </w:rPr>
        <w:t>需满足以下条件：</w:t>
      </w:r>
    </w:p>
    <w:p w14:paraId="708119E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color="auto" w:fill="FFFFFF"/>
        </w:rPr>
        <w:t>（一）充电基础设施运营服务商在册持进网作业证上岗电工不少于3人，高压电工不少于2人。专职运行维护团队人员的配备，在设施运行地区应满足供电安全规定的规模要求。</w:t>
      </w:r>
    </w:p>
    <w:p w14:paraId="2C7BCF4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rPr>
        <w:t>（二）具备完善的充电基础设施运营管理制度，保证设施运营安全。</w:t>
      </w:r>
    </w:p>
    <w:p w14:paraId="4806D61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color="auto" w:fill="FFFFFF"/>
        </w:rPr>
        <w:t>（三）充电基础设施必须按国家有关规定验收合格。</w:t>
      </w:r>
    </w:p>
    <w:p w14:paraId="7409F1C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eastAsia="zh-CN"/>
        </w:rPr>
        <w:t>四</w:t>
      </w:r>
      <w:r>
        <w:rPr>
          <w:rFonts w:hint="eastAsia" w:ascii="仿宋_GB2312" w:hAnsi="仿宋_GB2312" w:eastAsia="仿宋_GB2312" w:cs="仿宋_GB2312"/>
          <w:i w:val="0"/>
          <w:iCs w:val="0"/>
          <w:caps w:val="0"/>
          <w:color w:val="auto"/>
          <w:spacing w:val="0"/>
          <w:sz w:val="32"/>
          <w:szCs w:val="32"/>
          <w:shd w:val="clear" w:color="auto" w:fill="FFFFFF"/>
        </w:rPr>
        <w:t>）运营企业原则上在5年内不得将充电基础设施转包给其他企业或者个人经营；因规划调整等原因确需拆除的需报原备案单位同意。</w:t>
      </w:r>
    </w:p>
    <w:p w14:paraId="6267EE7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eastAsia="zh-CN"/>
        </w:rPr>
        <w:t>五</w:t>
      </w:r>
      <w:r>
        <w:rPr>
          <w:rFonts w:hint="eastAsia" w:ascii="仿宋_GB2312" w:hAnsi="仿宋_GB2312" w:eastAsia="仿宋_GB2312" w:cs="仿宋_GB2312"/>
          <w:i w:val="0"/>
          <w:iCs w:val="0"/>
          <w:caps w:val="0"/>
          <w:color w:val="auto"/>
          <w:spacing w:val="0"/>
          <w:sz w:val="32"/>
          <w:szCs w:val="32"/>
          <w:shd w:val="clear" w:color="auto" w:fill="FFFFFF"/>
        </w:rPr>
        <w:t>）企业的运营管理系统应能对其充电基础设施进行有效的安全控制、管理和监控，并对充电和运营数据进行采集和存储（保存期限不低于2年）。</w:t>
      </w:r>
    </w:p>
    <w:p w14:paraId="1C226AE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eastAsia="zh-CN"/>
        </w:rPr>
        <w:t>六</w:t>
      </w:r>
      <w:r>
        <w:rPr>
          <w:rFonts w:hint="eastAsia" w:ascii="仿宋_GB2312" w:hAnsi="仿宋_GB2312" w:eastAsia="仿宋_GB2312" w:cs="仿宋_GB2312"/>
          <w:i w:val="0"/>
          <w:iCs w:val="0"/>
          <w:caps w:val="0"/>
          <w:color w:val="auto"/>
          <w:spacing w:val="0"/>
          <w:sz w:val="32"/>
          <w:szCs w:val="32"/>
          <w:shd w:val="clear" w:color="auto" w:fill="FFFFFF"/>
        </w:rPr>
        <w:t>）充电交易需支持与设区市以上智能服务平台兼容的其他支付手段，如银行卡、移动支付等；逐步推广交通一卡通在充电交易领域的应用。</w:t>
      </w:r>
    </w:p>
    <w:p w14:paraId="64A11B1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i w:val="0"/>
          <w:iCs w:val="0"/>
          <w:caps w:val="0"/>
          <w:color w:val="auto"/>
          <w:spacing w:val="0"/>
          <w:sz w:val="32"/>
          <w:szCs w:val="32"/>
          <w:shd w:val="clear" w:color="auto" w:fill="FFFFFF"/>
          <w:lang w:eastAsia="zh-CN"/>
        </w:rPr>
        <w:t>第十六条【计价规定】</w:t>
      </w:r>
      <w:r>
        <w:rPr>
          <w:rFonts w:hint="eastAsia" w:ascii="仿宋_GB2312" w:hAnsi="仿宋_GB2312" w:eastAsia="仿宋_GB2312" w:cs="仿宋_GB2312"/>
          <w:i w:val="0"/>
          <w:iCs w:val="0"/>
          <w:caps w:val="0"/>
          <w:color w:val="auto"/>
          <w:spacing w:val="0"/>
          <w:sz w:val="32"/>
          <w:szCs w:val="32"/>
          <w:shd w:val="clear" w:color="auto" w:fill="FFFFFF"/>
        </w:rPr>
        <w:t>充电基础设施运营和服务使用的计量器具应当符合计量法律法规要求。充电基础设施产权所有者向用户收取电费及充换电服务费</w:t>
      </w:r>
      <w:r>
        <w:rPr>
          <w:rFonts w:hint="eastAsia" w:ascii="仿宋_GB2312" w:hAnsi="仿宋_GB2312" w:eastAsia="仿宋_GB2312" w:cs="仿宋_GB2312"/>
          <w:i w:val="0"/>
          <w:iCs w:val="0"/>
          <w:caps w:val="0"/>
          <w:color w:val="auto"/>
          <w:spacing w:val="0"/>
          <w:sz w:val="32"/>
          <w:szCs w:val="32"/>
          <w:shd w:val="clear" w:color="auto" w:fill="FFFFFF"/>
          <w:lang w:eastAsia="zh-CN"/>
        </w:rPr>
        <w:t>应</w:t>
      </w:r>
      <w:r>
        <w:rPr>
          <w:rFonts w:hint="eastAsia" w:ascii="仿宋_GB2312" w:hAnsi="仿宋_GB2312" w:eastAsia="仿宋_GB2312" w:cs="仿宋_GB2312"/>
          <w:i w:val="0"/>
          <w:iCs w:val="0"/>
          <w:caps w:val="0"/>
          <w:color w:val="auto"/>
          <w:spacing w:val="0"/>
          <w:sz w:val="32"/>
          <w:szCs w:val="32"/>
          <w:shd w:val="clear" w:color="auto" w:fill="FFFFFF"/>
        </w:rPr>
        <w:t>当明码标价</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rPr>
        <w:t>实行政府指导价管理，分类价格标准上限由价格主管部门制定并调整。</w:t>
      </w:r>
    </w:p>
    <w:p w14:paraId="0595160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bidi="ar"/>
        </w:rPr>
        <w:t>第十七条【维护更新】</w:t>
      </w:r>
      <w:r>
        <w:rPr>
          <w:rFonts w:hint="eastAsia" w:ascii="仿宋_GB2312" w:hAnsi="仿宋_GB2312" w:eastAsia="仿宋_GB2312" w:cs="仿宋_GB2312"/>
          <w:i w:val="0"/>
          <w:iCs w:val="0"/>
          <w:caps w:val="0"/>
          <w:color w:val="auto"/>
          <w:spacing w:val="0"/>
          <w:sz w:val="32"/>
          <w:szCs w:val="32"/>
          <w:shd w:val="clear" w:color="auto" w:fill="FFFFFF"/>
        </w:rPr>
        <w:t>充电基础设施所有权人应当承担充电基础设施维修更新养护</w:t>
      </w:r>
      <w:r>
        <w:rPr>
          <w:rFonts w:hint="eastAsia" w:ascii="仿宋_GB2312" w:hAnsi="仿宋_GB2312" w:eastAsia="仿宋_GB2312" w:cs="仿宋_GB2312"/>
          <w:i w:val="0"/>
          <w:iCs w:val="0"/>
          <w:caps w:val="0"/>
          <w:color w:val="auto"/>
          <w:spacing w:val="0"/>
          <w:sz w:val="32"/>
          <w:szCs w:val="32"/>
          <w:shd w:val="clear" w:color="auto" w:fill="FFFFFF"/>
          <w:lang w:eastAsia="zh-CN"/>
        </w:rPr>
        <w:t>责任，建立月度、季度、年度维护制度。</w:t>
      </w:r>
      <w:r>
        <w:rPr>
          <w:rFonts w:hint="eastAsia" w:ascii="仿宋_GB2312" w:hAnsi="仿宋_GB2312" w:eastAsia="仿宋_GB2312" w:cs="仿宋_GB2312"/>
          <w:i w:val="0"/>
          <w:iCs w:val="0"/>
          <w:caps w:val="0"/>
          <w:color w:val="auto"/>
          <w:spacing w:val="0"/>
          <w:sz w:val="32"/>
          <w:szCs w:val="32"/>
          <w:shd w:val="clear" w:color="auto" w:fill="FFFFFF"/>
        </w:rPr>
        <w:t>根据国家、行业或地区标准调整情况，及时对充电基础设施进行升级改造。</w:t>
      </w:r>
    </w:p>
    <w:p w14:paraId="76D4A29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rPr>
        <w:t>小区业主充电需求增长，需新增公共充电桩点位、扩容设备规模，须重新履行业主表决、电力勘测、项目备案、四方联合验收、通电运营全部流程，不得简化程序。</w:t>
      </w:r>
    </w:p>
    <w:p w14:paraId="5F675F0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eastAsia="zh-CN"/>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bidi="ar"/>
        </w:rPr>
        <w:t>第十八条【安全管理】</w:t>
      </w:r>
      <w:r>
        <w:rPr>
          <w:rFonts w:hint="eastAsia" w:ascii="仿宋_GB2312" w:hAnsi="仿宋_GB2312" w:eastAsia="仿宋_GB2312" w:cs="仿宋_GB2312"/>
          <w:i w:val="0"/>
          <w:iCs w:val="0"/>
          <w:caps w:val="0"/>
          <w:color w:val="auto"/>
          <w:spacing w:val="0"/>
          <w:sz w:val="32"/>
          <w:szCs w:val="32"/>
          <w:shd w:val="clear" w:color="auto" w:fill="FFFFFF"/>
        </w:rPr>
        <w:t>充电基础设施所有权人</w:t>
      </w:r>
      <w:r>
        <w:rPr>
          <w:rFonts w:hint="eastAsia" w:ascii="仿宋_GB2312" w:hAnsi="仿宋_GB2312" w:eastAsia="仿宋_GB2312" w:cs="仿宋_GB2312"/>
          <w:i w:val="0"/>
          <w:iCs w:val="0"/>
          <w:caps w:val="0"/>
          <w:color w:val="auto"/>
          <w:spacing w:val="0"/>
          <w:sz w:val="32"/>
          <w:szCs w:val="32"/>
          <w:shd w:val="clear" w:color="auto" w:fill="FFFFFF"/>
          <w:lang w:eastAsia="zh-CN"/>
        </w:rPr>
        <w:t>为安全第一责任人，应建立远程监控设备运行、定期巡查、安全检查等制度。公共充电设施区域设置明显安全警示标识、操作说明、紧急断电按钮、配备消防器材，定期检查消防器材有效性。</w:t>
      </w:r>
    </w:p>
    <w:p w14:paraId="412B65C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eastAsia="zh-CN"/>
        </w:rPr>
      </w:pPr>
      <w:r>
        <w:rPr>
          <w:rFonts w:hint="eastAsia" w:ascii="仿宋_GB2312" w:hAnsi="仿宋_GB2312" w:eastAsia="仿宋_GB2312" w:cs="仿宋_GB2312"/>
          <w:i w:val="0"/>
          <w:iCs w:val="0"/>
          <w:caps w:val="0"/>
          <w:color w:val="auto"/>
          <w:spacing w:val="0"/>
          <w:sz w:val="32"/>
          <w:szCs w:val="32"/>
          <w:shd w:val="clear" w:color="auto" w:fill="FFFFFF"/>
          <w:lang w:eastAsia="zh-CN"/>
        </w:rPr>
        <w:t>物业服务公司应加强公共充电设施区域的巡查，劝阻违规停放、私拉乱接行为，发现安全隐患立即制止并通知运营商，重大隐患上报消防应急管理部门。</w:t>
      </w:r>
      <w:r>
        <w:rPr>
          <w:rFonts w:hint="default" w:ascii="仿宋_GB2312" w:hAnsi="仿宋_GB2312" w:eastAsia="仿宋_GB2312" w:cs="仿宋_GB2312"/>
          <w:i w:val="0"/>
          <w:iCs w:val="0"/>
          <w:caps w:val="0"/>
          <w:color w:val="auto"/>
          <w:spacing w:val="0"/>
          <w:sz w:val="32"/>
          <w:szCs w:val="32"/>
          <w:shd w:val="clear" w:color="auto" w:fill="FFFFFF"/>
        </w:rPr>
        <w:t>无物业服务企业管理的居民小区由业主委员会或所在居</w:t>
      </w:r>
      <w:r>
        <w:rPr>
          <w:rFonts w:hint="eastAsia" w:ascii="仿宋_GB2312" w:hAnsi="仿宋_GB2312" w:eastAsia="仿宋_GB2312" w:cs="仿宋_GB2312"/>
          <w:i w:val="0"/>
          <w:iCs w:val="0"/>
          <w:caps w:val="0"/>
          <w:color w:val="auto"/>
          <w:spacing w:val="0"/>
          <w:sz w:val="32"/>
          <w:szCs w:val="32"/>
          <w:shd w:val="clear" w:color="auto" w:fill="FFFFFF"/>
          <w:lang w:eastAsia="zh-CN"/>
        </w:rPr>
        <w:t>（村）</w:t>
      </w:r>
      <w:r>
        <w:rPr>
          <w:rFonts w:hint="default" w:ascii="仿宋_GB2312" w:hAnsi="仿宋_GB2312" w:eastAsia="仿宋_GB2312" w:cs="仿宋_GB2312"/>
          <w:i w:val="0"/>
          <w:iCs w:val="0"/>
          <w:caps w:val="0"/>
          <w:color w:val="auto"/>
          <w:spacing w:val="0"/>
          <w:sz w:val="32"/>
          <w:szCs w:val="32"/>
          <w:shd w:val="clear" w:color="auto" w:fill="FFFFFF"/>
        </w:rPr>
        <w:t>委会负责对</w:t>
      </w:r>
      <w:r>
        <w:rPr>
          <w:rFonts w:hint="eastAsia" w:ascii="仿宋_GB2312" w:hAnsi="仿宋_GB2312" w:eastAsia="仿宋_GB2312" w:cs="仿宋_GB2312"/>
          <w:i w:val="0"/>
          <w:iCs w:val="0"/>
          <w:caps w:val="0"/>
          <w:color w:val="auto"/>
          <w:spacing w:val="0"/>
          <w:sz w:val="32"/>
          <w:szCs w:val="32"/>
          <w:shd w:val="clear" w:color="auto" w:fill="FFFFFF"/>
          <w:lang w:eastAsia="zh-CN"/>
        </w:rPr>
        <w:t>公共</w:t>
      </w:r>
      <w:r>
        <w:rPr>
          <w:rFonts w:hint="default" w:ascii="仿宋_GB2312" w:hAnsi="仿宋_GB2312" w:eastAsia="仿宋_GB2312" w:cs="仿宋_GB2312"/>
          <w:i w:val="0"/>
          <w:iCs w:val="0"/>
          <w:caps w:val="0"/>
          <w:color w:val="auto"/>
          <w:spacing w:val="0"/>
          <w:sz w:val="32"/>
          <w:szCs w:val="32"/>
          <w:shd w:val="clear" w:color="auto" w:fill="FFFFFF"/>
        </w:rPr>
        <w:t>充电设施</w:t>
      </w:r>
      <w:r>
        <w:rPr>
          <w:rFonts w:hint="eastAsia" w:ascii="仿宋_GB2312" w:hAnsi="仿宋_GB2312" w:eastAsia="仿宋_GB2312" w:cs="仿宋_GB2312"/>
          <w:i w:val="0"/>
          <w:iCs w:val="0"/>
          <w:caps w:val="0"/>
          <w:color w:val="auto"/>
          <w:spacing w:val="0"/>
          <w:sz w:val="32"/>
          <w:szCs w:val="32"/>
          <w:shd w:val="clear" w:color="auto" w:fill="FFFFFF"/>
          <w:lang w:eastAsia="zh-CN"/>
        </w:rPr>
        <w:t>安全</w:t>
      </w:r>
      <w:r>
        <w:rPr>
          <w:rFonts w:hint="default" w:ascii="仿宋_GB2312" w:hAnsi="仿宋_GB2312" w:eastAsia="仿宋_GB2312" w:cs="仿宋_GB2312"/>
          <w:i w:val="0"/>
          <w:iCs w:val="0"/>
          <w:caps w:val="0"/>
          <w:color w:val="auto"/>
          <w:spacing w:val="0"/>
          <w:sz w:val="32"/>
          <w:szCs w:val="32"/>
          <w:shd w:val="clear" w:color="auto" w:fill="FFFFFF"/>
        </w:rPr>
        <w:t>进行巡视监督。</w:t>
      </w:r>
    </w:p>
    <w:p w14:paraId="41AE569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default"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lang w:eastAsia="zh-CN"/>
        </w:rPr>
        <w:t>临江镇、临城镇人民政府及</w:t>
      </w:r>
      <w:r>
        <w:rPr>
          <w:rFonts w:hint="eastAsia" w:ascii="仿宋_GB2312" w:hAnsi="仿宋_GB2312" w:eastAsia="仿宋_GB2312" w:cs="仿宋_GB2312"/>
          <w:i w:val="0"/>
          <w:iCs w:val="0"/>
          <w:caps w:val="0"/>
          <w:color w:val="auto"/>
          <w:spacing w:val="0"/>
          <w:sz w:val="32"/>
          <w:szCs w:val="32"/>
          <w:shd w:val="clear" w:color="auto" w:fill="FFFFFF"/>
          <w:lang w:val="en-US" w:eastAsia="zh-CN"/>
        </w:rPr>
        <w:t>社区</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default" w:ascii="仿宋_GB2312" w:hAnsi="仿宋_GB2312" w:eastAsia="仿宋_GB2312" w:cs="仿宋_GB2312"/>
          <w:i w:val="0"/>
          <w:iCs w:val="0"/>
          <w:caps w:val="0"/>
          <w:color w:val="auto"/>
          <w:spacing w:val="0"/>
          <w:sz w:val="32"/>
          <w:szCs w:val="32"/>
          <w:shd w:val="clear" w:color="auto" w:fill="FFFFFF"/>
        </w:rPr>
        <w:t>居（村）委会要将</w:t>
      </w:r>
      <w:r>
        <w:rPr>
          <w:rFonts w:hint="eastAsia" w:ascii="仿宋_GB2312" w:hAnsi="仿宋_GB2312" w:eastAsia="仿宋_GB2312" w:cs="仿宋_GB2312"/>
          <w:i w:val="0"/>
          <w:iCs w:val="0"/>
          <w:caps w:val="0"/>
          <w:color w:val="auto"/>
          <w:spacing w:val="0"/>
          <w:sz w:val="32"/>
          <w:szCs w:val="32"/>
          <w:shd w:val="clear" w:color="auto" w:fill="FFFFFF"/>
          <w:lang w:eastAsia="zh-CN"/>
        </w:rPr>
        <w:t>公共</w:t>
      </w:r>
      <w:r>
        <w:rPr>
          <w:rFonts w:hint="default" w:ascii="仿宋_GB2312" w:hAnsi="仿宋_GB2312" w:eastAsia="仿宋_GB2312" w:cs="仿宋_GB2312"/>
          <w:i w:val="0"/>
          <w:iCs w:val="0"/>
          <w:caps w:val="0"/>
          <w:color w:val="auto"/>
          <w:spacing w:val="0"/>
          <w:sz w:val="32"/>
          <w:szCs w:val="32"/>
          <w:shd w:val="clear" w:color="auto" w:fill="FFFFFF"/>
        </w:rPr>
        <w:t>充电设施纳入居住区消防安全管理责任体系，加大监管力度。发现</w:t>
      </w:r>
      <w:r>
        <w:rPr>
          <w:rFonts w:hint="eastAsia" w:ascii="仿宋_GB2312" w:hAnsi="仿宋_GB2312" w:eastAsia="仿宋_GB2312" w:cs="仿宋_GB2312"/>
          <w:i w:val="0"/>
          <w:iCs w:val="0"/>
          <w:caps w:val="0"/>
          <w:color w:val="auto"/>
          <w:spacing w:val="0"/>
          <w:sz w:val="32"/>
          <w:szCs w:val="32"/>
          <w:shd w:val="clear" w:color="auto" w:fill="FFFFFF"/>
          <w:lang w:eastAsia="zh-CN"/>
        </w:rPr>
        <w:t>小区公共</w:t>
      </w:r>
      <w:r>
        <w:rPr>
          <w:rFonts w:hint="default" w:ascii="仿宋_GB2312" w:hAnsi="仿宋_GB2312" w:eastAsia="仿宋_GB2312" w:cs="仿宋_GB2312"/>
          <w:i w:val="0"/>
          <w:iCs w:val="0"/>
          <w:caps w:val="0"/>
          <w:color w:val="auto"/>
          <w:spacing w:val="0"/>
          <w:sz w:val="32"/>
          <w:szCs w:val="32"/>
          <w:shd w:val="clear" w:color="auto" w:fill="FFFFFF"/>
        </w:rPr>
        <w:t>充电设施存在安全隐患的，应按照产权归属，及时通知</w:t>
      </w:r>
      <w:r>
        <w:rPr>
          <w:rFonts w:hint="eastAsia" w:ascii="仿宋_GB2312" w:hAnsi="仿宋_GB2312" w:eastAsia="仿宋_GB2312" w:cs="仿宋_GB2312"/>
          <w:i w:val="0"/>
          <w:iCs w:val="0"/>
          <w:caps w:val="0"/>
          <w:color w:val="auto"/>
          <w:spacing w:val="-6"/>
          <w:sz w:val="32"/>
          <w:szCs w:val="32"/>
          <w:shd w:val="clear" w:color="auto" w:fill="FFFFFF"/>
          <w:lang w:eastAsia="zh-CN"/>
        </w:rPr>
        <w:t>公共</w:t>
      </w:r>
      <w:r>
        <w:rPr>
          <w:rFonts w:hint="default" w:ascii="仿宋_GB2312" w:hAnsi="仿宋_GB2312" w:eastAsia="仿宋_GB2312" w:cs="仿宋_GB2312"/>
          <w:i w:val="0"/>
          <w:iCs w:val="0"/>
          <w:caps w:val="0"/>
          <w:color w:val="auto"/>
          <w:spacing w:val="-6"/>
          <w:sz w:val="32"/>
          <w:szCs w:val="32"/>
          <w:shd w:val="clear" w:color="auto" w:fill="FFFFFF"/>
        </w:rPr>
        <w:t>充电设施</w:t>
      </w:r>
      <w:r>
        <w:rPr>
          <w:rFonts w:hint="eastAsia" w:ascii="仿宋_GB2312" w:hAnsi="仿宋_GB2312" w:eastAsia="仿宋_GB2312" w:cs="仿宋_GB2312"/>
          <w:i w:val="0"/>
          <w:iCs w:val="0"/>
          <w:caps w:val="0"/>
          <w:color w:val="auto"/>
          <w:spacing w:val="-6"/>
          <w:sz w:val="32"/>
          <w:szCs w:val="32"/>
          <w:shd w:val="clear" w:color="auto" w:fill="FFFFFF"/>
          <w:lang w:eastAsia="zh-CN"/>
        </w:rPr>
        <w:t>产权所有人、</w:t>
      </w:r>
      <w:r>
        <w:rPr>
          <w:rFonts w:hint="default" w:ascii="仿宋_GB2312" w:hAnsi="仿宋_GB2312" w:eastAsia="仿宋_GB2312" w:cs="仿宋_GB2312"/>
          <w:i w:val="0"/>
          <w:iCs w:val="0"/>
          <w:caps w:val="0"/>
          <w:color w:val="auto"/>
          <w:spacing w:val="-6"/>
          <w:sz w:val="32"/>
          <w:szCs w:val="32"/>
          <w:shd w:val="clear" w:color="auto" w:fill="FFFFFF"/>
        </w:rPr>
        <w:t>运营</w:t>
      </w:r>
      <w:r>
        <w:rPr>
          <w:rFonts w:hint="eastAsia" w:ascii="仿宋_GB2312" w:hAnsi="仿宋_GB2312" w:eastAsia="仿宋_GB2312" w:cs="仿宋_GB2312"/>
          <w:i w:val="0"/>
          <w:iCs w:val="0"/>
          <w:caps w:val="0"/>
          <w:color w:val="auto"/>
          <w:spacing w:val="-6"/>
          <w:sz w:val="32"/>
          <w:szCs w:val="32"/>
          <w:shd w:val="clear" w:color="auto" w:fill="FFFFFF"/>
          <w:lang w:eastAsia="zh-CN"/>
        </w:rPr>
        <w:t>商</w:t>
      </w:r>
      <w:r>
        <w:rPr>
          <w:rFonts w:hint="default" w:ascii="仿宋_GB2312" w:hAnsi="仿宋_GB2312" w:eastAsia="仿宋_GB2312" w:cs="仿宋_GB2312"/>
          <w:i w:val="0"/>
          <w:iCs w:val="0"/>
          <w:caps w:val="0"/>
          <w:color w:val="auto"/>
          <w:spacing w:val="-6"/>
          <w:sz w:val="32"/>
          <w:szCs w:val="32"/>
          <w:shd w:val="clear" w:color="auto" w:fill="FFFFFF"/>
        </w:rPr>
        <w:t>，明确整改要求，责令限时整改。</w:t>
      </w:r>
    </w:p>
    <w:p w14:paraId="34CC2D8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eastAsia="zh-CN"/>
        </w:rPr>
      </w:pPr>
      <w:r>
        <w:rPr>
          <w:rFonts w:hint="eastAsia" w:ascii="仿宋_GB2312" w:hAnsi="仿宋_GB2312" w:eastAsia="仿宋_GB2312" w:cs="仿宋_GB2312"/>
          <w:b/>
          <w:bCs/>
          <w:i w:val="0"/>
          <w:iCs w:val="0"/>
          <w:caps w:val="0"/>
          <w:color w:val="auto"/>
          <w:spacing w:val="0"/>
          <w:sz w:val="32"/>
          <w:szCs w:val="32"/>
          <w:shd w:val="clear" w:color="auto" w:fill="FFFFFF"/>
          <w:lang w:eastAsia="zh-CN"/>
        </w:rPr>
        <w:t>第十九条【</w:t>
      </w:r>
      <w:r>
        <w:rPr>
          <w:rFonts w:hint="eastAsia" w:ascii="仿宋_GB2312" w:hAnsi="仿宋_GB2312" w:eastAsia="仿宋_GB2312" w:cs="仿宋_GB2312"/>
          <w:b/>
          <w:bCs/>
          <w:i w:val="0"/>
          <w:iCs w:val="0"/>
          <w:caps w:val="0"/>
          <w:color w:val="auto"/>
          <w:spacing w:val="0"/>
          <w:sz w:val="32"/>
          <w:szCs w:val="32"/>
          <w:shd w:val="clear" w:color="auto" w:fill="FFFFFF"/>
        </w:rPr>
        <w:t>第三者权益</w:t>
      </w:r>
      <w:r>
        <w:rPr>
          <w:rFonts w:hint="eastAsia" w:ascii="仿宋_GB2312" w:hAnsi="仿宋_GB2312" w:eastAsia="仿宋_GB2312" w:cs="仿宋_GB2312"/>
          <w:b/>
          <w:bCs/>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lang w:eastAsia="zh-CN"/>
        </w:rPr>
        <w:t>公共充电</w:t>
      </w:r>
      <w:r>
        <w:rPr>
          <w:rFonts w:hint="eastAsia" w:ascii="仿宋_GB2312" w:hAnsi="仿宋_GB2312" w:eastAsia="仿宋_GB2312" w:cs="仿宋_GB2312"/>
          <w:i w:val="0"/>
          <w:iCs w:val="0"/>
          <w:caps w:val="0"/>
          <w:color w:val="auto"/>
          <w:spacing w:val="0"/>
          <w:sz w:val="32"/>
          <w:szCs w:val="32"/>
          <w:shd w:val="clear" w:color="auto" w:fill="FFFFFF"/>
        </w:rPr>
        <w:t>设施所有权人、运营商</w:t>
      </w:r>
      <w:r>
        <w:rPr>
          <w:rFonts w:hint="eastAsia" w:ascii="仿宋_GB2312" w:hAnsi="仿宋_GB2312" w:eastAsia="仿宋_GB2312" w:cs="仿宋_GB2312"/>
          <w:i w:val="0"/>
          <w:iCs w:val="0"/>
          <w:caps w:val="0"/>
          <w:color w:val="auto"/>
          <w:spacing w:val="0"/>
          <w:sz w:val="32"/>
          <w:szCs w:val="32"/>
          <w:shd w:val="clear" w:color="auto" w:fill="FFFFFF"/>
          <w:lang w:eastAsia="zh-CN"/>
        </w:rPr>
        <w:t>应</w:t>
      </w:r>
      <w:r>
        <w:rPr>
          <w:rFonts w:hint="eastAsia" w:ascii="仿宋_GB2312" w:hAnsi="仿宋_GB2312" w:eastAsia="仿宋_GB2312" w:cs="仿宋_GB2312"/>
          <w:i w:val="0"/>
          <w:iCs w:val="0"/>
          <w:caps w:val="0"/>
          <w:color w:val="auto"/>
          <w:spacing w:val="0"/>
          <w:sz w:val="32"/>
          <w:szCs w:val="32"/>
          <w:shd w:val="clear" w:color="auto" w:fill="FFFFFF"/>
        </w:rPr>
        <w:t>通过购买商业保险规避相应风险。</w:t>
      </w:r>
      <w:r>
        <w:rPr>
          <w:rFonts w:hint="default" w:ascii="仿宋_GB2312" w:hAnsi="仿宋_GB2312" w:eastAsia="仿宋_GB2312" w:cs="仿宋_GB2312"/>
          <w:i w:val="0"/>
          <w:iCs w:val="0"/>
          <w:caps w:val="0"/>
          <w:color w:val="auto"/>
          <w:spacing w:val="0"/>
          <w:sz w:val="32"/>
          <w:szCs w:val="32"/>
          <w:shd w:val="clear" w:color="auto" w:fill="FFFFFF"/>
        </w:rPr>
        <w:t>因设备质量、运维缺失、消防不到位引发人身、财产损害，由</w:t>
      </w:r>
      <w:r>
        <w:rPr>
          <w:rFonts w:hint="eastAsia" w:ascii="仿宋_GB2312" w:hAnsi="仿宋_GB2312" w:eastAsia="仿宋_GB2312" w:cs="仿宋_GB2312"/>
          <w:i w:val="0"/>
          <w:iCs w:val="0"/>
          <w:caps w:val="0"/>
          <w:color w:val="auto"/>
          <w:spacing w:val="0"/>
          <w:sz w:val="32"/>
          <w:szCs w:val="32"/>
          <w:shd w:val="clear" w:color="auto" w:fill="FFFFFF"/>
        </w:rPr>
        <w:t>充电基础设施所有权人</w:t>
      </w:r>
      <w:r>
        <w:rPr>
          <w:rFonts w:hint="default" w:ascii="仿宋_GB2312" w:hAnsi="仿宋_GB2312" w:eastAsia="仿宋_GB2312" w:cs="仿宋_GB2312"/>
          <w:i w:val="0"/>
          <w:iCs w:val="0"/>
          <w:caps w:val="0"/>
          <w:color w:val="auto"/>
          <w:spacing w:val="0"/>
          <w:sz w:val="32"/>
          <w:szCs w:val="32"/>
          <w:shd w:val="clear" w:color="auto" w:fill="FFFFFF"/>
        </w:rPr>
        <w:t>承担全部赔偿责任；因业主违规停放、人为损坏充电桩、私改线路造成事故的，由过错业主承担赔偿</w:t>
      </w:r>
      <w:r>
        <w:rPr>
          <w:rFonts w:hint="eastAsia" w:ascii="仿宋_GB2312" w:hAnsi="仿宋_GB2312" w:eastAsia="仿宋_GB2312" w:cs="仿宋_GB2312"/>
          <w:i w:val="0"/>
          <w:iCs w:val="0"/>
          <w:caps w:val="0"/>
          <w:color w:val="auto"/>
          <w:spacing w:val="0"/>
          <w:sz w:val="32"/>
          <w:szCs w:val="32"/>
          <w:shd w:val="clear" w:color="auto" w:fill="FFFFFF"/>
          <w:lang w:eastAsia="zh-CN"/>
        </w:rPr>
        <w:t>责任</w:t>
      </w:r>
      <w:r>
        <w:rPr>
          <w:rFonts w:hint="default"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eastAsia="zh-CN"/>
        </w:rPr>
        <w:t>公共</w:t>
      </w:r>
      <w:r>
        <w:rPr>
          <w:rFonts w:hint="eastAsia" w:ascii="仿宋_GB2312" w:hAnsi="仿宋_GB2312" w:eastAsia="仿宋_GB2312" w:cs="仿宋_GB2312"/>
          <w:i w:val="0"/>
          <w:iCs w:val="0"/>
          <w:caps w:val="0"/>
          <w:color w:val="auto"/>
          <w:spacing w:val="0"/>
          <w:sz w:val="32"/>
          <w:szCs w:val="32"/>
          <w:shd w:val="clear" w:color="auto" w:fill="FFFFFF"/>
        </w:rPr>
        <w:t>充电设施所有权人</w:t>
      </w:r>
      <w:r>
        <w:rPr>
          <w:rFonts w:hint="default" w:ascii="仿宋_GB2312" w:hAnsi="仿宋_GB2312" w:eastAsia="仿宋_GB2312" w:cs="仿宋_GB2312"/>
          <w:i w:val="0"/>
          <w:iCs w:val="0"/>
          <w:caps w:val="0"/>
          <w:color w:val="auto"/>
          <w:spacing w:val="0"/>
          <w:sz w:val="32"/>
          <w:szCs w:val="32"/>
          <w:shd w:val="clear" w:color="auto" w:fill="FFFFFF"/>
        </w:rPr>
        <w:t>先行赔付后可依法追偿；物业未尽巡查、</w:t>
      </w:r>
      <w:r>
        <w:rPr>
          <w:rFonts w:hint="eastAsia" w:ascii="仿宋_GB2312" w:hAnsi="仿宋_GB2312" w:eastAsia="仿宋_GB2312" w:cs="仿宋_GB2312"/>
          <w:i w:val="0"/>
          <w:iCs w:val="0"/>
          <w:caps w:val="0"/>
          <w:color w:val="auto"/>
          <w:spacing w:val="0"/>
          <w:sz w:val="32"/>
          <w:szCs w:val="32"/>
          <w:shd w:val="clear" w:color="auto" w:fill="FFFFFF"/>
          <w:lang w:eastAsia="zh-CN"/>
        </w:rPr>
        <w:t>秩序维护、安全监管、</w:t>
      </w:r>
      <w:r>
        <w:rPr>
          <w:rFonts w:hint="default" w:ascii="仿宋_GB2312" w:hAnsi="仿宋_GB2312" w:eastAsia="仿宋_GB2312" w:cs="仿宋_GB2312"/>
          <w:i w:val="0"/>
          <w:iCs w:val="0"/>
          <w:caps w:val="0"/>
          <w:color w:val="auto"/>
          <w:spacing w:val="0"/>
          <w:sz w:val="32"/>
          <w:szCs w:val="32"/>
          <w:shd w:val="clear" w:color="auto" w:fill="FFFFFF"/>
        </w:rPr>
        <w:t>劝阻义务</w:t>
      </w:r>
      <w:r>
        <w:rPr>
          <w:rFonts w:hint="eastAsia" w:ascii="仿宋_GB2312" w:hAnsi="仿宋_GB2312" w:eastAsia="仿宋_GB2312" w:cs="仿宋_GB2312"/>
          <w:i w:val="0"/>
          <w:iCs w:val="0"/>
          <w:caps w:val="0"/>
          <w:color w:val="auto"/>
          <w:spacing w:val="0"/>
          <w:sz w:val="32"/>
          <w:szCs w:val="32"/>
          <w:shd w:val="clear" w:color="auto" w:fill="FFFFFF"/>
          <w:lang w:eastAsia="zh-CN"/>
        </w:rPr>
        <w:t>，导致安全事故、纠纷的，承担相应责任。</w:t>
      </w:r>
    </w:p>
    <w:p w14:paraId="14EFE83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bidi="ar"/>
        </w:rPr>
        <w:t>第二十条【退出拆除】</w:t>
      </w:r>
      <w:r>
        <w:rPr>
          <w:rFonts w:hint="eastAsia" w:ascii="仿宋_GB2312" w:hAnsi="仿宋_GB2312" w:eastAsia="仿宋_GB2312" w:cs="仿宋_GB2312"/>
          <w:i w:val="0"/>
          <w:iCs w:val="0"/>
          <w:caps w:val="0"/>
          <w:color w:val="auto"/>
          <w:spacing w:val="0"/>
          <w:sz w:val="32"/>
          <w:szCs w:val="32"/>
          <w:shd w:val="clear" w:color="auto" w:fill="FFFFFF"/>
        </w:rPr>
        <w:t>租赁到期或不再使用的</w:t>
      </w:r>
      <w:r>
        <w:rPr>
          <w:rFonts w:hint="eastAsia" w:ascii="仿宋_GB2312" w:hAnsi="仿宋_GB2312" w:eastAsia="仿宋_GB2312" w:cs="仿宋_GB2312"/>
          <w:i w:val="0"/>
          <w:iCs w:val="0"/>
          <w:caps w:val="0"/>
          <w:color w:val="auto"/>
          <w:spacing w:val="0"/>
          <w:sz w:val="32"/>
          <w:szCs w:val="32"/>
          <w:shd w:val="clear" w:color="auto" w:fill="FFFFFF"/>
          <w:lang w:eastAsia="zh-CN"/>
        </w:rPr>
        <w:t>公共</w:t>
      </w:r>
      <w:r>
        <w:rPr>
          <w:rFonts w:hint="eastAsia" w:ascii="仿宋_GB2312" w:hAnsi="仿宋_GB2312" w:eastAsia="仿宋_GB2312" w:cs="仿宋_GB2312"/>
          <w:i w:val="0"/>
          <w:iCs w:val="0"/>
          <w:caps w:val="0"/>
          <w:color w:val="auto"/>
          <w:spacing w:val="0"/>
          <w:sz w:val="32"/>
          <w:szCs w:val="32"/>
          <w:shd w:val="clear" w:color="auto" w:fill="FFFFFF"/>
        </w:rPr>
        <w:t>充电设施，所有权人应当转让或拆除</w:t>
      </w:r>
      <w:r>
        <w:rPr>
          <w:rFonts w:hint="eastAsia" w:ascii="仿宋_GB2312" w:hAnsi="仿宋_GB2312" w:eastAsia="仿宋_GB2312" w:cs="仿宋_GB2312"/>
          <w:i w:val="0"/>
          <w:iCs w:val="0"/>
          <w:caps w:val="0"/>
          <w:color w:val="auto"/>
          <w:spacing w:val="0"/>
          <w:sz w:val="32"/>
          <w:szCs w:val="32"/>
          <w:shd w:val="clear" w:color="auto" w:fill="FFFFFF"/>
          <w:lang w:eastAsia="zh-CN"/>
        </w:rPr>
        <w:t>公共</w:t>
      </w:r>
      <w:r>
        <w:rPr>
          <w:rFonts w:hint="eastAsia" w:ascii="仿宋_GB2312" w:hAnsi="仿宋_GB2312" w:eastAsia="仿宋_GB2312" w:cs="仿宋_GB2312"/>
          <w:i w:val="0"/>
          <w:iCs w:val="0"/>
          <w:caps w:val="0"/>
          <w:color w:val="auto"/>
          <w:spacing w:val="0"/>
          <w:sz w:val="32"/>
          <w:szCs w:val="32"/>
          <w:shd w:val="clear" w:color="auto" w:fill="FFFFFF"/>
        </w:rPr>
        <w:t>充电设施</w:t>
      </w:r>
      <w:r>
        <w:rPr>
          <w:rFonts w:hint="eastAsia" w:ascii="仿宋_GB2312" w:hAnsi="仿宋_GB2312" w:eastAsia="仿宋_GB2312" w:cs="仿宋_GB2312"/>
          <w:i w:val="0"/>
          <w:iCs w:val="0"/>
          <w:caps w:val="0"/>
          <w:color w:val="auto"/>
          <w:spacing w:val="0"/>
          <w:sz w:val="32"/>
          <w:szCs w:val="32"/>
          <w:shd w:val="clear" w:color="auto" w:fill="FFFFFF"/>
          <w:lang w:eastAsia="zh-CN"/>
        </w:rPr>
        <w:t>。公共</w:t>
      </w:r>
      <w:r>
        <w:rPr>
          <w:rFonts w:hint="default" w:ascii="仿宋_GB2312" w:hAnsi="仿宋_GB2312" w:eastAsia="仿宋_GB2312" w:cs="仿宋_GB2312"/>
          <w:i w:val="0"/>
          <w:iCs w:val="0"/>
          <w:caps w:val="0"/>
          <w:color w:val="auto"/>
          <w:spacing w:val="0"/>
          <w:sz w:val="32"/>
          <w:szCs w:val="32"/>
          <w:shd w:val="clear" w:color="auto" w:fill="FFFFFF"/>
        </w:rPr>
        <w:t>充电设施不再使用、运营的，充电设施所有权人应当在规定期限内</w:t>
      </w:r>
      <w:r>
        <w:rPr>
          <w:rFonts w:hint="eastAsia" w:ascii="仿宋_GB2312" w:hAnsi="仿宋_GB2312" w:eastAsia="仿宋_GB2312" w:cs="仿宋_GB2312"/>
          <w:i w:val="0"/>
          <w:iCs w:val="0"/>
          <w:caps w:val="0"/>
          <w:color w:val="auto"/>
          <w:spacing w:val="0"/>
          <w:sz w:val="32"/>
          <w:szCs w:val="32"/>
          <w:shd w:val="clear" w:color="auto" w:fill="FFFFFF"/>
          <w:lang w:eastAsia="zh-CN"/>
        </w:rPr>
        <w:t>向</w:t>
      </w:r>
      <w:r>
        <w:rPr>
          <w:rFonts w:hint="default" w:ascii="仿宋_GB2312" w:hAnsi="仿宋_GB2312" w:eastAsia="仿宋_GB2312" w:cs="仿宋_GB2312"/>
          <w:i w:val="0"/>
          <w:iCs w:val="0"/>
          <w:caps w:val="0"/>
          <w:color w:val="auto"/>
          <w:spacing w:val="0"/>
          <w:sz w:val="32"/>
          <w:szCs w:val="32"/>
          <w:shd w:val="clear" w:color="auto" w:fill="FFFFFF"/>
        </w:rPr>
        <w:t>供电企业申请用电销户，拆除相关设施设备，恢复原状，</w:t>
      </w:r>
      <w:r>
        <w:rPr>
          <w:rFonts w:hint="eastAsia" w:ascii="仿宋_GB2312" w:hAnsi="仿宋_GB2312" w:eastAsia="仿宋_GB2312" w:cs="仿宋_GB2312"/>
          <w:i w:val="0"/>
          <w:iCs w:val="0"/>
          <w:caps w:val="0"/>
          <w:color w:val="auto"/>
          <w:spacing w:val="0"/>
          <w:sz w:val="32"/>
          <w:szCs w:val="32"/>
          <w:shd w:val="clear" w:color="auto" w:fill="FFFFFF"/>
          <w:lang w:eastAsia="zh-CN"/>
        </w:rPr>
        <w:t>同时</w:t>
      </w:r>
      <w:r>
        <w:rPr>
          <w:rFonts w:hint="default" w:ascii="仿宋_GB2312" w:hAnsi="仿宋_GB2312" w:eastAsia="仿宋_GB2312" w:cs="仿宋_GB2312"/>
          <w:i w:val="0"/>
          <w:iCs w:val="0"/>
          <w:caps w:val="0"/>
          <w:color w:val="auto"/>
          <w:spacing w:val="0"/>
          <w:sz w:val="32"/>
          <w:szCs w:val="32"/>
          <w:shd w:val="clear" w:color="auto" w:fill="FFFFFF"/>
        </w:rPr>
        <w:t>告知物业服务</w:t>
      </w:r>
      <w:r>
        <w:rPr>
          <w:rFonts w:hint="eastAsia" w:ascii="仿宋_GB2312" w:hAnsi="仿宋_GB2312" w:eastAsia="仿宋_GB2312" w:cs="仿宋_GB2312"/>
          <w:i w:val="0"/>
          <w:iCs w:val="0"/>
          <w:caps w:val="0"/>
          <w:color w:val="auto"/>
          <w:spacing w:val="0"/>
          <w:sz w:val="32"/>
          <w:szCs w:val="32"/>
          <w:shd w:val="clear" w:color="auto" w:fill="FFFFFF"/>
          <w:lang w:eastAsia="zh-CN"/>
        </w:rPr>
        <w:t>企业</w:t>
      </w:r>
      <w:r>
        <w:rPr>
          <w:rFonts w:hint="default" w:ascii="仿宋_GB2312" w:hAnsi="仿宋_GB2312" w:eastAsia="仿宋_GB2312" w:cs="仿宋_GB2312"/>
          <w:i w:val="0"/>
          <w:iCs w:val="0"/>
          <w:caps w:val="0"/>
          <w:color w:val="auto"/>
          <w:spacing w:val="0"/>
          <w:sz w:val="32"/>
          <w:szCs w:val="32"/>
          <w:shd w:val="clear" w:color="auto" w:fill="FFFFFF"/>
        </w:rPr>
        <w:t>，物业服务</w:t>
      </w:r>
      <w:r>
        <w:rPr>
          <w:rFonts w:hint="eastAsia" w:ascii="仿宋_GB2312" w:hAnsi="仿宋_GB2312" w:eastAsia="仿宋_GB2312" w:cs="仿宋_GB2312"/>
          <w:i w:val="0"/>
          <w:iCs w:val="0"/>
          <w:caps w:val="0"/>
          <w:color w:val="auto"/>
          <w:spacing w:val="0"/>
          <w:sz w:val="32"/>
          <w:szCs w:val="32"/>
          <w:shd w:val="clear" w:color="auto" w:fill="FFFFFF"/>
          <w:lang w:eastAsia="zh-CN"/>
        </w:rPr>
        <w:t>企业</w:t>
      </w:r>
      <w:r>
        <w:rPr>
          <w:rFonts w:hint="default" w:ascii="仿宋_GB2312" w:hAnsi="仿宋_GB2312" w:eastAsia="仿宋_GB2312" w:cs="仿宋_GB2312"/>
          <w:i w:val="0"/>
          <w:iCs w:val="0"/>
          <w:caps w:val="0"/>
          <w:color w:val="auto"/>
          <w:spacing w:val="0"/>
          <w:sz w:val="32"/>
          <w:szCs w:val="32"/>
          <w:shd w:val="clear" w:color="auto" w:fill="FFFFFF"/>
        </w:rPr>
        <w:t>应当配合。</w:t>
      </w:r>
    </w:p>
    <w:p w14:paraId="44CBDC89">
      <w:pPr>
        <w:keepNext w:val="0"/>
        <w:keepLines w:val="0"/>
        <w:pageBreakBefore w:val="0"/>
        <w:widowControl w:val="0"/>
        <w:kinsoku/>
        <w:wordWrap/>
        <w:overflowPunct/>
        <w:topLinePunct w:val="0"/>
        <w:autoSpaceDE/>
        <w:autoSpaceDN/>
        <w:bidi w:val="0"/>
        <w:adjustRightInd/>
        <w:snapToGrid/>
        <w:spacing w:before="157" w:beforeLines="50" w:after="157" w:afterLines="50" w:line="590" w:lineRule="exact"/>
        <w:jc w:val="center"/>
        <w:textAlignment w:val="auto"/>
        <w:rPr>
          <w:rFonts w:hint="default" w:ascii="黑体" w:hAnsi="黑体" w:eastAsia="黑体" w:cs="黑体"/>
          <w:color w:val="auto"/>
          <w:sz w:val="32"/>
          <w:szCs w:val="32"/>
        </w:rPr>
      </w:pPr>
      <w:r>
        <w:rPr>
          <w:rFonts w:hint="eastAsia" w:ascii="黑体" w:hAnsi="黑体" w:eastAsia="黑体" w:cs="黑体"/>
          <w:color w:val="auto"/>
          <w:sz w:val="32"/>
          <w:szCs w:val="32"/>
          <w:lang w:val="en-US" w:eastAsia="zh-CN"/>
        </w:rPr>
        <w:t>第五章 附则</w:t>
      </w:r>
    </w:p>
    <w:p w14:paraId="0F386CF6">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bidi="ar"/>
        </w:rPr>
        <w:t>第二十一条【协议签订】</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小区业委会应代表业主与运营商签订公共充电设施运营服务协议，明确双方权利义务、服务标准、费用结算、违约责任、协议期限、退出机制等内容。</w:t>
      </w:r>
    </w:p>
    <w:p w14:paraId="1C3E5455">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bidi="ar"/>
        </w:rPr>
        <w:t>第二十二条【政策衔接】</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本规定有效期限为两年，从印发之日起施行。本规定未尽事宜，按照国家、福建省、龙岩市现行充电基础设施相关法律法规、政策文件执行；本规定条款与上级正式文件相冲突的，以上级文件规定为准。</w:t>
      </w:r>
    </w:p>
    <w:p w14:paraId="70512876">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rPr>
          <w:rFonts w:hint="eastAsia" w:ascii="仿宋_GB2312" w:hAnsi="仿宋_GB2312" w:eastAsia="仿宋_GB2312" w:cs="仿宋_GB2312"/>
          <w:color w:val="auto"/>
          <w:sz w:val="32"/>
          <w:szCs w:val="32"/>
        </w:rPr>
      </w:pPr>
      <w:r>
        <w:rPr>
          <w:rFonts w:hint="default" w:ascii="仿宋_GB2312" w:hAnsi="仿宋_GB2312" w:eastAsia="仿宋_GB2312" w:cs="仿宋_GB2312"/>
          <w:b/>
          <w:bCs/>
          <w:i w:val="0"/>
          <w:iCs w:val="0"/>
          <w:caps w:val="0"/>
          <w:color w:val="auto"/>
          <w:spacing w:val="0"/>
          <w:kern w:val="0"/>
          <w:sz w:val="32"/>
          <w:szCs w:val="32"/>
          <w:shd w:val="clear" w:color="auto" w:fill="FFFFFF"/>
          <w:lang w:val="en-US" w:eastAsia="zh-CN" w:bidi="ar"/>
        </w:rPr>
        <w:t>第</w:t>
      </w: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bidi="ar"/>
        </w:rPr>
        <w:t>二</w:t>
      </w:r>
      <w:r>
        <w:rPr>
          <w:rFonts w:hint="default" w:ascii="仿宋_GB2312" w:hAnsi="仿宋_GB2312" w:eastAsia="仿宋_GB2312" w:cs="仿宋_GB2312"/>
          <w:b/>
          <w:bCs/>
          <w:i w:val="0"/>
          <w:iCs w:val="0"/>
          <w:caps w:val="0"/>
          <w:color w:val="auto"/>
          <w:spacing w:val="0"/>
          <w:kern w:val="0"/>
          <w:sz w:val="32"/>
          <w:szCs w:val="32"/>
          <w:shd w:val="clear" w:color="auto" w:fill="FFFFFF"/>
          <w:lang w:val="en-US" w:eastAsia="zh-CN" w:bidi="ar"/>
        </w:rPr>
        <w:t>十</w:t>
      </w: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bidi="ar"/>
        </w:rPr>
        <w:t>三</w:t>
      </w:r>
      <w:r>
        <w:rPr>
          <w:rFonts w:hint="default" w:ascii="仿宋_GB2312" w:hAnsi="仿宋_GB2312" w:eastAsia="仿宋_GB2312" w:cs="仿宋_GB2312"/>
          <w:b/>
          <w:bCs/>
          <w:i w:val="0"/>
          <w:iCs w:val="0"/>
          <w:caps w:val="0"/>
          <w:color w:val="auto"/>
          <w:spacing w:val="0"/>
          <w:kern w:val="0"/>
          <w:sz w:val="32"/>
          <w:szCs w:val="32"/>
          <w:shd w:val="clear" w:color="auto" w:fill="FFFFFF"/>
          <w:lang w:val="en-US" w:eastAsia="zh-CN" w:bidi="ar"/>
        </w:rPr>
        <w:t>条</w:t>
      </w: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bidi="ar"/>
        </w:rPr>
        <w:t>【解释权】</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本</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规定</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由县</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城市管理和综合执法</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局负责解释。</w:t>
      </w:r>
    </w:p>
    <w:sectPr>
      <w:footerReference r:id="rId3" w:type="default"/>
      <w:pgSz w:w="11906" w:h="16838"/>
      <w:pgMar w:top="1928" w:right="1474" w:bottom="1701" w:left="1587" w:header="1417" w:footer="1304"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E42D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B348C">
                          <w:pPr>
                            <w:pStyle w:val="3"/>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CB348C">
                    <w:pPr>
                      <w:pStyle w:val="3"/>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C02D4"/>
    <w:rsid w:val="03BA3916"/>
    <w:rsid w:val="07C0026A"/>
    <w:rsid w:val="09A73D77"/>
    <w:rsid w:val="1A6E148E"/>
    <w:rsid w:val="1B833C5F"/>
    <w:rsid w:val="290E35DD"/>
    <w:rsid w:val="31B56C44"/>
    <w:rsid w:val="366D02D5"/>
    <w:rsid w:val="37FF23F4"/>
    <w:rsid w:val="3A6B6098"/>
    <w:rsid w:val="42995053"/>
    <w:rsid w:val="446D07D6"/>
    <w:rsid w:val="57FFC337"/>
    <w:rsid w:val="5EBB9784"/>
    <w:rsid w:val="5F5D23C0"/>
    <w:rsid w:val="61652290"/>
    <w:rsid w:val="63FE2168"/>
    <w:rsid w:val="782D1479"/>
    <w:rsid w:val="7BBE8BC1"/>
    <w:rsid w:val="7BEAE6D4"/>
    <w:rsid w:val="7D3FF111"/>
    <w:rsid w:val="9C7AF03A"/>
    <w:rsid w:val="BDFA13A6"/>
    <w:rsid w:val="D6A729EA"/>
    <w:rsid w:val="DB7DC8A8"/>
    <w:rsid w:val="EEABCB2D"/>
    <w:rsid w:val="FFFC02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4923</Words>
  <Characters>4940</Characters>
  <Lines>0</Lines>
  <Paragraphs>0</Paragraphs>
  <TotalTime>5</TotalTime>
  <ScaleCrop>false</ScaleCrop>
  <LinksUpToDate>false</LinksUpToDate>
  <CharactersWithSpaces>4945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2026-07-27T14:35:00Z</dcterms:created>
  <dc:creator>unis</dc:creator>
  <cp:lastModifiedBy>巡山尐妖</cp:lastModifiedBy>
  <cp:lastPrinted>2026-08-05T01:01:00Z</cp:lastPrinted>
  <dcterms:modified xsi:type="dcterms:W3CDTF">2026-08-05T08:00:13Z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6AC8635D70F640C68C95DBB3FA3873E1_13</vt:lpwstr>
  </property>
  <property fmtid="{D5CDD505-2E9C-101B-9397-08002B2CF9AE}" pid="4" name="KSOTemplateDocerSaveRecord">
    <vt:lpwstr>eyJoZGlkIjoiOTgyYzE4ODUyNTY1ZTRmYTQ3OTZmMDEzMmI2OGNhMWQiLCJ1c2VySWQiOiIzNzMzMTA5MTkifQ==</vt:lpwstr>
  </property>
</Properties>
</file>