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76" w:lineRule="auto"/>
        <w:rPr>
          <w:sz w:val="32"/>
          <w:szCs w:val="32"/>
        </w:rPr>
      </w:pPr>
    </w:p>
    <w:p>
      <w:pPr>
        <w:widowControl/>
        <w:spacing w:line="276" w:lineRule="auto"/>
        <w:jc w:val="center"/>
        <w:rPr>
          <w:rFonts w:ascii="方正小标宋简体" w:eastAsia="方正小标宋简体"/>
          <w:sz w:val="84"/>
          <w:szCs w:val="84"/>
        </w:rPr>
      </w:pPr>
    </w:p>
    <w:p>
      <w:pPr>
        <w:widowControl/>
        <w:spacing w:line="276" w:lineRule="auto"/>
        <w:jc w:val="center"/>
        <w:rPr>
          <w:rFonts w:ascii="方正小标宋简体" w:eastAsia="方正小标宋简体"/>
          <w:sz w:val="84"/>
          <w:szCs w:val="84"/>
        </w:rPr>
      </w:pPr>
    </w:p>
    <w:p>
      <w:pPr>
        <w:widowControl/>
        <w:spacing w:line="276" w:lineRule="auto"/>
        <w:jc w:val="center"/>
        <w:rPr>
          <w:rFonts w:ascii="方正小标宋简体" w:eastAsia="方正小标宋简体"/>
          <w:sz w:val="84"/>
          <w:szCs w:val="84"/>
        </w:rPr>
      </w:pPr>
    </w:p>
    <w:p>
      <w:pPr>
        <w:widowControl/>
        <w:spacing w:line="276" w:lineRule="auto"/>
        <w:jc w:val="center"/>
        <w:rPr>
          <w:rFonts w:hint="eastAsia" w:ascii="方正小标宋简体" w:eastAsia="方正小标宋简体" w:hAnsiTheme="minorHAnsi" w:cstheme="minorBidi"/>
          <w:sz w:val="84"/>
          <w:szCs w:val="84"/>
        </w:rPr>
      </w:pPr>
      <w:r>
        <w:rPr>
          <w:rFonts w:hint="eastAsia" w:ascii="方正小标宋简体" w:eastAsia="方正小标宋简体" w:hAnsiTheme="minorHAnsi" w:cstheme="minorBidi"/>
          <w:sz w:val="84"/>
          <w:szCs w:val="84"/>
          <w:lang w:eastAsia="zh-CN"/>
        </w:rPr>
        <w:t>2026</w:t>
      </w:r>
      <w:r>
        <w:rPr>
          <w:rFonts w:hint="eastAsia" w:ascii="方正小标宋简体" w:eastAsia="方正小标宋简体" w:hAnsiTheme="minorHAnsi" w:cstheme="minorBidi"/>
          <w:sz w:val="84"/>
          <w:szCs w:val="84"/>
        </w:rPr>
        <w:t>年度</w:t>
      </w:r>
    </w:p>
    <w:p>
      <w:pPr>
        <w:widowControl/>
        <w:spacing w:line="276" w:lineRule="auto"/>
        <w:jc w:val="center"/>
        <w:rPr>
          <w:rFonts w:hint="eastAsia" w:ascii="方正小标宋简体" w:eastAsia="方正小标宋简体" w:hAnsiTheme="minorHAnsi" w:cstheme="minorBidi"/>
          <w:sz w:val="84"/>
          <w:szCs w:val="84"/>
          <w:lang w:val="en-US" w:eastAsia="zh-CN"/>
        </w:rPr>
      </w:pPr>
      <w:r>
        <w:rPr>
          <w:rFonts w:hint="eastAsia" w:ascii="方正小标宋简体" w:eastAsia="方正小标宋简体" w:hAnsiTheme="minorHAnsi" w:cstheme="minorBidi"/>
          <w:sz w:val="84"/>
          <w:szCs w:val="84"/>
          <w:lang w:val="en-US" w:eastAsia="zh-CN"/>
        </w:rPr>
        <w:t>上杭县文化馆</w:t>
      </w:r>
    </w:p>
    <w:p>
      <w:pPr>
        <w:widowControl/>
        <w:spacing w:line="276" w:lineRule="auto"/>
        <w:jc w:val="center"/>
        <w:rPr>
          <w:rFonts w:hint="eastAsia" w:ascii="方正小标宋简体" w:eastAsia="方正小标宋简体"/>
          <w:sz w:val="84"/>
          <w:szCs w:val="84"/>
        </w:rPr>
      </w:pPr>
      <w:r>
        <w:rPr>
          <w:rFonts w:hint="eastAsia" w:ascii="方正小标宋简体" w:eastAsia="方正小标宋简体" w:hAnsiTheme="minorHAnsi" w:cstheme="minorBidi"/>
          <w:sz w:val="84"/>
          <w:szCs w:val="84"/>
        </w:rPr>
        <w:t>单位预算</w:t>
      </w:r>
    </w:p>
    <w:p>
      <w:pPr>
        <w:widowControl/>
        <w:spacing w:line="276" w:lineRule="auto"/>
        <w:rPr>
          <w:rFonts w:ascii="方正小标宋简体" w:eastAsia="方正小标宋简体"/>
          <w:sz w:val="84"/>
          <w:szCs w:val="84"/>
        </w:rPr>
      </w:pPr>
    </w:p>
    <w:p>
      <w:pPr>
        <w:autoSpaceDE w:val="0"/>
        <w:autoSpaceDN w:val="0"/>
        <w:jc w:val="center"/>
        <w:rPr>
          <w:rFonts w:ascii="宋体" w:hAnsi="宋体" w:eastAsia="宋体"/>
          <w:b/>
          <w:sz w:val="36"/>
        </w:rPr>
        <w:sectPr>
          <w:headerReference r:id="rId3" w:type="default"/>
          <w:headerReference r:id="rId4" w:type="even"/>
          <w:pgSz w:w="11906" w:h="16838"/>
          <w:pgMar w:top="1440" w:right="1803" w:bottom="1440" w:left="1803" w:header="851" w:footer="992" w:gutter="0"/>
          <w:pgNumType w:fmt="decimal"/>
          <w:cols w:space="720" w:num="1"/>
          <w:docGrid w:type="lines" w:linePitch="312" w:charSpace="0"/>
        </w:sectPr>
      </w:pPr>
    </w:p>
    <w:p>
      <w:pPr>
        <w:autoSpaceDE w:val="0"/>
        <w:autoSpaceDN w:val="0"/>
        <w:jc w:val="left"/>
        <w:rPr>
          <w:rFonts w:hint="eastAsia" w:ascii="方正小标宋简体" w:hAnsi="宋体" w:eastAsia="方正小标宋简体"/>
          <w:b w:val="0"/>
          <w:bCs/>
          <w:sz w:val="44"/>
          <w:szCs w:val="44"/>
        </w:rPr>
      </w:pPr>
    </w:p>
    <w:p>
      <w:pPr>
        <w:autoSpaceDE w:val="0"/>
        <w:autoSpaceDN w:val="0"/>
        <w:jc w:val="center"/>
        <w:rPr>
          <w:rFonts w:hint="eastAsia" w:ascii="方正小标宋简体" w:eastAsia="方正小标宋简体" w:cs="Times New Roman" w:hAnsiTheme="majorEastAsia"/>
          <w:kern w:val="0"/>
          <w:sz w:val="44"/>
          <w:szCs w:val="20"/>
          <w:lang w:val="en-US" w:eastAsia="zh-CN" w:bidi="ar-SA"/>
        </w:rPr>
      </w:pPr>
      <w:r>
        <w:rPr>
          <w:rFonts w:hint="eastAsia" w:ascii="方正小标宋简体" w:eastAsia="方正小标宋简体" w:cs="Times New Roman" w:hAnsiTheme="majorEastAsia"/>
          <w:kern w:val="0"/>
          <w:sz w:val="44"/>
          <w:szCs w:val="20"/>
          <w:lang w:val="en-US" w:eastAsia="zh-CN" w:bidi="ar-SA"/>
        </w:rPr>
        <w:t>目  录</w:t>
      </w:r>
    </w:p>
    <w:p/>
    <w:p>
      <w:pPr>
        <w:pStyle w:val="7"/>
        <w:tabs>
          <w:tab w:val="right" w:leader="dot" w:pos="8306"/>
        </w:tabs>
        <w:rPr>
          <w:rFonts w:hint="eastAsia" w:ascii="仿宋" w:hAnsi="仿宋" w:eastAsia="仿宋" w:cs="仿宋"/>
          <w:b/>
          <w:bCs/>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TOC \o "1-3" \h \u </w:instrText>
      </w:r>
      <w:r>
        <w:rPr>
          <w:rFonts w:hint="eastAsia" w:ascii="仿宋" w:hAnsi="仿宋" w:eastAsia="仿宋" w:cs="仿宋"/>
          <w:sz w:val="36"/>
          <w:szCs w:val="36"/>
        </w:rPr>
        <w:fldChar w:fldCharType="separate"/>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_Toc14214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第一部分</w:t>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_Toc24360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lang w:val="en-US" w:eastAsia="zh-CN"/>
        </w:rPr>
        <w:t>单位</w:t>
      </w:r>
      <w:r>
        <w:rPr>
          <w:rFonts w:hint="eastAsia" w:ascii="仿宋" w:hAnsi="仿宋" w:eastAsia="仿宋" w:cs="仿宋"/>
          <w:b/>
          <w:bCs/>
          <w:sz w:val="36"/>
          <w:szCs w:val="36"/>
        </w:rPr>
        <w:t>概况</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_Toc24360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1</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_Toc27901 </w:instrText>
      </w:r>
      <w:r>
        <w:rPr>
          <w:rFonts w:hint="eastAsia" w:ascii="仿宋" w:hAnsi="仿宋" w:eastAsia="仿宋" w:cs="仿宋"/>
          <w:sz w:val="36"/>
          <w:szCs w:val="36"/>
        </w:rPr>
        <w:fldChar w:fldCharType="separate"/>
      </w:r>
      <w:r>
        <w:rPr>
          <w:rFonts w:hint="eastAsia" w:ascii="仿宋" w:hAnsi="仿宋" w:eastAsia="仿宋" w:cs="仿宋"/>
          <w:sz w:val="36"/>
          <w:szCs w:val="36"/>
          <w:lang w:val="en-US" w:eastAsia="zh-CN"/>
        </w:rPr>
        <w:t>一、单位主要职责</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_Toc27901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_Toc11519 </w:instrText>
      </w:r>
      <w:r>
        <w:rPr>
          <w:rFonts w:hint="eastAsia" w:ascii="仿宋" w:hAnsi="仿宋" w:eastAsia="仿宋" w:cs="仿宋"/>
          <w:sz w:val="36"/>
          <w:szCs w:val="36"/>
        </w:rPr>
        <w:fldChar w:fldCharType="separate"/>
      </w:r>
      <w:r>
        <w:rPr>
          <w:rFonts w:hint="eastAsia" w:ascii="仿宋" w:hAnsi="仿宋" w:eastAsia="仿宋" w:cs="仿宋"/>
          <w:sz w:val="36"/>
          <w:szCs w:val="36"/>
          <w:lang w:val="en-US" w:eastAsia="zh-CN"/>
        </w:rPr>
        <w:t>二、单位预算单位构成</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_Toc11519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_Toc2404 </w:instrText>
      </w:r>
      <w:r>
        <w:rPr>
          <w:rFonts w:hint="eastAsia" w:ascii="仿宋" w:hAnsi="仿宋" w:eastAsia="仿宋" w:cs="仿宋"/>
          <w:sz w:val="36"/>
          <w:szCs w:val="36"/>
        </w:rPr>
        <w:fldChar w:fldCharType="separate"/>
      </w:r>
      <w:r>
        <w:rPr>
          <w:rFonts w:hint="eastAsia" w:ascii="仿宋" w:hAnsi="仿宋" w:eastAsia="仿宋" w:cs="仿宋"/>
          <w:sz w:val="36"/>
          <w:szCs w:val="36"/>
          <w:lang w:val="en-US" w:eastAsia="zh-CN"/>
        </w:rPr>
        <w:t>三、单位主要工作任务</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_Toc2404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rPr>
          <w:rFonts w:hint="eastAsia" w:ascii="仿宋" w:hAnsi="仿宋" w:eastAsia="仿宋" w:cs="仿宋"/>
          <w:b/>
          <w:bCs/>
          <w:sz w:val="36"/>
          <w:szCs w:val="36"/>
        </w:rPr>
      </w:pP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_Toc21539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第二部分</w:t>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_Toc29840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lang w:val="en-US" w:eastAsia="zh-CN"/>
        </w:rPr>
        <w:t>2026</w:t>
      </w:r>
      <w:r>
        <w:rPr>
          <w:rFonts w:hint="eastAsia" w:ascii="仿宋" w:hAnsi="仿宋" w:eastAsia="仿宋" w:cs="仿宋"/>
          <w:b/>
          <w:bCs/>
          <w:sz w:val="36"/>
          <w:szCs w:val="36"/>
        </w:rPr>
        <w:t>年度</w:t>
      </w:r>
      <w:r>
        <w:rPr>
          <w:rFonts w:hint="eastAsia" w:ascii="仿宋" w:hAnsi="仿宋" w:eastAsia="仿宋" w:cs="仿宋"/>
          <w:b/>
          <w:bCs/>
          <w:sz w:val="36"/>
          <w:szCs w:val="36"/>
          <w:lang w:val="en-US" w:eastAsia="zh-CN"/>
        </w:rPr>
        <w:t>单位</w:t>
      </w:r>
      <w:r>
        <w:rPr>
          <w:rFonts w:hint="eastAsia" w:ascii="仿宋" w:hAnsi="仿宋" w:eastAsia="仿宋" w:cs="仿宋"/>
          <w:b/>
          <w:bCs/>
          <w:sz w:val="36"/>
          <w:szCs w:val="36"/>
        </w:rPr>
        <w:t>预算表</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_Toc29840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3</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_Toc28673 </w:instrText>
      </w:r>
      <w:r>
        <w:rPr>
          <w:rFonts w:hint="eastAsia" w:ascii="仿宋" w:hAnsi="仿宋" w:eastAsia="仿宋" w:cs="仿宋"/>
          <w:sz w:val="36"/>
          <w:szCs w:val="36"/>
        </w:rPr>
        <w:fldChar w:fldCharType="separate"/>
      </w:r>
      <w:r>
        <w:rPr>
          <w:rFonts w:hint="eastAsia" w:ascii="仿宋" w:hAnsi="仿宋" w:eastAsia="仿宋" w:cs="仿宋"/>
          <w:sz w:val="36"/>
          <w:szCs w:val="36"/>
        </w:rPr>
        <w:t>一、收支预算总表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_Toc28673 \h </w:instrText>
      </w:r>
      <w:r>
        <w:rPr>
          <w:rFonts w:hint="eastAsia" w:ascii="仿宋" w:hAnsi="仿宋" w:eastAsia="仿宋" w:cs="仿宋"/>
          <w:sz w:val="36"/>
          <w:szCs w:val="36"/>
        </w:rPr>
        <w:fldChar w:fldCharType="separate"/>
      </w:r>
      <w:r>
        <w:rPr>
          <w:rFonts w:hint="eastAsia" w:ascii="仿宋" w:hAnsi="仿宋" w:eastAsia="仿宋" w:cs="仿宋"/>
          <w:sz w:val="36"/>
          <w:szCs w:val="36"/>
        </w:rPr>
        <w:t>4</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_Toc2932 </w:instrText>
      </w:r>
      <w:r>
        <w:rPr>
          <w:rFonts w:hint="eastAsia" w:ascii="仿宋" w:hAnsi="仿宋" w:eastAsia="仿宋" w:cs="仿宋"/>
          <w:sz w:val="36"/>
          <w:szCs w:val="36"/>
        </w:rPr>
        <w:fldChar w:fldCharType="separate"/>
      </w:r>
      <w:r>
        <w:rPr>
          <w:rFonts w:hint="eastAsia" w:ascii="仿宋" w:hAnsi="仿宋" w:eastAsia="仿宋" w:cs="仿宋"/>
          <w:sz w:val="36"/>
          <w:szCs w:val="36"/>
        </w:rPr>
        <w:t>二、收入预算总表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_Toc2932 \h </w:instrText>
      </w:r>
      <w:r>
        <w:rPr>
          <w:rFonts w:hint="eastAsia" w:ascii="仿宋" w:hAnsi="仿宋" w:eastAsia="仿宋" w:cs="仿宋"/>
          <w:sz w:val="36"/>
          <w:szCs w:val="36"/>
        </w:rPr>
        <w:fldChar w:fldCharType="separate"/>
      </w:r>
      <w:r>
        <w:rPr>
          <w:rFonts w:hint="eastAsia" w:ascii="仿宋" w:hAnsi="仿宋" w:eastAsia="仿宋" w:cs="仿宋"/>
          <w:sz w:val="36"/>
          <w:szCs w:val="36"/>
        </w:rPr>
        <w:t>5</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_Toc25588 </w:instrText>
      </w:r>
      <w:r>
        <w:rPr>
          <w:rFonts w:hint="eastAsia" w:ascii="仿宋" w:hAnsi="仿宋" w:eastAsia="仿宋" w:cs="仿宋"/>
          <w:sz w:val="36"/>
          <w:szCs w:val="36"/>
        </w:rPr>
        <w:fldChar w:fldCharType="separate"/>
      </w:r>
      <w:r>
        <w:rPr>
          <w:rFonts w:hint="eastAsia" w:ascii="仿宋" w:hAnsi="仿宋" w:eastAsia="仿宋" w:cs="仿宋"/>
          <w:sz w:val="36"/>
          <w:szCs w:val="36"/>
        </w:rPr>
        <w:t>三、支出预算总表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_Toc25588 \h </w:instrText>
      </w:r>
      <w:r>
        <w:rPr>
          <w:rFonts w:hint="eastAsia" w:ascii="仿宋" w:hAnsi="仿宋" w:eastAsia="仿宋" w:cs="仿宋"/>
          <w:sz w:val="36"/>
          <w:szCs w:val="36"/>
        </w:rPr>
        <w:fldChar w:fldCharType="separate"/>
      </w:r>
      <w:r>
        <w:rPr>
          <w:rFonts w:hint="eastAsia" w:ascii="仿宋" w:hAnsi="仿宋" w:eastAsia="仿宋" w:cs="仿宋"/>
          <w:sz w:val="36"/>
          <w:szCs w:val="36"/>
        </w:rPr>
        <w:t>6</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_Toc7510 </w:instrText>
      </w:r>
      <w:r>
        <w:rPr>
          <w:rFonts w:hint="eastAsia" w:ascii="仿宋" w:hAnsi="仿宋" w:eastAsia="仿宋" w:cs="仿宋"/>
          <w:sz w:val="36"/>
          <w:szCs w:val="36"/>
        </w:rPr>
        <w:fldChar w:fldCharType="separate"/>
      </w:r>
      <w:r>
        <w:rPr>
          <w:rFonts w:hint="eastAsia" w:ascii="仿宋" w:hAnsi="仿宋" w:eastAsia="仿宋" w:cs="仿宋"/>
          <w:sz w:val="36"/>
          <w:szCs w:val="36"/>
        </w:rPr>
        <w:t>四、财政拨款收支预算总表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_Toc7510 \h </w:instrText>
      </w:r>
      <w:r>
        <w:rPr>
          <w:rFonts w:hint="eastAsia" w:ascii="仿宋" w:hAnsi="仿宋" w:eastAsia="仿宋" w:cs="仿宋"/>
          <w:sz w:val="36"/>
          <w:szCs w:val="36"/>
        </w:rPr>
        <w:fldChar w:fldCharType="separate"/>
      </w:r>
      <w:r>
        <w:rPr>
          <w:rFonts w:hint="eastAsia" w:ascii="仿宋" w:hAnsi="仿宋" w:eastAsia="仿宋" w:cs="仿宋"/>
          <w:sz w:val="36"/>
          <w:szCs w:val="36"/>
        </w:rPr>
        <w:t>7</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_Toc7741 </w:instrText>
      </w:r>
      <w:r>
        <w:rPr>
          <w:rFonts w:hint="eastAsia" w:ascii="仿宋" w:hAnsi="仿宋" w:eastAsia="仿宋" w:cs="仿宋"/>
          <w:sz w:val="36"/>
          <w:szCs w:val="36"/>
        </w:rPr>
        <w:fldChar w:fldCharType="separate"/>
      </w:r>
      <w:r>
        <w:rPr>
          <w:rFonts w:hint="eastAsia" w:ascii="仿宋" w:hAnsi="仿宋" w:eastAsia="仿宋" w:cs="仿宋"/>
          <w:sz w:val="36"/>
          <w:szCs w:val="36"/>
        </w:rPr>
        <w:t>五、一般公共预算拨款支出预算表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_Toc7741 \h </w:instrText>
      </w:r>
      <w:r>
        <w:rPr>
          <w:rFonts w:hint="eastAsia" w:ascii="仿宋" w:hAnsi="仿宋" w:eastAsia="仿宋" w:cs="仿宋"/>
          <w:sz w:val="36"/>
          <w:szCs w:val="36"/>
        </w:rPr>
        <w:fldChar w:fldCharType="separate"/>
      </w:r>
      <w:r>
        <w:rPr>
          <w:rFonts w:hint="eastAsia" w:ascii="仿宋" w:hAnsi="仿宋" w:eastAsia="仿宋" w:cs="仿宋"/>
          <w:sz w:val="36"/>
          <w:szCs w:val="36"/>
        </w:rPr>
        <w:t>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_Toc29528 </w:instrText>
      </w:r>
      <w:r>
        <w:rPr>
          <w:rFonts w:hint="eastAsia" w:ascii="仿宋" w:hAnsi="仿宋" w:eastAsia="仿宋" w:cs="仿宋"/>
          <w:sz w:val="36"/>
          <w:szCs w:val="36"/>
        </w:rPr>
        <w:fldChar w:fldCharType="separate"/>
      </w:r>
      <w:r>
        <w:rPr>
          <w:rFonts w:hint="eastAsia" w:ascii="仿宋" w:hAnsi="仿宋" w:eastAsia="仿宋" w:cs="仿宋"/>
          <w:sz w:val="36"/>
          <w:szCs w:val="36"/>
        </w:rPr>
        <w:t>六、政府性基金预算拨款支出预算表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_Toc29528 \h </w:instrText>
      </w:r>
      <w:r>
        <w:rPr>
          <w:rFonts w:hint="eastAsia" w:ascii="仿宋" w:hAnsi="仿宋" w:eastAsia="仿宋" w:cs="仿宋"/>
          <w:sz w:val="36"/>
          <w:szCs w:val="36"/>
        </w:rPr>
        <w:fldChar w:fldCharType="separate"/>
      </w:r>
      <w:r>
        <w:rPr>
          <w:rFonts w:hint="eastAsia" w:ascii="仿宋" w:hAnsi="仿宋" w:eastAsia="仿宋" w:cs="仿宋"/>
          <w:sz w:val="36"/>
          <w:szCs w:val="36"/>
        </w:rPr>
        <w:t>9</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_Toc4041 </w:instrText>
      </w:r>
      <w:r>
        <w:rPr>
          <w:rFonts w:hint="eastAsia" w:ascii="仿宋" w:hAnsi="仿宋" w:eastAsia="仿宋" w:cs="仿宋"/>
          <w:sz w:val="36"/>
          <w:szCs w:val="36"/>
        </w:rPr>
        <w:fldChar w:fldCharType="separate"/>
      </w:r>
      <w:r>
        <w:rPr>
          <w:rFonts w:hint="eastAsia" w:ascii="仿宋" w:hAnsi="仿宋" w:eastAsia="仿宋" w:cs="仿宋"/>
          <w:sz w:val="36"/>
          <w:szCs w:val="36"/>
        </w:rPr>
        <w:t>七、国有资本经营预算拨款支出预算表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_Toc4041 \h </w:instrText>
      </w:r>
      <w:r>
        <w:rPr>
          <w:rFonts w:hint="eastAsia" w:ascii="仿宋" w:hAnsi="仿宋" w:eastAsia="仿宋" w:cs="仿宋"/>
          <w:sz w:val="36"/>
          <w:szCs w:val="36"/>
        </w:rPr>
        <w:fldChar w:fldCharType="separate"/>
      </w:r>
      <w:r>
        <w:rPr>
          <w:rFonts w:hint="eastAsia" w:ascii="仿宋" w:hAnsi="仿宋" w:eastAsia="仿宋" w:cs="仿宋"/>
          <w:sz w:val="36"/>
          <w:szCs w:val="36"/>
        </w:rPr>
        <w:t>10</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_Toc15771 </w:instrText>
      </w:r>
      <w:r>
        <w:rPr>
          <w:rFonts w:hint="eastAsia" w:ascii="仿宋" w:hAnsi="仿宋" w:eastAsia="仿宋" w:cs="仿宋"/>
          <w:sz w:val="36"/>
          <w:szCs w:val="36"/>
        </w:rPr>
        <w:fldChar w:fldCharType="separate"/>
      </w:r>
      <w:r>
        <w:rPr>
          <w:rFonts w:hint="eastAsia" w:ascii="仿宋" w:hAnsi="仿宋" w:eastAsia="仿宋" w:cs="仿宋"/>
          <w:sz w:val="36"/>
          <w:szCs w:val="36"/>
          <w:lang w:val="en-US" w:eastAsia="zh-CN"/>
        </w:rPr>
        <w:t>八、一般公共预算支出经济分类情况表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_Toc15771 \h </w:instrText>
      </w:r>
      <w:r>
        <w:rPr>
          <w:rFonts w:hint="eastAsia" w:ascii="仿宋" w:hAnsi="仿宋" w:eastAsia="仿宋" w:cs="仿宋"/>
          <w:sz w:val="36"/>
          <w:szCs w:val="36"/>
        </w:rPr>
        <w:fldChar w:fldCharType="separate"/>
      </w:r>
      <w:r>
        <w:rPr>
          <w:rFonts w:hint="eastAsia" w:ascii="仿宋" w:hAnsi="仿宋" w:eastAsia="仿宋" w:cs="仿宋"/>
          <w:sz w:val="36"/>
          <w:szCs w:val="36"/>
        </w:rPr>
        <w:t>11</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_Toc26464 </w:instrText>
      </w:r>
      <w:r>
        <w:rPr>
          <w:rFonts w:hint="eastAsia" w:ascii="仿宋" w:hAnsi="仿宋" w:eastAsia="仿宋" w:cs="仿宋"/>
          <w:sz w:val="36"/>
          <w:szCs w:val="36"/>
        </w:rPr>
        <w:fldChar w:fldCharType="separate"/>
      </w:r>
      <w:r>
        <w:rPr>
          <w:rFonts w:hint="eastAsia" w:ascii="仿宋" w:hAnsi="仿宋" w:eastAsia="仿宋" w:cs="仿宋"/>
          <w:sz w:val="36"/>
          <w:szCs w:val="36"/>
        </w:rPr>
        <w:t>九、一般公共预算基本支出经济分类情况表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_Toc26464 \h </w:instrText>
      </w:r>
      <w:r>
        <w:rPr>
          <w:rFonts w:hint="eastAsia" w:ascii="仿宋" w:hAnsi="仿宋" w:eastAsia="仿宋" w:cs="仿宋"/>
          <w:sz w:val="36"/>
          <w:szCs w:val="36"/>
        </w:rPr>
        <w:fldChar w:fldCharType="separate"/>
      </w:r>
      <w:r>
        <w:rPr>
          <w:rFonts w:hint="eastAsia" w:ascii="仿宋" w:hAnsi="仿宋" w:eastAsia="仿宋" w:cs="仿宋"/>
          <w:sz w:val="36"/>
          <w:szCs w:val="36"/>
        </w:rPr>
        <w:t>12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_Toc23124 </w:instrText>
      </w:r>
      <w:r>
        <w:rPr>
          <w:rFonts w:hint="eastAsia" w:ascii="仿宋" w:hAnsi="仿宋" w:eastAsia="仿宋" w:cs="仿宋"/>
          <w:sz w:val="36"/>
          <w:szCs w:val="36"/>
        </w:rPr>
        <w:fldChar w:fldCharType="separate"/>
      </w:r>
      <w:r>
        <w:rPr>
          <w:rFonts w:hint="eastAsia" w:ascii="仿宋" w:hAnsi="仿宋" w:eastAsia="仿宋" w:cs="仿宋"/>
          <w:sz w:val="36"/>
          <w:szCs w:val="36"/>
        </w:rPr>
        <w:t>十、一般公共预算“三公”经费支出预算表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_Toc23124 \h </w:instrText>
      </w:r>
      <w:r>
        <w:rPr>
          <w:rFonts w:hint="eastAsia" w:ascii="仿宋" w:hAnsi="仿宋" w:eastAsia="仿宋" w:cs="仿宋"/>
          <w:sz w:val="36"/>
          <w:szCs w:val="36"/>
        </w:rPr>
        <w:fldChar w:fldCharType="separate"/>
      </w:r>
      <w:r>
        <w:rPr>
          <w:rFonts w:hint="eastAsia" w:ascii="仿宋" w:hAnsi="仿宋" w:eastAsia="仿宋" w:cs="仿宋"/>
          <w:sz w:val="36"/>
          <w:szCs w:val="36"/>
        </w:rPr>
        <w:t>13</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rPr>
          <w:rFonts w:hint="eastAsia" w:ascii="仿宋" w:hAnsi="仿宋" w:eastAsia="仿宋" w:cs="仿宋"/>
          <w:b/>
          <w:bCs/>
          <w:sz w:val="36"/>
          <w:szCs w:val="36"/>
        </w:rPr>
      </w:pP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_Toc21214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第三部分</w:t>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_Toc20090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lang w:val="en-US" w:eastAsia="zh-CN"/>
        </w:rPr>
        <w:t>2026</w:t>
      </w:r>
      <w:r>
        <w:rPr>
          <w:rFonts w:hint="eastAsia" w:ascii="仿宋" w:hAnsi="仿宋" w:eastAsia="仿宋" w:cs="仿宋"/>
          <w:b/>
          <w:bCs/>
          <w:sz w:val="36"/>
          <w:szCs w:val="36"/>
        </w:rPr>
        <w:t>年度</w:t>
      </w:r>
      <w:r>
        <w:rPr>
          <w:rFonts w:hint="eastAsia" w:ascii="仿宋" w:hAnsi="仿宋" w:eastAsia="仿宋" w:cs="仿宋"/>
          <w:b/>
          <w:bCs/>
          <w:sz w:val="36"/>
          <w:szCs w:val="36"/>
          <w:lang w:val="en-US" w:eastAsia="zh-CN"/>
        </w:rPr>
        <w:t>单位</w:t>
      </w:r>
      <w:r>
        <w:rPr>
          <w:rFonts w:hint="eastAsia" w:ascii="仿宋" w:hAnsi="仿宋" w:eastAsia="仿宋" w:cs="仿宋"/>
          <w:b/>
          <w:bCs/>
          <w:sz w:val="36"/>
          <w:szCs w:val="36"/>
        </w:rPr>
        <w:t>预算情况说明</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_Toc20090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14</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_Toc24491 </w:instrText>
      </w:r>
      <w:r>
        <w:rPr>
          <w:rFonts w:hint="eastAsia" w:ascii="仿宋" w:hAnsi="仿宋" w:eastAsia="仿宋" w:cs="仿宋"/>
          <w:sz w:val="36"/>
          <w:szCs w:val="36"/>
        </w:rPr>
        <w:fldChar w:fldCharType="separate"/>
      </w:r>
      <w:r>
        <w:rPr>
          <w:rFonts w:hint="eastAsia" w:ascii="仿宋" w:hAnsi="仿宋" w:eastAsia="仿宋" w:cs="仿宋"/>
          <w:sz w:val="36"/>
          <w:szCs w:val="36"/>
          <w:lang w:val="en-US" w:eastAsia="zh-CN"/>
        </w:rPr>
        <w:t>一、预算收支总体情况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_Toc24491 \h </w:instrText>
      </w:r>
      <w:r>
        <w:rPr>
          <w:rFonts w:hint="eastAsia" w:ascii="仿宋" w:hAnsi="仿宋" w:eastAsia="仿宋" w:cs="仿宋"/>
          <w:sz w:val="36"/>
          <w:szCs w:val="36"/>
        </w:rPr>
        <w:fldChar w:fldCharType="separate"/>
      </w:r>
      <w:r>
        <w:rPr>
          <w:rFonts w:hint="eastAsia" w:ascii="仿宋" w:hAnsi="仿宋" w:eastAsia="仿宋" w:cs="仿宋"/>
          <w:sz w:val="36"/>
          <w:szCs w:val="36"/>
        </w:rPr>
        <w:t>15</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_Toc17659 </w:instrText>
      </w:r>
      <w:r>
        <w:rPr>
          <w:rFonts w:hint="eastAsia" w:ascii="仿宋" w:hAnsi="仿宋" w:eastAsia="仿宋" w:cs="仿宋"/>
          <w:sz w:val="36"/>
          <w:szCs w:val="36"/>
        </w:rPr>
        <w:fldChar w:fldCharType="separate"/>
      </w:r>
      <w:r>
        <w:rPr>
          <w:rFonts w:hint="eastAsia" w:ascii="仿宋" w:hAnsi="仿宋" w:eastAsia="仿宋" w:cs="仿宋"/>
          <w:sz w:val="36"/>
          <w:szCs w:val="36"/>
          <w:lang w:val="en-US" w:eastAsia="zh-CN"/>
        </w:rPr>
        <w:t>二、一般公共预算拨款支出情况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_Toc17659 \h </w:instrText>
      </w:r>
      <w:r>
        <w:rPr>
          <w:rFonts w:hint="eastAsia" w:ascii="仿宋" w:hAnsi="仿宋" w:eastAsia="仿宋" w:cs="仿宋"/>
          <w:sz w:val="36"/>
          <w:szCs w:val="36"/>
        </w:rPr>
        <w:fldChar w:fldCharType="separate"/>
      </w:r>
      <w:r>
        <w:rPr>
          <w:rFonts w:hint="eastAsia" w:ascii="仿宋" w:hAnsi="仿宋" w:eastAsia="仿宋" w:cs="仿宋"/>
          <w:sz w:val="36"/>
          <w:szCs w:val="36"/>
        </w:rPr>
        <w:t>15</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_Toc7059 </w:instrText>
      </w:r>
      <w:r>
        <w:rPr>
          <w:rFonts w:hint="eastAsia" w:ascii="仿宋" w:hAnsi="仿宋" w:eastAsia="仿宋" w:cs="仿宋"/>
          <w:sz w:val="36"/>
          <w:szCs w:val="36"/>
        </w:rPr>
        <w:fldChar w:fldCharType="separate"/>
      </w:r>
      <w:r>
        <w:rPr>
          <w:rFonts w:hint="eastAsia" w:ascii="仿宋" w:hAnsi="仿宋" w:eastAsia="仿宋" w:cs="仿宋"/>
          <w:sz w:val="36"/>
          <w:szCs w:val="36"/>
          <w:lang w:val="en-US" w:eastAsia="zh-CN"/>
        </w:rPr>
        <w:t>三、政府性基金预算拨款支出情况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_Toc7059 \h </w:instrText>
      </w:r>
      <w:r>
        <w:rPr>
          <w:rFonts w:hint="eastAsia" w:ascii="仿宋" w:hAnsi="仿宋" w:eastAsia="仿宋" w:cs="仿宋"/>
          <w:sz w:val="36"/>
          <w:szCs w:val="36"/>
        </w:rPr>
        <w:fldChar w:fldCharType="separate"/>
      </w:r>
      <w:r>
        <w:rPr>
          <w:rFonts w:hint="eastAsia" w:ascii="仿宋" w:hAnsi="仿宋" w:eastAsia="仿宋" w:cs="仿宋"/>
          <w:sz w:val="36"/>
          <w:szCs w:val="36"/>
        </w:rPr>
        <w:t>15</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_Toc20641 </w:instrText>
      </w:r>
      <w:r>
        <w:rPr>
          <w:rFonts w:hint="eastAsia" w:ascii="仿宋" w:hAnsi="仿宋" w:eastAsia="仿宋" w:cs="仿宋"/>
          <w:sz w:val="36"/>
          <w:szCs w:val="36"/>
        </w:rPr>
        <w:fldChar w:fldCharType="separate"/>
      </w:r>
      <w:r>
        <w:rPr>
          <w:rFonts w:hint="eastAsia" w:ascii="仿宋" w:hAnsi="仿宋" w:eastAsia="仿宋" w:cs="仿宋"/>
          <w:sz w:val="36"/>
          <w:szCs w:val="36"/>
          <w:lang w:val="en-US" w:eastAsia="zh-CN"/>
        </w:rPr>
        <w:t>四、国有资本经营预算拨款支出情况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_Toc20641 \h </w:instrText>
      </w:r>
      <w:r>
        <w:rPr>
          <w:rFonts w:hint="eastAsia" w:ascii="仿宋" w:hAnsi="仿宋" w:eastAsia="仿宋" w:cs="仿宋"/>
          <w:sz w:val="36"/>
          <w:szCs w:val="36"/>
        </w:rPr>
        <w:fldChar w:fldCharType="separate"/>
      </w:r>
      <w:r>
        <w:rPr>
          <w:rFonts w:hint="eastAsia" w:ascii="仿宋" w:hAnsi="仿宋" w:eastAsia="仿宋" w:cs="仿宋"/>
          <w:sz w:val="36"/>
          <w:szCs w:val="36"/>
        </w:rPr>
        <w:t>16</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_Toc24996 </w:instrText>
      </w:r>
      <w:r>
        <w:rPr>
          <w:rFonts w:hint="eastAsia" w:ascii="仿宋" w:hAnsi="仿宋" w:eastAsia="仿宋" w:cs="仿宋"/>
          <w:sz w:val="36"/>
          <w:szCs w:val="36"/>
        </w:rPr>
        <w:fldChar w:fldCharType="separate"/>
      </w:r>
      <w:r>
        <w:rPr>
          <w:rFonts w:hint="eastAsia" w:ascii="仿宋" w:hAnsi="仿宋" w:eastAsia="仿宋" w:cs="仿宋"/>
          <w:sz w:val="36"/>
          <w:szCs w:val="36"/>
        </w:rPr>
        <w:t>五、一般公共预算基本支出情况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_Toc24996 \h </w:instrText>
      </w:r>
      <w:r>
        <w:rPr>
          <w:rFonts w:hint="eastAsia" w:ascii="仿宋" w:hAnsi="仿宋" w:eastAsia="仿宋" w:cs="仿宋"/>
          <w:sz w:val="36"/>
          <w:szCs w:val="36"/>
        </w:rPr>
        <w:fldChar w:fldCharType="separate"/>
      </w:r>
      <w:r>
        <w:rPr>
          <w:rFonts w:hint="eastAsia" w:ascii="仿宋" w:hAnsi="仿宋" w:eastAsia="仿宋" w:cs="仿宋"/>
          <w:sz w:val="36"/>
          <w:szCs w:val="36"/>
        </w:rPr>
        <w:t>16</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_Toc19976 </w:instrText>
      </w:r>
      <w:r>
        <w:rPr>
          <w:rFonts w:hint="eastAsia" w:ascii="仿宋" w:hAnsi="仿宋" w:eastAsia="仿宋" w:cs="仿宋"/>
          <w:sz w:val="36"/>
          <w:szCs w:val="36"/>
        </w:rPr>
        <w:fldChar w:fldCharType="separate"/>
      </w:r>
      <w:r>
        <w:rPr>
          <w:rFonts w:hint="eastAsia" w:ascii="仿宋" w:hAnsi="仿宋" w:eastAsia="仿宋" w:cs="仿宋"/>
          <w:sz w:val="36"/>
          <w:szCs w:val="36"/>
        </w:rPr>
        <w:t>六、一般公共预算“三公”经费支出情况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_Toc19976 \h </w:instrText>
      </w:r>
      <w:r>
        <w:rPr>
          <w:rFonts w:hint="eastAsia" w:ascii="仿宋" w:hAnsi="仿宋" w:eastAsia="仿宋" w:cs="仿宋"/>
          <w:sz w:val="36"/>
          <w:szCs w:val="36"/>
        </w:rPr>
        <w:fldChar w:fldCharType="separate"/>
      </w:r>
      <w:r>
        <w:rPr>
          <w:rFonts w:hint="eastAsia" w:ascii="仿宋" w:hAnsi="仿宋" w:eastAsia="仿宋" w:cs="仿宋"/>
          <w:sz w:val="36"/>
          <w:szCs w:val="36"/>
        </w:rPr>
        <w:t>17</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_Toc23234 </w:instrText>
      </w:r>
      <w:r>
        <w:rPr>
          <w:rFonts w:hint="eastAsia" w:ascii="仿宋" w:hAnsi="仿宋" w:eastAsia="仿宋" w:cs="仿宋"/>
          <w:sz w:val="36"/>
          <w:szCs w:val="36"/>
        </w:rPr>
        <w:fldChar w:fldCharType="separate"/>
      </w:r>
      <w:r>
        <w:rPr>
          <w:rFonts w:hint="eastAsia" w:ascii="仿宋" w:hAnsi="仿宋" w:eastAsia="仿宋" w:cs="仿宋"/>
          <w:sz w:val="36"/>
          <w:szCs w:val="36"/>
        </w:rPr>
        <w:t>七、预算绩效目标情况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_Toc23234 \h </w:instrText>
      </w:r>
      <w:r>
        <w:rPr>
          <w:rFonts w:hint="eastAsia" w:ascii="仿宋" w:hAnsi="仿宋" w:eastAsia="仿宋" w:cs="仿宋"/>
          <w:sz w:val="36"/>
          <w:szCs w:val="36"/>
        </w:rPr>
        <w:fldChar w:fldCharType="separate"/>
      </w:r>
      <w:r>
        <w:rPr>
          <w:rFonts w:hint="eastAsia" w:ascii="仿宋" w:hAnsi="仿宋" w:eastAsia="仿宋" w:cs="仿宋"/>
          <w:sz w:val="36"/>
          <w:szCs w:val="36"/>
        </w:rPr>
        <w:t>19</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_Toc28244 </w:instrText>
      </w:r>
      <w:r>
        <w:rPr>
          <w:rFonts w:hint="eastAsia" w:ascii="仿宋" w:hAnsi="仿宋" w:eastAsia="仿宋" w:cs="仿宋"/>
          <w:sz w:val="36"/>
          <w:szCs w:val="36"/>
        </w:rPr>
        <w:fldChar w:fldCharType="separate"/>
      </w:r>
      <w:r>
        <w:rPr>
          <w:rFonts w:hint="eastAsia" w:ascii="仿宋" w:hAnsi="仿宋" w:eastAsia="仿宋" w:cs="仿宋"/>
          <w:sz w:val="36"/>
          <w:szCs w:val="36"/>
        </w:rPr>
        <w:t>八、其他重要事项说明</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_Toc28244 \h </w:instrText>
      </w:r>
      <w:r>
        <w:rPr>
          <w:rFonts w:hint="eastAsia" w:ascii="仿宋" w:hAnsi="仿宋" w:eastAsia="仿宋" w:cs="仿宋"/>
          <w:sz w:val="36"/>
          <w:szCs w:val="36"/>
        </w:rPr>
        <w:fldChar w:fldCharType="separate"/>
      </w:r>
      <w:r>
        <w:rPr>
          <w:rFonts w:hint="eastAsia" w:ascii="仿宋" w:hAnsi="仿宋" w:eastAsia="仿宋" w:cs="仿宋"/>
          <w:sz w:val="36"/>
          <w:szCs w:val="36"/>
        </w:rPr>
        <w:t>20</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rPr>
          <w:rFonts w:hint="eastAsia" w:ascii="仿宋" w:hAnsi="仿宋" w:eastAsia="仿宋" w:cs="仿宋"/>
          <w:b/>
          <w:bCs/>
          <w:sz w:val="36"/>
          <w:szCs w:val="36"/>
        </w:rPr>
      </w:pP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_Toc14348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第四部分</w:t>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_Toc30858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lang w:eastAsia="zh-CN"/>
        </w:rPr>
        <w:t>名词解释</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_Toc30858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22</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pPr>
        <w:pStyle w:val="27"/>
        <w:spacing w:line="360" w:lineRule="auto"/>
        <w:sectPr>
          <w:footerReference r:id="rId5" w:type="default"/>
          <w:pgSz w:w="11906" w:h="16838"/>
          <w:pgMar w:top="1440" w:right="1800" w:bottom="1440" w:left="1800" w:header="851" w:footer="992" w:gutter="0"/>
          <w:pgNumType w:fmt="decimal" w:start="1"/>
          <w:cols w:space="720" w:num="1"/>
          <w:docGrid w:type="lines" w:linePitch="312" w:charSpace="0"/>
        </w:sectPr>
      </w:pPr>
      <w:r>
        <w:rPr>
          <w:rFonts w:hint="eastAsia" w:ascii="仿宋" w:hAnsi="仿宋" w:eastAsia="仿宋" w:cs="仿宋"/>
          <w:szCs w:val="36"/>
        </w:rPr>
        <w:fldChar w:fldCharType="end"/>
      </w:r>
    </w:p>
    <w:p>
      <w:pPr>
        <w:autoSpaceDE w:val="0"/>
        <w:autoSpaceDN w:val="0"/>
        <w:jc w:val="left"/>
        <w:rPr>
          <w:rFonts w:hint="eastAsia" w:asciiTheme="minorEastAsia" w:hAnsiTheme="minorEastAsia" w:eastAsiaTheme="minorEastAsia" w:cstheme="minorEastAsia"/>
          <w:bCs/>
          <w:sz w:val="21"/>
          <w:szCs w:val="21"/>
          <w:lang w:val="en-US" w:eastAsia="zh-CN"/>
        </w:rPr>
      </w:pPr>
    </w:p>
    <w:p>
      <w:pPr>
        <w:widowControl/>
        <w:jc w:val="center"/>
        <w:rPr>
          <w:rFonts w:ascii="黑体" w:hAnsi="黑体" w:eastAsia="黑体" w:cs="Times New Roman"/>
          <w:kern w:val="0"/>
          <w:sz w:val="36"/>
          <w:szCs w:val="36"/>
        </w:rPr>
      </w:pPr>
    </w:p>
    <w:p>
      <w:pPr>
        <w:widowControl/>
        <w:jc w:val="center"/>
        <w:rPr>
          <w:rFonts w:ascii="黑体" w:hAnsi="黑体" w:eastAsia="黑体" w:cs="Times New Roman"/>
          <w:kern w:val="0"/>
          <w:sz w:val="36"/>
          <w:szCs w:val="36"/>
        </w:rPr>
      </w:pPr>
    </w:p>
    <w:p>
      <w:pPr>
        <w:widowControl/>
        <w:jc w:val="both"/>
        <w:rPr>
          <w:rFonts w:ascii="黑体" w:hAnsi="黑体" w:eastAsia="黑体" w:cs="Times New Roman"/>
          <w:kern w:val="0"/>
          <w:sz w:val="36"/>
          <w:szCs w:val="36"/>
        </w:rPr>
      </w:pPr>
    </w:p>
    <w:p>
      <w:pPr>
        <w:widowControl/>
        <w:jc w:val="center"/>
        <w:rPr>
          <w:rFonts w:ascii="黑体" w:hAnsi="黑体" w:eastAsia="黑体" w:cs="Times New Roman"/>
          <w:kern w:val="0"/>
          <w:sz w:val="36"/>
          <w:szCs w:val="36"/>
        </w:rPr>
      </w:pPr>
    </w:p>
    <w:p>
      <w:pPr>
        <w:widowControl/>
        <w:jc w:val="center"/>
        <w:rPr>
          <w:rFonts w:ascii="黑体" w:hAnsi="黑体" w:eastAsia="黑体" w:cs="Times New Roman"/>
          <w:kern w:val="0"/>
          <w:sz w:val="36"/>
          <w:szCs w:val="36"/>
        </w:rPr>
      </w:pPr>
    </w:p>
    <w:p>
      <w:pPr>
        <w:widowControl/>
        <w:jc w:val="left"/>
        <w:rPr>
          <w:rFonts w:ascii="黑体" w:hAnsi="黑体" w:eastAsia="黑体" w:cs="Times New Roman"/>
          <w:kern w:val="0"/>
          <w:sz w:val="36"/>
          <w:szCs w:val="36"/>
        </w:rPr>
      </w:pPr>
    </w:p>
    <w:p>
      <w:pPr>
        <w:pStyle w:val="3"/>
        <w:keepNext w:val="0"/>
        <w:keepLines w:val="0"/>
        <w:pageBreakBefore w:val="0"/>
        <w:widowControl w:val="0"/>
        <w:kinsoku/>
        <w:wordWrap/>
        <w:overflowPunct/>
        <w:topLinePunct w:val="0"/>
        <w:autoSpaceDE/>
        <w:autoSpaceDN/>
        <w:bidi w:val="0"/>
        <w:adjustRightInd/>
        <w:snapToGrid/>
        <w:spacing w:after="320" w:line="360" w:lineRule="auto"/>
        <w:jc w:val="left"/>
        <w:textAlignment w:val="auto"/>
        <w:rPr>
          <w:rStyle w:val="12"/>
          <w:rFonts w:hint="eastAsia" w:ascii="黑体" w:hAnsi="黑体" w:eastAsia="黑体" w:cs="黑体"/>
          <w:b w:val="0"/>
          <w:bCs/>
          <w:kern w:val="44"/>
          <w:sz w:val="56"/>
          <w:szCs w:val="56"/>
          <w:lang w:val="en-US" w:eastAsia="zh-CN"/>
        </w:rPr>
      </w:pPr>
      <w:bookmarkStart w:id="0" w:name="_Toc14214"/>
      <w:r>
        <w:rPr>
          <w:rStyle w:val="12"/>
          <w:rFonts w:hint="eastAsia"/>
          <w:b w:val="0"/>
          <w:bCs/>
          <w:kern w:val="44"/>
          <w:sz w:val="56"/>
          <w:szCs w:val="56"/>
        </w:rPr>
        <w:t>第一部分</w:t>
      </w:r>
    </w:p>
    <w:p>
      <w:pPr>
        <w:pStyle w:val="2"/>
        <w:pageBreakBefore w:val="0"/>
        <w:widowControl w:val="0"/>
        <w:kinsoku/>
        <w:wordWrap/>
        <w:overflowPunct/>
        <w:topLinePunct w:val="0"/>
        <w:autoSpaceDE/>
        <w:autoSpaceDN/>
        <w:bidi w:val="0"/>
        <w:adjustRightInd/>
        <w:snapToGrid/>
        <w:spacing w:after="320" w:line="360" w:lineRule="auto"/>
        <w:jc w:val="center"/>
        <w:textAlignment w:val="auto"/>
        <w:rPr>
          <w:rFonts w:hint="eastAsia" w:ascii="黑体" w:hAnsi="黑体" w:eastAsia="黑体" w:cs="黑体"/>
          <w:b w:val="0"/>
          <w:bCs/>
          <w:sz w:val="56"/>
          <w:szCs w:val="56"/>
        </w:rPr>
      </w:pPr>
      <w:bookmarkStart w:id="1" w:name="_Toc24360"/>
      <w:r>
        <w:rPr>
          <w:rFonts w:hint="eastAsia" w:ascii="黑体" w:hAnsi="黑体" w:eastAsia="黑体" w:cs="黑体"/>
          <w:b w:val="0"/>
          <w:bCs/>
          <w:kern w:val="44"/>
          <w:sz w:val="56"/>
          <w:szCs w:val="56"/>
          <w:lang w:val="en-US" w:eastAsia="zh-CN"/>
        </w:rPr>
        <w:t>单位</w:t>
      </w:r>
      <w:r>
        <w:rPr>
          <w:rFonts w:hint="eastAsia" w:ascii="黑体" w:hAnsi="黑体" w:eastAsia="黑体" w:cs="黑体"/>
          <w:b w:val="0"/>
          <w:bCs/>
          <w:kern w:val="44"/>
          <w:sz w:val="56"/>
          <w:szCs w:val="56"/>
        </w:rPr>
        <w:t>概况</w:t>
      </w:r>
      <w:bookmarkEnd w:id="1"/>
    </w:p>
    <w:p>
      <w:pPr>
        <w:widowControl/>
        <w:jc w:val="left"/>
        <w:rPr>
          <w:rFonts w:ascii="黑体" w:hAnsi="黑体" w:eastAsia="黑体" w:cs="Times New Roman"/>
          <w:kern w:val="0"/>
          <w:sz w:val="36"/>
          <w:szCs w:val="36"/>
        </w:rPr>
      </w:pPr>
    </w:p>
    <w:p>
      <w:pPr>
        <w:widowControl/>
        <w:jc w:val="left"/>
        <w:rPr>
          <w:rFonts w:ascii="黑体" w:hAnsi="黑体" w:eastAsia="黑体" w:cs="Times New Roman"/>
          <w:kern w:val="0"/>
          <w:sz w:val="36"/>
          <w:szCs w:val="36"/>
        </w:rPr>
        <w:sectPr>
          <w:footerReference r:id="rId6" w:type="default"/>
          <w:pgSz w:w="11906" w:h="16838"/>
          <w:pgMar w:top="1440" w:right="1800" w:bottom="1440" w:left="1800" w:header="851" w:footer="992" w:gutter="0"/>
          <w:pgNumType w:fmt="decimal" w:start="1"/>
          <w:cols w:space="720" w:num="1"/>
          <w:docGrid w:type="lines" w:linePitch="312" w:charSpace="0"/>
        </w:sectPr>
      </w:pPr>
    </w:p>
    <w:p>
      <w:pPr>
        <w:pStyle w:val="2"/>
        <w:spacing w:before="0" w:after="0"/>
        <w:rPr>
          <w:rFonts w:hint="eastAsia" w:ascii="黑体" w:hAnsi="黑体" w:eastAsia="黑体" w:cs="黑体"/>
          <w:b w:val="0"/>
          <w:bCs/>
          <w:lang w:val="en-US" w:eastAsia="zh-CN"/>
        </w:rPr>
      </w:pPr>
      <w:bookmarkStart w:id="2" w:name="_Toc27901"/>
      <w:r>
        <w:rPr>
          <w:rFonts w:hint="eastAsia"/>
          <w:b w:val="0"/>
          <w:bCs/>
          <w:lang w:val="en-US" w:eastAsia="zh-CN"/>
        </w:rPr>
        <w:t>一、单位主要职责</w:t>
      </w:r>
      <w:bookmarkEnd w:id="2"/>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
          <w:sz w:val="32"/>
          <w:lang w:val="en-US" w:eastAsia="zh-CN"/>
        </w:rPr>
        <w:t>上杭县文化馆</w:t>
      </w:r>
      <w:r>
        <w:rPr>
          <w:rFonts w:ascii="仿宋" w:hAnsi="仿宋" w:eastAsia="仿宋" w:cs="仿宋"/>
          <w:sz w:val="32"/>
        </w:rPr>
        <w:t>的主要职责是：</w:t>
      </w:r>
      <w:r>
        <w:rPr>
          <w:rFonts w:hint="eastAsia" w:ascii="仿宋" w:hAnsi="仿宋" w:eastAsia="仿宋" w:cs="仿宋"/>
          <w:sz w:val="32"/>
          <w:lang w:val="en-US" w:eastAsia="zh-CN"/>
        </w:rPr>
        <w:t>加强文化惠民，加快构建现代公共文化服务体系，紧密结合我县群众文化工作的实际，开展丰富多彩的群众文化活动，加强文艺骨干培训，文艺成果展览展示，加大非物质文化遗产保护力度，积极组织开展各项活动。</w:t>
      </w:r>
      <w:r>
        <w:rPr>
          <w:rFonts w:hint="eastAsia" w:ascii="仿宋" w:hAnsi="仿宋" w:eastAsia="仿宋" w:cs="仿宋"/>
          <w:sz w:val="32"/>
          <w:lang w:val="en-US" w:eastAsia="zh-CN"/>
        </w:rPr>
        <w:cr/>
      </w:r>
      <w:r>
        <w:rPr>
          <w:rFonts w:hint="eastAsia" w:ascii="仿宋" w:hAnsi="仿宋" w:eastAsia="仿宋" w:cs="仿宋"/>
          <w:sz w:val="32"/>
          <w:lang w:val="en-US" w:eastAsia="zh-CN"/>
        </w:rPr>
        <w:tab/>
        <w:t>（一）负责宣传国家文化方针、政策和法令，开展文化科学知识的普及宣传。</w:t>
      </w:r>
      <w:r>
        <w:rPr>
          <w:rFonts w:hint="eastAsia" w:ascii="仿宋" w:hAnsi="仿宋" w:eastAsia="仿宋" w:cs="仿宋"/>
          <w:sz w:val="32"/>
          <w:lang w:val="en-US" w:eastAsia="zh-CN"/>
        </w:rPr>
        <w:cr/>
      </w:r>
      <w:r>
        <w:rPr>
          <w:rFonts w:hint="eastAsia" w:ascii="仿宋" w:hAnsi="仿宋" w:eastAsia="仿宋" w:cs="仿宋"/>
          <w:sz w:val="32"/>
          <w:lang w:val="en-US" w:eastAsia="zh-CN"/>
        </w:rPr>
        <w:tab/>
        <w:t>（二）组织开展健康有益、积极向上、丰富多彩的群众文化系列活动及举办各类艺术展览活动和文化下乡活动。</w:t>
      </w:r>
      <w:r>
        <w:rPr>
          <w:rFonts w:hint="eastAsia" w:ascii="仿宋" w:hAnsi="仿宋" w:eastAsia="仿宋" w:cs="仿宋"/>
          <w:sz w:val="32"/>
          <w:lang w:val="en-US" w:eastAsia="zh-CN"/>
        </w:rPr>
        <w:cr/>
      </w:r>
      <w:r>
        <w:rPr>
          <w:rFonts w:hint="eastAsia" w:ascii="仿宋" w:hAnsi="仿宋" w:eastAsia="仿宋" w:cs="仿宋"/>
          <w:sz w:val="32"/>
          <w:lang w:val="en-US" w:eastAsia="zh-CN"/>
        </w:rPr>
        <w:tab/>
        <w:t>（三）繁荣群众业余文化艺术活动，培训各种文化艺术人才，建立、健全群众文化艺术档案。</w:t>
      </w:r>
      <w:r>
        <w:rPr>
          <w:rFonts w:hint="eastAsia" w:ascii="仿宋" w:hAnsi="仿宋" w:eastAsia="仿宋" w:cs="仿宋"/>
          <w:sz w:val="32"/>
          <w:lang w:val="en-US" w:eastAsia="zh-CN"/>
        </w:rPr>
        <w:cr/>
      </w:r>
      <w:r>
        <w:rPr>
          <w:rFonts w:hint="eastAsia" w:ascii="仿宋" w:hAnsi="仿宋" w:eastAsia="仿宋" w:cs="仿宋"/>
          <w:sz w:val="32"/>
          <w:lang w:val="en-US" w:eastAsia="zh-CN"/>
        </w:rPr>
        <w:tab/>
        <w:t>（四）组织全区业余文艺爱好者积极开展社区、广场、企业、校园、乡村等各种群众文化演出活动。</w:t>
      </w:r>
      <w:r>
        <w:rPr>
          <w:rFonts w:hint="eastAsia" w:ascii="仿宋" w:hAnsi="仿宋" w:eastAsia="仿宋" w:cs="仿宋"/>
          <w:sz w:val="32"/>
          <w:lang w:val="en-US" w:eastAsia="zh-CN"/>
        </w:rPr>
        <w:cr/>
      </w:r>
      <w:r>
        <w:rPr>
          <w:rFonts w:hint="eastAsia" w:ascii="仿宋" w:hAnsi="仿宋" w:eastAsia="仿宋" w:cs="仿宋"/>
          <w:sz w:val="32"/>
          <w:lang w:val="en-US" w:eastAsia="zh-CN"/>
        </w:rPr>
        <w:tab/>
        <w:t>（五）组织音乐、舞蹈、美术、书法、小品、摄影灯各种群众文化艺术门类的创作；创作贴实际、贴近群众、贴近生活的优秀文艺作品，使文化馆成为吸引并满足群众求知、求乐、求美得文化艺术活动中心。</w:t>
      </w:r>
      <w:r>
        <w:rPr>
          <w:rFonts w:hint="eastAsia" w:ascii="仿宋" w:hAnsi="仿宋" w:eastAsia="仿宋" w:cs="仿宋"/>
          <w:sz w:val="32"/>
          <w:lang w:val="en-US" w:eastAsia="zh-CN"/>
        </w:rPr>
        <w:cr/>
      </w:r>
      <w:r>
        <w:rPr>
          <w:rFonts w:hint="eastAsia" w:ascii="仿宋" w:hAnsi="仿宋" w:eastAsia="仿宋" w:cs="仿宋"/>
          <w:sz w:val="32"/>
          <w:lang w:val="en-US" w:eastAsia="zh-CN"/>
        </w:rPr>
        <w:tab/>
        <w:t>（六）辅导文化站和各基层业余文化组织开展相关业务。</w:t>
      </w:r>
      <w:r>
        <w:rPr>
          <w:rFonts w:hint="eastAsia" w:ascii="仿宋" w:hAnsi="仿宋" w:eastAsia="仿宋" w:cs="仿宋"/>
          <w:sz w:val="32"/>
          <w:lang w:val="en-US" w:eastAsia="zh-CN"/>
        </w:rPr>
        <w:cr/>
      </w:r>
      <w:r>
        <w:rPr>
          <w:rFonts w:hint="eastAsia" w:ascii="仿宋" w:hAnsi="仿宋" w:eastAsia="仿宋" w:cs="仿宋"/>
          <w:sz w:val="32"/>
          <w:lang w:val="en-US" w:eastAsia="zh-CN"/>
        </w:rPr>
        <w:tab/>
        <w:t>（七）负责区域文物保护与管理，收集、整理、保护民族民间文艺遗产资料。</w:t>
      </w:r>
      <w:r>
        <w:rPr>
          <w:rFonts w:hint="eastAsia" w:ascii="仿宋" w:hAnsi="仿宋" w:eastAsia="仿宋" w:cs="仿宋"/>
          <w:sz w:val="32"/>
          <w:lang w:val="en-US" w:eastAsia="zh-CN"/>
        </w:rPr>
        <w:cr/>
      </w:r>
      <w:r>
        <w:rPr>
          <w:rFonts w:hint="eastAsia" w:ascii="仿宋" w:hAnsi="仿宋" w:eastAsia="仿宋" w:cs="仿宋"/>
          <w:sz w:val="32"/>
          <w:lang w:val="en-US" w:eastAsia="zh-CN"/>
        </w:rPr>
        <w:tab/>
        <w:t>（八）完成主管部门交办的其他工作任务。</w:t>
      </w:r>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420" w:firstLineChars="200"/>
        <w:textAlignment w:val="auto"/>
        <w:rPr>
          <w:rFonts w:hint="eastAsia"/>
          <w:b w:val="0"/>
          <w:bCs/>
          <w:lang w:val="en-US" w:eastAsia="zh-CN"/>
        </w:rPr>
      </w:pPr>
    </w:p>
    <w:p>
      <w:pPr>
        <w:pStyle w:val="2"/>
        <w:spacing w:before="0" w:after="0"/>
        <w:rPr>
          <w:rFonts w:hint="eastAsia" w:ascii="黑体" w:hAnsi="黑体" w:eastAsia="黑体" w:cs="黑体"/>
          <w:b w:val="0"/>
          <w:bCs/>
          <w:lang w:val="en-US" w:eastAsia="zh-CN"/>
        </w:rPr>
      </w:pPr>
      <w:bookmarkStart w:id="3" w:name="_Toc11519"/>
      <w:r>
        <w:rPr>
          <w:rFonts w:hint="eastAsia"/>
          <w:b w:val="0"/>
          <w:bCs/>
          <w:lang w:val="en-US" w:eastAsia="zh-CN"/>
        </w:rPr>
        <w:t>二、单位预算单位构成</w:t>
      </w:r>
      <w:bookmarkEnd w:id="3"/>
    </w:p>
    <w:p>
      <w:pPr>
        <w:keepNext w:val="0"/>
        <w:keepLines w:val="0"/>
        <w:pageBreakBefore w:val="0"/>
        <w:widowControl w:val="0"/>
        <w:tabs>
          <w:tab w:val="left" w:pos="7513"/>
        </w:tabs>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lang w:eastAsia="zh-CN"/>
        </w:rPr>
      </w:pPr>
      <w:r>
        <w:rPr>
          <w:rFonts w:ascii="仿宋" w:hAnsi="仿宋" w:eastAsia="仿宋" w:cs="仿宋"/>
          <w:sz w:val="32"/>
        </w:rPr>
        <w:t>从预算单位构成看，</w:t>
      </w:r>
      <w:r>
        <w:rPr>
          <w:rFonts w:hint="eastAsia" w:ascii="仿宋" w:hAnsi="仿宋" w:eastAsia="仿宋" w:cs="仿宋_GB2312"/>
          <w:sz w:val="32"/>
          <w:szCs w:val="32"/>
          <w:lang w:val="en-US" w:eastAsia="zh-CN"/>
        </w:rPr>
        <w:t>上杭县文化馆</w:t>
      </w:r>
      <w:r>
        <w:rPr>
          <w:rFonts w:hint="eastAsia" w:ascii="仿宋" w:hAnsi="仿宋" w:eastAsia="仿宋"/>
          <w:sz w:val="32"/>
          <w:szCs w:val="32"/>
          <w:highlight w:val="none"/>
        </w:rPr>
        <w:t>单位</w:t>
      </w:r>
      <w:r>
        <w:rPr>
          <w:rFonts w:hint="eastAsia" w:ascii="仿宋" w:hAnsi="仿宋" w:eastAsia="仿宋"/>
          <w:sz w:val="32"/>
          <w:szCs w:val="32"/>
        </w:rPr>
        <w:t>包括</w:t>
      </w:r>
      <w:r>
        <w:rPr>
          <w:rFonts w:hint="eastAsia" w:ascii="仿宋" w:hAnsi="仿宋" w:eastAsia="仿宋" w:cs="仿宋_GB2312"/>
          <w:sz w:val="32"/>
          <w:szCs w:val="32"/>
          <w:lang w:val="en-US" w:eastAsia="zh-CN"/>
        </w:rPr>
        <w:t>1</w:t>
      </w:r>
      <w:r>
        <w:rPr>
          <w:rFonts w:hint="eastAsia" w:ascii="仿宋" w:hAnsi="仿宋" w:eastAsia="仿宋"/>
          <w:sz w:val="32"/>
          <w:szCs w:val="32"/>
        </w:rPr>
        <w:t>个机关行政处（科、股）室</w:t>
      </w:r>
      <w:r>
        <w:rPr>
          <w:rFonts w:hint="eastAsia" w:ascii="仿宋" w:hAnsi="仿宋" w:eastAsia="仿宋"/>
          <w:sz w:val="32"/>
          <w:szCs w:val="32"/>
          <w:highlight w:val="none"/>
        </w:rPr>
        <w:t>，</w:t>
      </w:r>
      <w:r>
        <w:rPr>
          <w:rFonts w:ascii="仿宋" w:hAnsi="仿宋" w:eastAsia="仿宋" w:cs="仿宋"/>
          <w:sz w:val="32"/>
        </w:rPr>
        <w:t>其中：列入</w:t>
      </w:r>
      <w:r>
        <w:rPr>
          <w:rFonts w:hint="eastAsia" w:ascii="仿宋" w:hAnsi="仿宋" w:eastAsia="仿宋" w:cs="仿宋"/>
          <w:sz w:val="32"/>
          <w:lang w:eastAsia="zh-CN"/>
        </w:rPr>
        <w:t>2026</w:t>
      </w:r>
      <w:r>
        <w:rPr>
          <w:rFonts w:ascii="仿宋" w:hAnsi="仿宋" w:eastAsia="仿宋" w:cs="仿宋"/>
          <w:sz w:val="32"/>
        </w:rPr>
        <w:t>年</w:t>
      </w:r>
      <w:r>
        <w:rPr>
          <w:rFonts w:hint="eastAsia" w:ascii="仿宋" w:hAnsi="仿宋" w:eastAsia="仿宋"/>
          <w:sz w:val="32"/>
          <w:szCs w:val="32"/>
          <w:highlight w:val="none"/>
        </w:rPr>
        <w:t>单位</w:t>
      </w:r>
      <w:r>
        <w:rPr>
          <w:rFonts w:ascii="仿宋" w:hAnsi="仿宋" w:eastAsia="仿宋" w:cs="仿宋"/>
          <w:sz w:val="32"/>
        </w:rPr>
        <w:t>预算编制范围的单位详细情况见下表</w:t>
      </w:r>
      <w:r>
        <w:rPr>
          <w:rFonts w:hint="eastAsia" w:ascii="仿宋" w:hAnsi="仿宋" w:eastAsia="仿宋"/>
          <w:sz w:val="32"/>
          <w:szCs w:val="32"/>
          <w:lang w:eastAsia="zh-CN"/>
        </w:rPr>
        <w:t>：</w:t>
      </w:r>
    </w:p>
    <w:tbl>
      <w:tblPr>
        <w:tblStyle w:val="9"/>
        <w:tblW w:w="85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4"/>
        <w:gridCol w:w="4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4114" w:type="dxa"/>
            <w:vAlign w:val="center"/>
          </w:tcPr>
          <w:p>
            <w:pPr>
              <w:bidi w:val="0"/>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序号</w:t>
            </w:r>
          </w:p>
        </w:tc>
        <w:tc>
          <w:tcPr>
            <w:tcW w:w="4387" w:type="dxa"/>
            <w:vAlign w:val="center"/>
          </w:tcPr>
          <w:p>
            <w:pPr>
              <w:bidi w:val="0"/>
              <w:jc w:val="center"/>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4114" w:type="dxa"/>
            <w:shd w:val="clear" w:color="auto" w:fill="auto"/>
            <w:vAlign w:val="center"/>
          </w:tcPr>
          <w:p>
            <w:pPr>
              <w:jc w:val="center"/>
            </w:pPr>
            <w:r>
              <w:rPr>
                <w:rFonts w:ascii="仿宋" w:hAnsi="仿宋" w:eastAsia="仿宋" w:cs="仿宋"/>
                <w:sz w:val="32"/>
              </w:rPr>
              <w:t>1</w:t>
            </w:r>
          </w:p>
        </w:tc>
        <w:tc>
          <w:tcPr>
            <w:tcW w:w="4387" w:type="dxa"/>
            <w:shd w:val="clear" w:color="auto" w:fill="auto"/>
            <w:vAlign w:val="center"/>
          </w:tcPr>
          <w:p>
            <w:pPr>
              <w:bidi w:val="0"/>
              <w:jc w:val="center"/>
              <w:rPr>
                <w:rFonts w:hint="eastAsia" w:ascii="仿宋" w:hAnsi="仿宋" w:eastAsia="仿宋" w:cs="仿宋"/>
                <w:kern w:val="2"/>
                <w:sz w:val="32"/>
                <w:szCs w:val="32"/>
                <w:vertAlign w:val="baseline"/>
                <w:lang w:val="en-US" w:eastAsia="zh-CN" w:bidi="ar-SA"/>
              </w:rPr>
            </w:pPr>
            <w:r>
              <w:rPr>
                <w:rFonts w:hint="eastAsia" w:ascii="仿宋" w:hAnsi="仿宋" w:eastAsia="仿宋" w:cs="仿宋"/>
                <w:sz w:val="32"/>
                <w:szCs w:val="32"/>
                <w:vertAlign w:val="baseline"/>
                <w:lang w:val="en-US" w:eastAsia="zh-CN"/>
              </w:rPr>
              <w:t>上杭县文化馆</w:t>
            </w:r>
          </w:p>
        </w:tc>
      </w:tr>
    </w:tbl>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_GB2312"/>
          <w:sz w:val="32"/>
          <w:szCs w:val="32"/>
          <w:lang w:val="en-US" w:eastAsia="zh-CN"/>
        </w:rPr>
      </w:pPr>
    </w:p>
    <w:p>
      <w:pPr>
        <w:pStyle w:val="2"/>
        <w:spacing w:before="0" w:after="0"/>
        <w:rPr>
          <w:rFonts w:hint="eastAsia"/>
          <w:b w:val="0"/>
          <w:bCs/>
          <w:lang w:val="en-US" w:eastAsia="zh-CN"/>
        </w:rPr>
      </w:pPr>
      <w:bookmarkStart w:id="4" w:name="_Toc2404"/>
      <w:r>
        <w:rPr>
          <w:rFonts w:hint="eastAsia"/>
          <w:b w:val="0"/>
          <w:bCs/>
          <w:lang w:val="en-US" w:eastAsia="zh-CN"/>
        </w:rPr>
        <w:t>三、单位主要工作任务</w:t>
      </w:r>
      <w:bookmarkEnd w:id="4"/>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仿宋" w:hAnsi="仿宋" w:eastAsia="仿宋" w:cs="仿宋_GB2312"/>
          <w:sz w:val="32"/>
          <w:szCs w:val="32"/>
          <w:highlight w:val="none"/>
          <w:lang w:val="en-US" w:eastAsia="zh-CN"/>
        </w:rPr>
        <w:t>2026</w:t>
      </w:r>
      <w:r>
        <w:rPr>
          <w:rFonts w:hint="eastAsia" w:ascii="仿宋" w:hAnsi="仿宋" w:eastAsia="仿宋"/>
          <w:sz w:val="32"/>
          <w:szCs w:val="32"/>
          <w:highlight w:val="none"/>
        </w:rPr>
        <w:t>年，</w:t>
      </w:r>
      <w:r>
        <w:rPr>
          <w:rFonts w:hint="eastAsia" w:ascii="仿宋" w:hAnsi="仿宋" w:eastAsia="仿宋"/>
          <w:sz w:val="32"/>
          <w:szCs w:val="32"/>
          <w:lang w:val="en-US" w:eastAsia="zh-CN"/>
        </w:rPr>
        <w:t>上杭县文化馆</w:t>
      </w:r>
      <w:r>
        <w:rPr>
          <w:rFonts w:ascii="仿宋" w:hAnsi="仿宋" w:eastAsia="仿宋"/>
          <w:sz w:val="32"/>
          <w:u w:color="auto"/>
        </w:rPr>
        <w:t>单位</w:t>
      </w:r>
      <w:r>
        <w:rPr>
          <w:rFonts w:ascii="仿宋" w:hAnsi="仿宋" w:eastAsia="仿宋"/>
          <w:sz w:val="32"/>
          <w:u w:val="none" w:color="auto"/>
        </w:rPr>
        <w:t>主要任务是：</w:t>
      </w:r>
      <w:r>
        <w:rPr>
          <w:rFonts w:hint="eastAsia" w:ascii="仿宋" w:hAnsi="仿宋" w:eastAsia="仿宋"/>
          <w:sz w:val="32"/>
          <w:szCs w:val="32"/>
          <w:lang w:val="en-US" w:eastAsia="zh-CN"/>
        </w:rPr>
        <w:t>在县委、县政府，县委宣传部和县文化体育和旅游局的正确领导下, 加强文化惠民，加快构建现代公共文化服务体系，紧密结合我县群众文化工作的实际，开展丰富多彩的群众文化活动，加强文艺骨干培训，文艺成果展览展示，加大非物质文化遗产保护力度。围绕上述任务，重点抓好以下工作：</w:t>
      </w:r>
      <w:r>
        <w:rPr>
          <w:rFonts w:hint="eastAsia" w:ascii="仿宋" w:hAnsi="仿宋" w:eastAsia="仿宋"/>
          <w:sz w:val="32"/>
          <w:szCs w:val="32"/>
          <w:lang w:val="en-US" w:eastAsia="zh-CN"/>
        </w:rPr>
        <w:cr/>
      </w:r>
      <w:r>
        <w:rPr>
          <w:rFonts w:hint="eastAsia" w:ascii="仿宋" w:hAnsi="仿宋" w:eastAsia="仿宋"/>
          <w:sz w:val="32"/>
          <w:szCs w:val="32"/>
          <w:lang w:val="en-US" w:eastAsia="zh-CN"/>
        </w:rPr>
        <w:tab/>
        <w:t>（一）加快文化体制改革，积极推进文化馆总分馆建设，构建现代公共文化服务体系。</w:t>
      </w:r>
      <w:r>
        <w:rPr>
          <w:rFonts w:hint="eastAsia" w:ascii="仿宋" w:hAnsi="仿宋" w:eastAsia="仿宋"/>
          <w:sz w:val="32"/>
          <w:szCs w:val="32"/>
          <w:lang w:val="en-US" w:eastAsia="zh-CN"/>
        </w:rPr>
        <w:cr/>
      </w:r>
      <w:r>
        <w:rPr>
          <w:rFonts w:hint="eastAsia" w:ascii="仿宋" w:hAnsi="仿宋" w:eastAsia="仿宋"/>
          <w:sz w:val="32"/>
          <w:szCs w:val="32"/>
          <w:lang w:val="en-US" w:eastAsia="zh-CN"/>
        </w:rPr>
        <w:tab/>
        <w:t>（二）加强文化阵地建设，积极谋划分步实施文化馆新馆装修工作。</w:t>
      </w:r>
      <w:r>
        <w:rPr>
          <w:rFonts w:hint="eastAsia" w:ascii="仿宋" w:hAnsi="仿宋" w:eastAsia="仿宋"/>
          <w:sz w:val="32"/>
          <w:szCs w:val="32"/>
          <w:lang w:val="en-US" w:eastAsia="zh-CN"/>
        </w:rPr>
        <w:cr/>
      </w:r>
      <w:r>
        <w:rPr>
          <w:rFonts w:hint="eastAsia" w:ascii="仿宋" w:hAnsi="仿宋" w:eastAsia="仿宋"/>
          <w:sz w:val="32"/>
          <w:szCs w:val="32"/>
          <w:lang w:val="en-US" w:eastAsia="zh-CN"/>
        </w:rPr>
        <w:tab/>
        <w:t>（三）举办文旅上杭2026群文十大活动。</w:t>
      </w:r>
      <w:r>
        <w:rPr>
          <w:rFonts w:hint="eastAsia" w:ascii="仿宋" w:hAnsi="仿宋" w:eastAsia="仿宋"/>
          <w:sz w:val="32"/>
          <w:szCs w:val="32"/>
          <w:lang w:val="en-US" w:eastAsia="zh-CN"/>
        </w:rPr>
        <w:cr/>
      </w:r>
      <w:r>
        <w:rPr>
          <w:rFonts w:hint="eastAsia" w:ascii="仿宋" w:hAnsi="仿宋" w:eastAsia="仿宋"/>
          <w:sz w:val="32"/>
          <w:szCs w:val="32"/>
          <w:lang w:val="en-US" w:eastAsia="zh-CN"/>
        </w:rPr>
        <w:tab/>
        <w:t>（四）认真筹办节假日群众文化活动，努力实施传统文化传承发展工程。</w:t>
      </w:r>
      <w:r>
        <w:rPr>
          <w:rFonts w:hint="eastAsia" w:ascii="仿宋" w:hAnsi="仿宋" w:eastAsia="仿宋"/>
          <w:sz w:val="32"/>
          <w:szCs w:val="32"/>
          <w:lang w:val="en-US" w:eastAsia="zh-CN"/>
        </w:rPr>
        <w:cr/>
      </w:r>
      <w:r>
        <w:rPr>
          <w:rFonts w:hint="eastAsia" w:ascii="仿宋" w:hAnsi="仿宋" w:eastAsia="仿宋"/>
          <w:sz w:val="32"/>
          <w:szCs w:val="32"/>
          <w:lang w:val="en-US" w:eastAsia="zh-CN"/>
        </w:rPr>
        <w:tab/>
        <w:t>（五）认真抓好非遗保护工作，积极推进客家文化（闽西）生态保护区建设。</w:t>
      </w:r>
      <w:r>
        <w:rPr>
          <w:rFonts w:hint="eastAsia" w:ascii="仿宋" w:hAnsi="仿宋" w:eastAsia="仿宋"/>
          <w:sz w:val="32"/>
          <w:szCs w:val="32"/>
          <w:lang w:val="en-US" w:eastAsia="zh-CN"/>
        </w:rPr>
        <w:cr/>
      </w:r>
      <w:r>
        <w:rPr>
          <w:rFonts w:hint="eastAsia" w:ascii="仿宋" w:hAnsi="仿宋" w:eastAsia="仿宋"/>
          <w:sz w:val="32"/>
          <w:szCs w:val="32"/>
          <w:lang w:val="en-US" w:eastAsia="zh-CN"/>
        </w:rPr>
        <w:tab/>
        <w:t>（六）办好《上杭县文化馆》文化云内容。</w:t>
      </w:r>
      <w:r>
        <w:rPr>
          <w:rFonts w:hint="eastAsia" w:ascii="仿宋" w:hAnsi="仿宋" w:eastAsia="仿宋"/>
          <w:sz w:val="32"/>
          <w:szCs w:val="32"/>
          <w:lang w:val="en-US" w:eastAsia="zh-CN"/>
        </w:rPr>
        <w:cr/>
      </w:r>
      <w:r>
        <w:rPr>
          <w:rFonts w:hint="eastAsia" w:ascii="仿宋" w:hAnsi="仿宋" w:eastAsia="仿宋"/>
          <w:sz w:val="32"/>
          <w:szCs w:val="32"/>
          <w:lang w:val="en-US" w:eastAsia="zh-CN"/>
        </w:rPr>
        <w:tab/>
        <w:t>（七）做好华喦纪念馆日常开放工作。</w:t>
      </w:r>
      <w:r>
        <w:rPr>
          <w:rFonts w:hint="eastAsia" w:ascii="仿宋" w:hAnsi="仿宋" w:eastAsia="仿宋"/>
          <w:sz w:val="32"/>
          <w:szCs w:val="32"/>
          <w:lang w:val="en-US" w:eastAsia="zh-CN"/>
        </w:rPr>
        <w:cr/>
      </w:r>
      <w:r>
        <w:rPr>
          <w:rFonts w:hint="eastAsia" w:ascii="仿宋" w:hAnsi="仿宋" w:eastAsia="仿宋"/>
          <w:sz w:val="32"/>
          <w:szCs w:val="32"/>
          <w:lang w:val="en-US" w:eastAsia="zh-CN"/>
        </w:rPr>
        <w:tab/>
        <w:t>（八）加强党建工作，抓好机关效能和作风建设，加强干部职工队伍建设，抓好学习、培训、提高干部队伍整体素质。</w:t>
      </w:r>
      <w:r>
        <w:rPr>
          <w:rFonts w:hint="eastAsia" w:ascii="仿宋" w:hAnsi="仿宋" w:eastAsia="仿宋"/>
          <w:sz w:val="32"/>
          <w:szCs w:val="32"/>
          <w:lang w:val="en-US" w:eastAsia="zh-CN"/>
        </w:rPr>
        <w:cr/>
      </w:r>
      <w:r>
        <w:rPr>
          <w:rFonts w:hint="eastAsia" w:ascii="仿宋" w:hAnsi="仿宋" w:eastAsia="仿宋"/>
          <w:sz w:val="32"/>
          <w:szCs w:val="32"/>
          <w:lang w:val="en-US" w:eastAsia="zh-CN"/>
        </w:rPr>
        <w:tab/>
        <w:t>（九）持续开展精准扶贫、防电信诈骗、安全生产和精神文明工作。</w:t>
      </w:r>
      <w:r>
        <w:rPr>
          <w:rFonts w:hint="eastAsia" w:ascii="仿宋" w:hAnsi="仿宋" w:eastAsia="仿宋"/>
          <w:sz w:val="32"/>
          <w:szCs w:val="32"/>
          <w:lang w:val="en-US" w:eastAsia="zh-CN"/>
        </w:rPr>
        <w:cr/>
      </w:r>
      <w:r>
        <w:cr/>
      </w: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keepNext w:val="0"/>
        <w:keepLines w:val="0"/>
        <w:pageBreakBefore w:val="0"/>
        <w:widowControl w:val="0"/>
        <w:kinsoku/>
        <w:wordWrap/>
        <w:overflowPunct/>
        <w:topLinePunct w:val="0"/>
        <w:autoSpaceDE/>
        <w:autoSpaceDN/>
        <w:bidi w:val="0"/>
        <w:adjustRightInd/>
        <w:snapToGrid/>
        <w:spacing w:after="320" w:line="240" w:lineRule="auto"/>
        <w:jc w:val="left"/>
        <w:textAlignment w:val="auto"/>
        <w:rPr>
          <w:rStyle w:val="12"/>
          <w:rFonts w:hint="eastAsia" w:ascii="黑体" w:hAnsi="黑体" w:eastAsia="黑体" w:cs="黑体"/>
          <w:b w:val="0"/>
          <w:bCs/>
          <w:sz w:val="56"/>
          <w:szCs w:val="56"/>
          <w:lang w:val="en-US" w:eastAsia="zh-CN"/>
        </w:rPr>
      </w:pPr>
      <w:bookmarkStart w:id="5" w:name="_Toc21539"/>
      <w:r>
        <w:rPr>
          <w:rStyle w:val="12"/>
          <w:rFonts w:hint="eastAsia"/>
          <w:b w:val="0"/>
          <w:bCs/>
          <w:sz w:val="56"/>
          <w:szCs w:val="56"/>
        </w:rPr>
        <w:t>第二部分</w:t>
      </w:r>
    </w:p>
    <w:bookmarkEnd w:id="5"/>
    <w:p>
      <w:pPr>
        <w:pStyle w:val="2"/>
        <w:keepNext/>
        <w:keepLines/>
        <w:pageBreakBefore w:val="0"/>
        <w:widowControl w:val="0"/>
        <w:kinsoku/>
        <w:wordWrap/>
        <w:overflowPunct/>
        <w:topLinePunct w:val="0"/>
        <w:autoSpaceDE/>
        <w:autoSpaceDN/>
        <w:bidi w:val="0"/>
        <w:adjustRightInd/>
        <w:snapToGrid/>
        <w:spacing w:after="320" w:line="240" w:lineRule="auto"/>
        <w:jc w:val="center"/>
        <w:textAlignment w:val="auto"/>
        <w:rPr>
          <w:rFonts w:hint="eastAsia" w:ascii="黑体" w:hAnsi="黑体" w:eastAsia="黑体" w:cs="黑体"/>
          <w:b w:val="0"/>
          <w:bCs/>
          <w:sz w:val="56"/>
          <w:szCs w:val="36"/>
        </w:rPr>
      </w:pPr>
      <w:bookmarkStart w:id="6" w:name="_Toc29840"/>
      <w:bookmarkStart w:id="7" w:name="_Toc11189"/>
      <w:r>
        <w:rPr>
          <w:rFonts w:hint="eastAsia" w:ascii="黑体" w:hAnsi="黑体" w:cs="黑体"/>
          <w:b w:val="0"/>
          <w:bCs/>
          <w:sz w:val="56"/>
          <w:lang w:eastAsia="zh-CN"/>
        </w:rPr>
        <w:t>2026</w:t>
      </w:r>
      <w:r>
        <w:rPr>
          <w:rFonts w:hint="eastAsia" w:ascii="黑体" w:hAnsi="黑体" w:eastAsia="黑体" w:cs="黑体"/>
          <w:b w:val="0"/>
          <w:bCs/>
          <w:sz w:val="56"/>
        </w:rPr>
        <w:t>年度</w:t>
      </w:r>
      <w:r>
        <w:rPr>
          <w:rFonts w:hint="eastAsia" w:ascii="黑体" w:hAnsi="黑体" w:cs="黑体"/>
          <w:b w:val="0"/>
          <w:bCs/>
          <w:sz w:val="56"/>
          <w:lang w:val="en-US" w:eastAsia="zh-CN"/>
        </w:rPr>
        <w:t>单位</w:t>
      </w:r>
      <w:r>
        <w:rPr>
          <w:rFonts w:hint="eastAsia" w:ascii="黑体" w:hAnsi="黑体" w:eastAsia="黑体" w:cs="黑体"/>
          <w:b w:val="0"/>
          <w:bCs/>
          <w:sz w:val="56"/>
        </w:rPr>
        <w:t>预算表</w:t>
      </w:r>
      <w:bookmarkEnd w:id="6"/>
      <w:bookmarkEnd w:id="7"/>
    </w:p>
    <w:p>
      <w:pPr>
        <w:pStyle w:val="3"/>
        <w:rPr>
          <w:rFonts w:ascii="黑体" w:hAnsi="黑体" w:eastAsia="黑体"/>
          <w:sz w:val="56"/>
          <w:szCs w:val="36"/>
        </w:rPr>
      </w:pPr>
    </w:p>
    <w:p>
      <w:pPr>
        <w:widowControl/>
        <w:jc w:val="left"/>
        <w:rPr>
          <w:rFonts w:ascii="仿宋" w:hAnsi="仿宋" w:eastAsia="仿宋" w:cs="仿宋_GB2312"/>
          <w:sz w:val="32"/>
          <w:szCs w:val="32"/>
        </w:rPr>
        <w:sectPr>
          <w:pgSz w:w="11906" w:h="16838"/>
          <w:pgMar w:top="1440" w:right="1800" w:bottom="1440" w:left="1800" w:header="851" w:footer="992" w:gutter="0"/>
          <w:pgNumType w:fmt="decimal"/>
          <w:cols w:space="720"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8" w:name="_Toc28673"/>
      <w:r>
        <w:rPr>
          <w:rFonts w:hint="eastAsia"/>
          <w:b w:val="0"/>
          <w:bCs/>
        </w:rPr>
        <w:t>一、收支预算总表</w:t>
      </w:r>
      <w:bookmarkEnd w:id="8"/>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年度收支预算总表</w:t>
      </w:r>
    </w:p>
    <w:p>
      <w:pPr>
        <w:tabs>
          <w:tab w:val="left" w:pos="7513"/>
        </w:tabs>
        <w:adjustRightInd w:val="0"/>
        <w:snapToGrid w:val="0"/>
        <w:spacing w:line="300" w:lineRule="exact"/>
        <w:jc w:val="right"/>
        <w:rPr>
          <w:rFonts w:hint="eastAsia" w:ascii="宋体" w:hAnsi="宋体" w:eastAsia="宋体" w:cs="宋体"/>
          <w:kern w:val="0"/>
          <w:sz w:val="22"/>
          <w:szCs w:val="24"/>
        </w:rPr>
      </w:pPr>
      <w:r>
        <w:rPr>
          <w:rFonts w:hint="eastAsia" w:ascii="宋体" w:hAnsi="宋体" w:eastAsia="宋体" w:cs="宋体"/>
          <w:kern w:val="0"/>
          <w:sz w:val="22"/>
          <w:szCs w:val="24"/>
        </w:rPr>
        <w:t>单位：万元</w:t>
      </w:r>
    </w:p>
    <w:tbl>
      <w:tblPr>
        <w:tblStyle w:val="9"/>
        <w:tblW w:w="93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
      <w:tblGrid>
        <w:gridCol w:w="3058"/>
        <w:gridCol w:w="1627"/>
        <w:gridCol w:w="3239"/>
        <w:gridCol w:w="1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tblHeader/>
          <w:jc w:val="center"/>
        </w:trPr>
        <w:tc>
          <w:tcPr>
            <w:tcW w:w="4685" w:type="dxa"/>
            <w:gridSpan w:val="2"/>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收入</w:t>
            </w:r>
          </w:p>
        </w:tc>
        <w:tc>
          <w:tcPr>
            <w:tcW w:w="4687" w:type="dxa"/>
            <w:gridSpan w:val="2"/>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627"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c>
          <w:tcPr>
            <w:tcW w:w="3239"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448"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一、一般公共预算拨款收入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235.28</w:t>
            </w: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一、一般公共服务支出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二、政府性基金预算拨款收入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二、外交支出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三、国有资本经营预算拨款收入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三、国防支出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四、财政专户管理资金收入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四、公共安全支出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五、事业收入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五、教育支出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六、事业单位经营收入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六、科学技术支出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七、上级补助收入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七、文化旅游体育与传媒支出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cs="宋体"/>
                <w:kern w:val="2"/>
                <w:position w:val="-1"/>
                <w:sz w:val="18"/>
                <w:szCs w:val="18"/>
                <w:lang w:val="en-US" w:eastAsia="zh-CN" w:bidi="ar-SA"/>
              </w:rPr>
              <w:t>235.28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八、附属单位上缴收入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八、社会保障和就业支出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9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九、其他收入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九、卫生健康支出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十、上年结转结余</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十、节能环保支出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十一、城乡社区支出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十二、农林水支出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十三、交通运输支出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十四、资源勘探工业信息等支出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十五、商业服务业等支出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十六、金融支出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十七、援助其他地区支出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十八、自然资源海洋气象等支出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十九、住房保障支出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二十、粮油物资储备支出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二十一、国有资本经营预算支出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二十二、灾害防治及应急管理支出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二十三、其他支出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二十四、债务还本支出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二十五、债务付息支出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二十六、债务发行费用支出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收入合计</w:t>
            </w:r>
          </w:p>
        </w:tc>
        <w:tc>
          <w:tcPr>
            <w:tcW w:w="1627" w:type="dxa"/>
            <w:noWrap w:val="0"/>
            <w:vAlign w:val="center"/>
          </w:tcPr>
          <w:p>
            <w:pPr>
              <w:widowControl w:val="0"/>
              <w:jc w:val="right"/>
              <w:rPr>
                <w:rFonts w:hint="default" w:ascii="Calibri" w:hAnsi="Calibri" w:eastAsia="宋体" w:cs="Times New Roman"/>
                <w:b/>
                <w:bCs w:val="0"/>
                <w:kern w:val="2"/>
                <w:sz w:val="22"/>
                <w:szCs w:val="22"/>
                <w:lang w:val="en-US" w:eastAsia="zh-CN" w:bidi="ar-SA"/>
              </w:rPr>
            </w:pPr>
            <w:r>
              <w:rPr>
                <w:rFonts w:hint="eastAsia" w:ascii="宋体" w:hAnsi="宋体" w:cs="宋体"/>
                <w:b/>
                <w:bCs w:val="0"/>
                <w:kern w:val="2"/>
                <w:position w:val="-1"/>
                <w:sz w:val="22"/>
                <w:szCs w:val="22"/>
                <w:lang w:val="en-US" w:eastAsia="zh-CN" w:bidi="ar-SA"/>
              </w:rPr>
              <w:t>235.28</w:t>
            </w:r>
          </w:p>
        </w:tc>
        <w:tc>
          <w:tcPr>
            <w:tcW w:w="3239" w:type="dxa"/>
            <w:noWrap w:val="0"/>
            <w:vAlign w:val="center"/>
          </w:tcPr>
          <w:p>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支出合计</w:t>
            </w:r>
          </w:p>
        </w:tc>
        <w:tc>
          <w:tcPr>
            <w:tcW w:w="1448" w:type="dxa"/>
            <w:noWrap w:val="0"/>
            <w:vAlign w:val="center"/>
          </w:tcPr>
          <w:p>
            <w:pPr>
              <w:widowControl w:val="0"/>
              <w:jc w:val="right"/>
              <w:rPr>
                <w:rFonts w:hint="default" w:ascii="Calibri" w:hAnsi="Calibri" w:eastAsia="宋体" w:cs="Times New Roman"/>
                <w:b/>
                <w:bCs w:val="0"/>
                <w:kern w:val="2"/>
                <w:sz w:val="22"/>
                <w:szCs w:val="22"/>
                <w:lang w:val="en-US" w:eastAsia="zh-CN" w:bidi="ar-SA"/>
              </w:rPr>
            </w:pPr>
            <w:r>
              <w:rPr>
                <w:rFonts w:hint="eastAsia" w:ascii="宋体" w:hAnsi="宋体" w:cs="宋体"/>
                <w:b/>
                <w:bCs w:val="0"/>
                <w:kern w:val="2"/>
                <w:position w:val="-1"/>
                <w:sz w:val="22"/>
                <w:szCs w:val="22"/>
                <w:lang w:val="en-US" w:eastAsia="zh-CN" w:bidi="ar-SA"/>
              </w:rPr>
              <w:t>235.28</w:t>
            </w:r>
          </w:p>
        </w:tc>
      </w:tr>
    </w:tbl>
    <w:p>
      <w:pPr>
        <w:tabs>
          <w:tab w:val="left" w:pos="7513"/>
        </w:tabs>
        <w:adjustRightInd w:val="0"/>
        <w:snapToGrid w:val="0"/>
        <w:spacing w:line="300" w:lineRule="exact"/>
        <w:jc w:val="right"/>
        <w:rPr>
          <w:rFonts w:hint="eastAsia" w:ascii="宋体" w:hAnsi="宋体" w:eastAsia="宋体" w:cs="宋体"/>
          <w:kern w:val="0"/>
          <w:sz w:val="22"/>
          <w:szCs w:val="24"/>
        </w:rPr>
        <w:sectPr>
          <w:pgSz w:w="11906" w:h="16838"/>
          <w:pgMar w:top="1440" w:right="1800" w:bottom="1440" w:left="1800" w:header="851" w:footer="992" w:gutter="0"/>
          <w:pgNumType w:fmt="decimal"/>
          <w:cols w:space="720"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9" w:name="_Toc2932"/>
      <w:r>
        <w:rPr>
          <w:rFonts w:hint="eastAsia"/>
          <w:b w:val="0"/>
          <w:bCs/>
        </w:rPr>
        <w:t>二、收入预算总表</w:t>
      </w:r>
      <w:bookmarkEnd w:id="9"/>
    </w:p>
    <w:p>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年度收入预算总表</w:t>
      </w:r>
    </w:p>
    <w:p>
      <w:pPr>
        <w:tabs>
          <w:tab w:val="left" w:pos="7513"/>
        </w:tabs>
        <w:adjustRightInd w:val="0"/>
        <w:snapToGrid w:val="0"/>
        <w:spacing w:line="300" w:lineRule="exact"/>
        <w:jc w:val="right"/>
        <w:rPr>
          <w:rFonts w:ascii="仿宋" w:hAnsi="仿宋" w:eastAsia="仿宋"/>
          <w:sz w:val="22"/>
          <w:szCs w:val="22"/>
        </w:rPr>
      </w:pPr>
      <w:r>
        <w:rPr>
          <w:rFonts w:hint="eastAsia" w:ascii="宋体" w:hAnsi="宋体" w:eastAsia="宋体" w:cs="宋体"/>
          <w:kern w:val="0"/>
          <w:sz w:val="22"/>
          <w:szCs w:val="22"/>
        </w:rPr>
        <w:t>单位：万元</w:t>
      </w:r>
    </w:p>
    <w:tbl>
      <w:tblPr>
        <w:tblStyle w:val="9"/>
        <w:tblW w:w="1417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3136"/>
        <w:gridCol w:w="1073"/>
        <w:gridCol w:w="1055"/>
        <w:gridCol w:w="936"/>
        <w:gridCol w:w="909"/>
        <w:gridCol w:w="891"/>
        <w:gridCol w:w="782"/>
        <w:gridCol w:w="900"/>
        <w:gridCol w:w="791"/>
        <w:gridCol w:w="909"/>
        <w:gridCol w:w="709"/>
        <w:gridCol w:w="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blHeader/>
        </w:trPr>
        <w:tc>
          <w:tcPr>
            <w:tcW w:w="1164"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科目编码</w:t>
            </w:r>
          </w:p>
        </w:tc>
        <w:tc>
          <w:tcPr>
            <w:tcW w:w="3136"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科目名称</w:t>
            </w:r>
          </w:p>
        </w:tc>
        <w:tc>
          <w:tcPr>
            <w:tcW w:w="1073"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小计</w:t>
            </w:r>
          </w:p>
        </w:tc>
        <w:tc>
          <w:tcPr>
            <w:tcW w:w="105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一般公共预算拨款收入</w:t>
            </w:r>
          </w:p>
        </w:tc>
        <w:tc>
          <w:tcPr>
            <w:tcW w:w="936"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政府性基金预算拨款收入</w:t>
            </w:r>
          </w:p>
        </w:tc>
        <w:tc>
          <w:tcPr>
            <w:tcW w:w="909"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国有资本经营预算拨款收入</w:t>
            </w:r>
          </w:p>
        </w:tc>
        <w:tc>
          <w:tcPr>
            <w:tcW w:w="891"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财政专户管理资金收入</w:t>
            </w:r>
          </w:p>
        </w:tc>
        <w:tc>
          <w:tcPr>
            <w:tcW w:w="782"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事业</w:t>
            </w:r>
          </w:p>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收入</w:t>
            </w:r>
          </w:p>
        </w:tc>
        <w:tc>
          <w:tcPr>
            <w:tcW w:w="900"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事业单位经营收入</w:t>
            </w:r>
          </w:p>
        </w:tc>
        <w:tc>
          <w:tcPr>
            <w:tcW w:w="791"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上级补助收入</w:t>
            </w:r>
          </w:p>
        </w:tc>
        <w:tc>
          <w:tcPr>
            <w:tcW w:w="909"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附属单位上缴收入</w:t>
            </w:r>
          </w:p>
        </w:tc>
        <w:tc>
          <w:tcPr>
            <w:tcW w:w="709" w:type="dxa"/>
            <w:noWrap w:val="0"/>
            <w:vAlign w:val="center"/>
          </w:tcPr>
          <w:p>
            <w:pPr>
              <w:widowControl w:val="0"/>
              <w:tabs>
                <w:tab w:val="left" w:pos="7513"/>
              </w:tabs>
              <w:adjustRightInd w:val="0"/>
              <w:snapToGrid w:val="0"/>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其他</w:t>
            </w:r>
          </w:p>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收入</w:t>
            </w:r>
          </w:p>
        </w:tc>
        <w:tc>
          <w:tcPr>
            <w:tcW w:w="918"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上年结转结余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300" w:type="dxa"/>
            <w:gridSpan w:val="2"/>
            <w:noWrap w:val="0"/>
            <w:vAlign w:val="center"/>
          </w:tcPr>
          <w:p>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合计</w:t>
            </w:r>
          </w:p>
        </w:tc>
        <w:tc>
          <w:tcPr>
            <w:tcW w:w="1073"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235.28</w:t>
            </w:r>
          </w:p>
        </w:tc>
        <w:tc>
          <w:tcPr>
            <w:tcW w:w="105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235.28</w:t>
            </w:r>
          </w:p>
        </w:tc>
        <w:tc>
          <w:tcPr>
            <w:tcW w:w="936"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09"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891"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782"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00"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791"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09"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709"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18"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64" w:type="dxa"/>
            <w:noWrap w:val="0"/>
            <w:vAlign w:val="center"/>
          </w:tcPr>
          <w:p>
            <w:r>
              <w:rPr>
                <w:b/>
              </w:rPr>
              <w:t>207</w:t>
            </w:r>
          </w:p>
        </w:tc>
        <w:tc>
          <w:tcPr>
            <w:tcW w:w="3136" w:type="dxa"/>
            <w:noWrap w:val="0"/>
            <w:vAlign w:val="center"/>
          </w:tcPr>
          <w:p>
            <w:pPr>
              <w:widowControl w:val="0"/>
              <w:jc w:val="both"/>
              <w:rPr>
                <w:sz w:val="18"/>
                <w:szCs w:val="18"/>
              </w:rPr>
            </w:pPr>
            <w:r>
              <w:rPr>
                <w:rFonts w:hint="eastAsia" w:ascii="宋体" w:hAnsi="宋体" w:eastAsia="宋体" w:cs="宋体"/>
                <w:b/>
                <w:kern w:val="2"/>
                <w:position w:val="-1"/>
                <w:sz w:val="18"/>
                <w:szCs w:val="18"/>
                <w:lang w:val="en-US" w:eastAsia="zh-CN" w:bidi="ar-SA"/>
              </w:rPr>
              <w:t>文化旅游体育与传媒支出</w:t>
            </w:r>
          </w:p>
        </w:tc>
        <w:tc>
          <w:tcPr>
            <w:tcW w:w="1073"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235.28</w:t>
            </w:r>
          </w:p>
        </w:tc>
        <w:tc>
          <w:tcPr>
            <w:tcW w:w="105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235.28</w:t>
            </w:r>
          </w:p>
        </w:tc>
        <w:tc>
          <w:tcPr>
            <w:tcW w:w="936"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8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82"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0"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18"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64" w:type="dxa"/>
            <w:noWrap w:val="0"/>
            <w:vAlign w:val="center"/>
          </w:tcPr>
          <w:p>
            <w:r>
              <w:rPr>
                <w:b/>
              </w:rPr>
              <w:t>20701</w:t>
            </w:r>
          </w:p>
        </w:tc>
        <w:tc>
          <w:tcPr>
            <w:tcW w:w="3136" w:type="dxa"/>
            <w:noWrap w:val="0"/>
            <w:vAlign w:val="center"/>
          </w:tcPr>
          <w:p>
            <w:pPr>
              <w:widowControl w:val="0"/>
              <w:jc w:val="both"/>
              <w:rPr>
                <w:sz w:val="18"/>
                <w:szCs w:val="18"/>
              </w:rPr>
            </w:pPr>
            <w:r>
              <w:rPr>
                <w:rFonts w:hint="eastAsia" w:ascii="宋体" w:hAnsi="宋体" w:eastAsia="宋体" w:cs="宋体"/>
                <w:b/>
                <w:kern w:val="2"/>
                <w:position w:val="-1"/>
                <w:sz w:val="18"/>
                <w:szCs w:val="18"/>
                <w:lang w:val="en-US" w:eastAsia="zh-CN" w:bidi="ar-SA"/>
              </w:rPr>
              <w:t>文化和旅游</w:t>
            </w:r>
          </w:p>
        </w:tc>
        <w:tc>
          <w:tcPr>
            <w:tcW w:w="1073"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235.28</w:t>
            </w:r>
          </w:p>
        </w:tc>
        <w:tc>
          <w:tcPr>
            <w:tcW w:w="105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235.28</w:t>
            </w:r>
          </w:p>
        </w:tc>
        <w:tc>
          <w:tcPr>
            <w:tcW w:w="936"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8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82"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0"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18"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64" w:type="dxa"/>
            <w:noWrap w:val="0"/>
            <w:vAlign w:val="center"/>
          </w:tcPr>
          <w:p>
            <w:r>
              <w:t>2070109</w:t>
            </w:r>
          </w:p>
        </w:tc>
        <w:tc>
          <w:tcPr>
            <w:tcW w:w="3136" w:type="dxa"/>
            <w:noWrap w:val="0"/>
            <w:vAlign w:val="center"/>
          </w:tcPr>
          <w:p>
            <w:pPr>
              <w:widowControl w:val="0"/>
              <w:jc w:val="both"/>
              <w:rPr>
                <w:sz w:val="18"/>
                <w:szCs w:val="18"/>
              </w:rPr>
            </w:pPr>
            <w:r>
              <w:rPr>
                <w:rFonts w:hint="eastAsia" w:ascii="宋体" w:hAnsi="宋体" w:eastAsia="宋体" w:cs="宋体"/>
                <w:kern w:val="2"/>
                <w:position w:val="-1"/>
                <w:sz w:val="18"/>
                <w:szCs w:val="18"/>
                <w:lang w:val="en-US" w:eastAsia="zh-CN" w:bidi="ar-SA"/>
              </w:rPr>
              <w:t>群众文化</w:t>
            </w:r>
          </w:p>
        </w:tc>
        <w:tc>
          <w:tcPr>
            <w:tcW w:w="1073"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235.28</w:t>
            </w:r>
          </w:p>
        </w:tc>
        <w:tc>
          <w:tcPr>
            <w:tcW w:w="105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235.28</w:t>
            </w:r>
          </w:p>
        </w:tc>
        <w:tc>
          <w:tcPr>
            <w:tcW w:w="936"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8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82"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0"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18"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bl>
    <w:p>
      <w:pPr>
        <w:spacing w:line="600" w:lineRule="exact"/>
        <w:jc w:val="left"/>
        <w:rPr>
          <w:rFonts w:hint="eastAsia" w:ascii="仿宋" w:hAnsi="仿宋" w:eastAsia="仿宋"/>
          <w:sz w:val="32"/>
          <w:szCs w:val="32"/>
          <w:highlight w:val="none"/>
          <w:lang w:val="en-US" w:eastAsia="zh-CN"/>
        </w:rPr>
        <w:sectPr>
          <w:pgSz w:w="16838" w:h="11906" w:orient="landscape"/>
          <w:pgMar w:top="1803" w:right="1440" w:bottom="1803" w:left="1440" w:header="0" w:footer="454" w:gutter="0"/>
          <w:pgNumType w:fmt="decimal"/>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0" w:name="_Toc25588"/>
      <w:r>
        <w:rPr>
          <w:rFonts w:hint="eastAsia"/>
          <w:b w:val="0"/>
          <w:bCs/>
        </w:rPr>
        <w:t>三、支出预算总表</w:t>
      </w:r>
      <w:bookmarkEnd w:id="10"/>
    </w:p>
    <w:p>
      <w:pPr>
        <w:widowControl/>
        <w:jc w:val="center"/>
        <w:rPr>
          <w:rFonts w:hint="eastAsia" w:ascii="方正小标宋简体" w:hAnsi="宋体" w:eastAsia="方正小标宋简体" w:cs="宋体"/>
          <w:kern w:val="0"/>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年度支出预算总表</w:t>
      </w:r>
    </w:p>
    <w:p>
      <w:pPr>
        <w:widowControl/>
        <w:jc w:val="right"/>
        <w:rPr>
          <w:rFonts w:hint="eastAsia" w:ascii="方正小标宋简体" w:hAnsi="宋体" w:eastAsia="方正小标宋简体" w:cs="宋体"/>
          <w:kern w:val="0"/>
          <w:sz w:val="32"/>
          <w:szCs w:val="32"/>
          <w:lang w:eastAsia="zh-CN"/>
        </w:rPr>
      </w:pPr>
      <w:r>
        <w:rPr>
          <w:rFonts w:hint="eastAsia" w:ascii="宋体" w:hAnsi="宋体" w:eastAsia="宋体" w:cs="宋体"/>
          <w:kern w:val="0"/>
          <w:sz w:val="22"/>
        </w:rPr>
        <w:t>单位：万元</w:t>
      </w:r>
    </w:p>
    <w:tbl>
      <w:tblPr>
        <w:tblStyle w:val="9"/>
        <w:tblW w:w="1417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9"/>
        <w:gridCol w:w="3718"/>
        <w:gridCol w:w="1537"/>
        <w:gridCol w:w="1537"/>
        <w:gridCol w:w="1537"/>
        <w:gridCol w:w="1537"/>
        <w:gridCol w:w="1537"/>
        <w:gridCol w:w="1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blHeader/>
        </w:trPr>
        <w:tc>
          <w:tcPr>
            <w:tcW w:w="1229"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3718"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1537"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小计</w:t>
            </w:r>
          </w:p>
        </w:tc>
        <w:tc>
          <w:tcPr>
            <w:tcW w:w="1537"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kern w:val="0"/>
                <w:sz w:val="22"/>
                <w:szCs w:val="22"/>
                <w:lang w:val="en-US" w:eastAsia="zh-CN" w:bidi="ar-SA"/>
              </w:rPr>
              <w:t>基本支出</w:t>
            </w:r>
          </w:p>
        </w:tc>
        <w:tc>
          <w:tcPr>
            <w:tcW w:w="1537"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kern w:val="0"/>
                <w:sz w:val="22"/>
                <w:szCs w:val="22"/>
                <w:lang w:val="en-US" w:eastAsia="zh-CN" w:bidi="ar-SA"/>
              </w:rPr>
              <w:t>项目支出</w:t>
            </w:r>
          </w:p>
        </w:tc>
        <w:tc>
          <w:tcPr>
            <w:tcW w:w="1537"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事业单位经营支出</w:t>
            </w:r>
          </w:p>
        </w:tc>
        <w:tc>
          <w:tcPr>
            <w:tcW w:w="1537"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上缴上级支出</w:t>
            </w:r>
          </w:p>
        </w:tc>
        <w:tc>
          <w:tcPr>
            <w:tcW w:w="1541"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对附属单位补助支出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947" w:type="dxa"/>
            <w:gridSpan w:val="2"/>
            <w:noWrap w:val="0"/>
            <w:vAlign w:val="center"/>
          </w:tcPr>
          <w:p>
            <w:pPr>
              <w:widowControl w:val="0"/>
              <w:jc w:val="center"/>
              <w:rPr>
                <w:rFonts w:ascii="Calibri" w:hAnsi="Calibri" w:eastAsia="宋体" w:cs="Times New Roman"/>
                <w:b/>
                <w:bCs/>
                <w:kern w:val="2"/>
                <w:sz w:val="22"/>
                <w:szCs w:val="22"/>
                <w:lang w:val="en-US" w:eastAsia="zh-CN" w:bidi="ar-SA"/>
              </w:rPr>
            </w:pPr>
            <w:r>
              <w:rPr>
                <w:rFonts w:ascii="宋体" w:hAnsi="宋体" w:eastAsia="宋体" w:cs="宋体"/>
                <w:b/>
                <w:bCs/>
                <w:color w:val="000000"/>
                <w:kern w:val="2"/>
                <w:position w:val="-1"/>
                <w:sz w:val="22"/>
                <w:szCs w:val="22"/>
                <w:lang w:val="en-US" w:eastAsia="zh-CN" w:bidi="ar-SA"/>
              </w:rPr>
              <w:t>合计</w:t>
            </w:r>
          </w:p>
        </w:tc>
        <w:tc>
          <w:tcPr>
            <w:tcW w:w="1537"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235.28</w:t>
            </w:r>
          </w:p>
        </w:tc>
        <w:tc>
          <w:tcPr>
            <w:tcW w:w="1537"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210.28</w:t>
            </w:r>
          </w:p>
        </w:tc>
        <w:tc>
          <w:tcPr>
            <w:tcW w:w="1537"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25.00</w:t>
            </w:r>
          </w:p>
        </w:tc>
        <w:tc>
          <w:tcPr>
            <w:tcW w:w="1537"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c>
          <w:tcPr>
            <w:tcW w:w="1537"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c>
          <w:tcPr>
            <w:tcW w:w="1541"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229" w:type="dxa"/>
            <w:noWrap w:val="0"/>
            <w:vAlign w:val="center"/>
          </w:tcPr>
          <w:p>
            <w:r>
              <w:rPr>
                <w:b/>
              </w:rPr>
              <w:t>207</w:t>
            </w:r>
          </w:p>
        </w:tc>
        <w:tc>
          <w:tcPr>
            <w:tcW w:w="3718" w:type="dxa"/>
            <w:noWrap w:val="0"/>
            <w:vAlign w:val="center"/>
          </w:tcPr>
          <w:p>
            <w:pPr>
              <w:widowControl w:val="0"/>
              <w:jc w:val="both"/>
              <w:rPr>
                <w:sz w:val="18"/>
                <w:szCs w:val="18"/>
              </w:rPr>
            </w:pPr>
            <w:r>
              <w:rPr>
                <w:rFonts w:hint="eastAsia" w:ascii="宋体" w:hAnsi="宋体" w:eastAsia="宋体" w:cs="宋体"/>
                <w:b/>
                <w:color w:val="000000"/>
                <w:kern w:val="2"/>
                <w:position w:val="-1"/>
                <w:sz w:val="18"/>
                <w:szCs w:val="18"/>
                <w:lang w:val="en-US" w:eastAsia="zh-CN" w:bidi="ar-SA"/>
              </w:rPr>
              <w:t>文化旅游体育与传媒支出</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235.28</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210.28</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25</w:t>
            </w: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229" w:type="dxa"/>
            <w:noWrap w:val="0"/>
            <w:vAlign w:val="center"/>
          </w:tcPr>
          <w:p>
            <w:r>
              <w:rPr>
                <w:b/>
              </w:rPr>
              <w:t>20701</w:t>
            </w:r>
          </w:p>
        </w:tc>
        <w:tc>
          <w:tcPr>
            <w:tcW w:w="3718" w:type="dxa"/>
            <w:noWrap w:val="0"/>
            <w:vAlign w:val="center"/>
          </w:tcPr>
          <w:p>
            <w:pPr>
              <w:widowControl w:val="0"/>
              <w:jc w:val="both"/>
              <w:rPr>
                <w:sz w:val="18"/>
                <w:szCs w:val="18"/>
              </w:rPr>
            </w:pPr>
            <w:r>
              <w:rPr>
                <w:rFonts w:hint="eastAsia" w:ascii="宋体" w:hAnsi="宋体" w:eastAsia="宋体" w:cs="宋体"/>
                <w:b/>
                <w:color w:val="000000"/>
                <w:kern w:val="2"/>
                <w:position w:val="-1"/>
                <w:sz w:val="18"/>
                <w:szCs w:val="18"/>
                <w:lang w:val="en-US" w:eastAsia="zh-CN" w:bidi="ar-SA"/>
              </w:rPr>
              <w:t>文化和旅游</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235.28</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210.28</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25</w:t>
            </w: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229" w:type="dxa"/>
            <w:noWrap w:val="0"/>
            <w:vAlign w:val="center"/>
          </w:tcPr>
          <w:p>
            <w:r>
              <w:t>2070109</w:t>
            </w:r>
          </w:p>
        </w:tc>
        <w:tc>
          <w:tcPr>
            <w:tcW w:w="3718" w:type="dxa"/>
            <w:noWrap w:val="0"/>
            <w:vAlign w:val="center"/>
          </w:tcPr>
          <w:p>
            <w:pPr>
              <w:widowControl w:val="0"/>
              <w:jc w:val="both"/>
              <w:rPr>
                <w:sz w:val="18"/>
                <w:szCs w:val="18"/>
              </w:rPr>
            </w:pPr>
            <w:r>
              <w:rPr>
                <w:rFonts w:hint="eastAsia" w:ascii="宋体" w:hAnsi="宋体" w:eastAsia="宋体" w:cs="宋体"/>
                <w:color w:val="000000"/>
                <w:kern w:val="2"/>
                <w:position w:val="-1"/>
                <w:sz w:val="18"/>
                <w:szCs w:val="18"/>
                <w:lang w:val="en-US" w:eastAsia="zh-CN" w:bidi="ar-SA"/>
              </w:rPr>
              <w:t>群众文化</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235.28</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210.28</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25</w:t>
            </w: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bl>
    <w:p>
      <w:pPr>
        <w:tabs>
          <w:tab w:val="left" w:pos="7513"/>
        </w:tabs>
        <w:adjustRightInd w:val="0"/>
        <w:snapToGrid w:val="0"/>
        <w:spacing w:line="600" w:lineRule="exact"/>
        <w:rPr>
          <w:rFonts w:hint="default" w:ascii="仿宋" w:hAnsi="仿宋" w:eastAsia="仿宋"/>
          <w:sz w:val="32"/>
          <w:szCs w:val="32"/>
          <w:lang w:val="en-US" w:eastAsia="zh-CN"/>
        </w:rPr>
        <w:sectPr>
          <w:pgSz w:w="16838" w:h="11906" w:orient="landscape"/>
          <w:pgMar w:top="1803" w:right="1440" w:bottom="1803" w:left="1440" w:header="0" w:footer="454" w:gutter="0"/>
          <w:pgNumType w:fmt="decimal"/>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1" w:name="_Toc7510"/>
      <w:r>
        <w:rPr>
          <w:rFonts w:hint="eastAsia"/>
          <w:b w:val="0"/>
          <w:bCs/>
        </w:rPr>
        <w:t>四、财政拨款收支预算总表</w:t>
      </w:r>
      <w:bookmarkEnd w:id="11"/>
    </w:p>
    <w:p>
      <w:pPr>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年度财政拨款收支预算总表</w:t>
      </w:r>
    </w:p>
    <w:p>
      <w:pPr>
        <w:spacing w:line="300" w:lineRule="exact"/>
        <w:jc w:val="right"/>
        <w:rPr>
          <w:rFonts w:ascii="仿宋" w:hAnsi="仿宋" w:eastAsia="仿宋"/>
          <w:sz w:val="32"/>
          <w:szCs w:val="32"/>
        </w:rPr>
      </w:pPr>
      <w:r>
        <w:rPr>
          <w:rFonts w:hint="eastAsia" w:ascii="宋体" w:hAnsi="宋体" w:eastAsia="宋体" w:cs="宋体"/>
          <w:kern w:val="0"/>
          <w:sz w:val="22"/>
          <w:szCs w:val="24"/>
        </w:rPr>
        <w:t>单位：万元</w:t>
      </w:r>
    </w:p>
    <w:tbl>
      <w:tblPr>
        <w:tblStyle w:val="9"/>
        <w:tblW w:w="875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2"/>
        <w:gridCol w:w="1456"/>
        <w:gridCol w:w="3022"/>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blHeader/>
        </w:trPr>
        <w:tc>
          <w:tcPr>
            <w:tcW w:w="4388" w:type="dxa"/>
            <w:gridSpan w:val="2"/>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收入</w:t>
            </w:r>
          </w:p>
        </w:tc>
        <w:tc>
          <w:tcPr>
            <w:tcW w:w="4366" w:type="dxa"/>
            <w:gridSpan w:val="2"/>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2932"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456" w:type="dxa"/>
            <w:noWrap w:val="0"/>
            <w:vAlign w:val="center"/>
          </w:tcPr>
          <w:p>
            <w:pPr>
              <w:widowControl w:val="0"/>
              <w:tabs>
                <w:tab w:val="left" w:pos="7513"/>
              </w:tabs>
              <w:snapToGrid w:val="0"/>
              <w:jc w:val="center"/>
              <w:rPr>
                <w:rFonts w:hint="eastAsia" w:ascii="黑体" w:hAnsi="黑体" w:eastAsia="黑体" w:cs="黑体"/>
                <w:b w:val="0"/>
                <w:bCs w:val="0"/>
                <w:sz w:val="22"/>
                <w:szCs w:val="22"/>
              </w:rPr>
            </w:pPr>
            <w:r>
              <w:rPr>
                <w:rFonts w:hint="eastAsia" w:ascii="黑体" w:hAnsi="黑体" w:eastAsia="黑体" w:cs="黑体"/>
                <w:b w:val="0"/>
                <w:bCs w:val="0"/>
                <w:kern w:val="0"/>
                <w:sz w:val="22"/>
                <w:szCs w:val="22"/>
                <w:lang w:val="en-US" w:eastAsia="zh-CN" w:bidi="ar-SA"/>
              </w:rPr>
              <w:t>预算数</w:t>
            </w:r>
          </w:p>
        </w:tc>
        <w:tc>
          <w:tcPr>
            <w:tcW w:w="3022"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344" w:type="dxa"/>
            <w:noWrap w:val="0"/>
            <w:vAlign w:val="center"/>
          </w:tcPr>
          <w:p>
            <w:pPr>
              <w:widowControl w:val="0"/>
              <w:tabs>
                <w:tab w:val="left" w:pos="7513"/>
              </w:tabs>
              <w:snapToGrid w:val="0"/>
              <w:jc w:val="center"/>
              <w:rPr>
                <w:rFonts w:hint="eastAsia" w:ascii="黑体" w:hAnsi="黑体" w:eastAsia="黑体" w:cs="黑体"/>
                <w:b w:val="0"/>
                <w:bCs w:val="0"/>
                <w:sz w:val="22"/>
                <w:szCs w:val="22"/>
              </w:rPr>
            </w:pPr>
            <w:r>
              <w:rPr>
                <w:rFonts w:hint="eastAsia" w:ascii="黑体" w:hAnsi="黑体" w:eastAsia="黑体" w:cs="黑体"/>
                <w:b w:val="0"/>
                <w:bCs w:val="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一、一般公共预算拨款收入</w:t>
            </w:r>
          </w:p>
        </w:tc>
        <w:tc>
          <w:tcPr>
            <w:tcW w:w="1456" w:type="dxa"/>
            <w:noWrap w:val="0"/>
            <w:vAlign w:val="center"/>
          </w:tcPr>
          <w:p>
            <w:pPr>
              <w:widowControl w:val="0"/>
              <w:jc w:val="right"/>
              <w:rPr>
                <w:sz w:val="18"/>
                <w:szCs w:val="18"/>
              </w:rPr>
            </w:pPr>
            <w:r>
              <w:rPr>
                <w:rFonts w:hint="eastAsia" w:ascii="宋体" w:hAnsi="宋体" w:eastAsia="宋体" w:cs="宋体"/>
                <w:kern w:val="2"/>
                <w:position w:val="-1"/>
                <w:sz w:val="18"/>
                <w:szCs w:val="18"/>
                <w:lang w:val="en-US" w:eastAsia="zh-CN" w:bidi="ar-SA"/>
              </w:rPr>
              <w:t>235.28</w:t>
            </w: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一、一般公共服务支出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二、政府性基金预算拨款收入</w:t>
            </w: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二、外交支出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三、国有资本经营预算拨款收入</w:t>
            </w: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三、国防支出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四、公共安全支出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五、教育支出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六、科学技术支出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七、文化旅游体育与传媒支出</w:t>
            </w:r>
          </w:p>
        </w:tc>
        <w:tc>
          <w:tcPr>
            <w:tcW w:w="1344" w:type="dxa"/>
            <w:noWrap w:val="0"/>
            <w:vAlign w:val="center"/>
          </w:tcPr>
          <w:p>
            <w:pPr>
              <w:widowControl w:val="0"/>
              <w:jc w:val="right"/>
              <w:rPr>
                <w:sz w:val="18"/>
                <w:szCs w:val="18"/>
              </w:rPr>
            </w:pPr>
            <w:r>
              <w:rPr>
                <w:rFonts w:hint="eastAsia" w:ascii="宋体" w:hAnsi="宋体" w:eastAsia="宋体" w:cs="宋体"/>
                <w:kern w:val="2"/>
                <w:position w:val="-1"/>
                <w:sz w:val="18"/>
                <w:szCs w:val="18"/>
                <w:lang w:val="en-US" w:eastAsia="zh-CN" w:bidi="ar-SA"/>
              </w:rPr>
              <w:t>235.28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八、社会保障和就业支出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九、卫生健康支出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十、节能环保支出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十一、城乡社区支出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十二、农林水支出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十三、交通运输支出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十四、资源勘探工业信息等支出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十五、商业服务业等支出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十六、金融支出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十七、援助其他地区支出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十八、自然资源海洋气象等支出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十九、住房保障支出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二十、粮油物资储备支出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二十一、国有资本经营预算支出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二十二、灾害防治及应急管理支出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二十三、其他支出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二十四、债务还本支出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二十五、债务付息支出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二十六、债务发行费用支出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2932" w:type="dxa"/>
            <w:noWrap w:val="0"/>
            <w:vAlign w:val="center"/>
          </w:tcPr>
          <w:p>
            <w:pPr>
              <w:widowControl w:val="0"/>
              <w:jc w:val="center"/>
              <w:rPr>
                <w:rFonts w:hint="default"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收入合计</w:t>
            </w:r>
          </w:p>
        </w:tc>
        <w:tc>
          <w:tcPr>
            <w:tcW w:w="1456" w:type="dxa"/>
            <w:noWrap w:val="0"/>
            <w:vAlign w:val="center"/>
          </w:tcPr>
          <w:p>
            <w:pPr>
              <w:widowControl w:val="0"/>
              <w:jc w:val="right"/>
              <w:rPr>
                <w:b/>
                <w:bCs w:val="0"/>
                <w:sz w:val="22"/>
                <w:szCs w:val="22"/>
              </w:rPr>
            </w:pPr>
            <w:r>
              <w:rPr>
                <w:rFonts w:hint="eastAsia" w:ascii="宋体" w:hAnsi="宋体" w:eastAsia="宋体" w:cs="宋体"/>
                <w:b/>
                <w:bCs w:val="0"/>
                <w:kern w:val="2"/>
                <w:position w:val="-1"/>
                <w:sz w:val="22"/>
                <w:szCs w:val="22"/>
                <w:lang w:val="en-US" w:eastAsia="zh-CN" w:bidi="ar-SA"/>
              </w:rPr>
              <w:t>235.28</w:t>
            </w:r>
          </w:p>
        </w:tc>
        <w:tc>
          <w:tcPr>
            <w:tcW w:w="3022" w:type="dxa"/>
            <w:noWrap w:val="0"/>
            <w:vAlign w:val="center"/>
          </w:tcPr>
          <w:p>
            <w:pPr>
              <w:widowControl w:val="0"/>
              <w:jc w:val="center"/>
              <w:rPr>
                <w:rFonts w:hint="default"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支出合计</w:t>
            </w:r>
          </w:p>
        </w:tc>
        <w:tc>
          <w:tcPr>
            <w:tcW w:w="1344" w:type="dxa"/>
            <w:noWrap w:val="0"/>
            <w:vAlign w:val="center"/>
          </w:tcPr>
          <w:p>
            <w:pPr>
              <w:widowControl w:val="0"/>
              <w:jc w:val="right"/>
              <w:rPr>
                <w:b/>
                <w:bCs w:val="0"/>
                <w:sz w:val="22"/>
                <w:szCs w:val="22"/>
              </w:rPr>
            </w:pPr>
            <w:r>
              <w:rPr>
                <w:rFonts w:hint="eastAsia" w:ascii="宋体" w:hAnsi="宋体" w:eastAsia="宋体" w:cs="宋体"/>
                <w:b/>
                <w:bCs w:val="0"/>
                <w:kern w:val="2"/>
                <w:position w:val="-1"/>
                <w:sz w:val="22"/>
                <w:szCs w:val="22"/>
                <w:lang w:val="en-US" w:eastAsia="zh-CN" w:bidi="ar-SA"/>
              </w:rPr>
              <w:t>235.28</w:t>
            </w:r>
          </w:p>
        </w:tc>
      </w:tr>
    </w:tbl>
    <w:p>
      <w:pPr>
        <w:tabs>
          <w:tab w:val="left" w:pos="7513"/>
        </w:tabs>
        <w:adjustRightInd w:val="0"/>
        <w:snapToGrid w:val="0"/>
        <w:spacing w:line="600" w:lineRule="exact"/>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2" w:name="_Toc7741"/>
      <w:r>
        <w:rPr>
          <w:rFonts w:hint="eastAsia"/>
          <w:b w:val="0"/>
          <w:bCs/>
        </w:rPr>
        <w:t>五、一般公共预算拨款支出预算表</w:t>
      </w:r>
      <w:bookmarkEnd w:id="12"/>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年度一般公共预算拨款支出预算表</w:t>
      </w:r>
    </w:p>
    <w:p>
      <w:pPr>
        <w:tabs>
          <w:tab w:val="left" w:pos="7513"/>
        </w:tabs>
        <w:adjustRightInd w:val="0"/>
        <w:snapToGrid w:val="0"/>
        <w:spacing w:line="300" w:lineRule="exact"/>
        <w:jc w:val="right"/>
        <w:rPr>
          <w:rFonts w:hint="eastAsia" w:ascii="仿宋" w:hAnsi="仿宋" w:eastAsia="仿宋" w:cs="仿宋"/>
          <w:sz w:val="32"/>
          <w:lang w:val="en-US" w:eastAsia="zh-CN"/>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79"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201"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285"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572" w:type="dxa"/>
            <w:gridSpan w:val="2"/>
            <w:noWrap w:val="0"/>
            <w:vAlign w:val="center"/>
          </w:tcPr>
          <w:p>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79"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201"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287"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380" w:type="dxa"/>
            <w:gridSpan w:val="2"/>
            <w:noWrap w:val="0"/>
            <w:vAlign w:val="center"/>
          </w:tcPr>
          <w:p>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position w:val="-1"/>
                <w:sz w:val="22"/>
                <w:szCs w:val="22"/>
                <w:lang w:val="en-US" w:eastAsia="zh-CN" w:bidi="ar-SA"/>
              </w:rPr>
              <w:t>合计</w:t>
            </w:r>
          </w:p>
        </w:tc>
        <w:tc>
          <w:tcPr>
            <w:tcW w:w="1285" w:type="dxa"/>
            <w:noWrap w:val="0"/>
            <w:vAlign w:val="center"/>
          </w:tcPr>
          <w:p>
            <w:pPr>
              <w:widowControl w:val="0"/>
              <w:jc w:val="lef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235.28</w:t>
            </w:r>
          </w:p>
        </w:tc>
        <w:tc>
          <w:tcPr>
            <w:tcW w:w="1285" w:type="dxa"/>
            <w:noWrap w:val="0"/>
            <w:vAlign w:val="center"/>
          </w:tcPr>
          <w:p>
            <w:pPr>
              <w:widowControl w:val="0"/>
              <w:jc w:val="lef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210.28</w:t>
            </w:r>
          </w:p>
        </w:tc>
        <w:tc>
          <w:tcPr>
            <w:tcW w:w="1287" w:type="dxa"/>
            <w:noWrap w:val="0"/>
            <w:vAlign w:val="center"/>
          </w:tcPr>
          <w:p>
            <w:pPr>
              <w:widowControl w:val="0"/>
              <w:jc w:val="lef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79" w:type="dxa"/>
            <w:noWrap w:val="0"/>
            <w:vAlign w:val="center"/>
          </w:tcPr>
          <w:p>
            <w:r>
              <w:rPr>
                <w:b/>
              </w:rPr>
              <w:t>207</w:t>
            </w:r>
          </w:p>
        </w:tc>
        <w:tc>
          <w:tcPr>
            <w:tcW w:w="3201"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文化旅游体育与传媒支出</w:t>
            </w:r>
          </w:p>
        </w:tc>
        <w:tc>
          <w:tcPr>
            <w:tcW w:w="128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235.28</w:t>
            </w:r>
          </w:p>
        </w:tc>
        <w:tc>
          <w:tcPr>
            <w:tcW w:w="128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210.28</w:t>
            </w:r>
          </w:p>
        </w:tc>
        <w:tc>
          <w:tcPr>
            <w:tcW w:w="128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79" w:type="dxa"/>
            <w:noWrap w:val="0"/>
            <w:vAlign w:val="center"/>
          </w:tcPr>
          <w:p>
            <w:r>
              <w:rPr>
                <w:b/>
              </w:rPr>
              <w:t>20701</w:t>
            </w:r>
          </w:p>
        </w:tc>
        <w:tc>
          <w:tcPr>
            <w:tcW w:w="3201"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文化和旅游</w:t>
            </w:r>
          </w:p>
        </w:tc>
        <w:tc>
          <w:tcPr>
            <w:tcW w:w="128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235.28</w:t>
            </w:r>
          </w:p>
        </w:tc>
        <w:tc>
          <w:tcPr>
            <w:tcW w:w="128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210.28</w:t>
            </w:r>
          </w:p>
        </w:tc>
        <w:tc>
          <w:tcPr>
            <w:tcW w:w="128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79" w:type="dxa"/>
            <w:noWrap w:val="0"/>
            <w:vAlign w:val="center"/>
          </w:tcPr>
          <w:p>
            <w:r>
              <w:t>2070109</w:t>
            </w:r>
          </w:p>
        </w:tc>
        <w:tc>
          <w:tcPr>
            <w:tcW w:w="3201"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群众文化</w:t>
            </w:r>
          </w:p>
        </w:tc>
        <w:tc>
          <w:tcPr>
            <w:tcW w:w="128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235.28</w:t>
            </w:r>
          </w:p>
        </w:tc>
        <w:tc>
          <w:tcPr>
            <w:tcW w:w="128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210.28</w:t>
            </w:r>
          </w:p>
        </w:tc>
        <w:tc>
          <w:tcPr>
            <w:tcW w:w="128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25</w:t>
            </w:r>
          </w:p>
        </w:tc>
      </w:tr>
    </w:tbl>
    <w:p>
      <w:pPr>
        <w:tabs>
          <w:tab w:val="left" w:pos="7513"/>
        </w:tabs>
        <w:adjustRightInd w:val="0"/>
        <w:snapToGrid w:val="0"/>
        <w:spacing w:line="600" w:lineRule="exact"/>
        <w:jc w:val="left"/>
        <w:rPr>
          <w:rFonts w:hint="default" w:ascii="仿宋" w:hAnsi="仿宋" w:eastAsia="仿宋" w:cs="仿宋"/>
          <w:sz w:val="32"/>
          <w:lang w:val="en-US" w:eastAsia="zh-CN"/>
        </w:rPr>
        <w:sectPr>
          <w:pgSz w:w="11906" w:h="16838"/>
          <w:pgMar w:top="1440" w:right="1803" w:bottom="1440" w:left="1803" w:header="851" w:footer="992" w:gutter="0"/>
          <w:pgNumType w:fmt="decimal"/>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3" w:name="_Toc29528"/>
      <w:r>
        <w:rPr>
          <w:rFonts w:hint="eastAsia"/>
          <w:b w:val="0"/>
          <w:bCs/>
        </w:rPr>
        <w:t>六、政府性基金预算拨款支出预算表</w:t>
      </w:r>
      <w:bookmarkEnd w:id="13"/>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年度政府性基金预算拨款支出预算表</w:t>
      </w:r>
    </w:p>
    <w:p>
      <w:pPr>
        <w:tabs>
          <w:tab w:val="left" w:pos="7513"/>
        </w:tabs>
        <w:adjustRightInd w:val="0"/>
        <w:snapToGrid w:val="0"/>
        <w:spacing w:line="300" w:lineRule="exact"/>
        <w:jc w:val="right"/>
        <w:rPr>
          <w:rFonts w:hint="eastAsia" w:ascii="仿宋" w:hAnsi="仿宋" w:eastAsia="仿宋" w:cs="仿宋"/>
          <w:sz w:val="32"/>
          <w:lang w:val="en-US" w:eastAsia="zh-CN"/>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79"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201"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285"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572" w:type="dxa"/>
            <w:gridSpan w:val="2"/>
            <w:noWrap w:val="0"/>
            <w:vAlign w:val="center"/>
          </w:tcPr>
          <w:p>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79"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201"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287"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380" w:type="dxa"/>
            <w:gridSpan w:val="2"/>
            <w:noWrap w:val="0"/>
            <w:vAlign w:val="center"/>
          </w:tcPr>
          <w:p>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sz w:val="22"/>
                <w:szCs w:val="22"/>
                <w:u w:val="none" w:color="auto"/>
                <w:lang w:val="en-US" w:eastAsia="zh-CN" w:bidi="ar-SA"/>
              </w:rPr>
              <w:t>合计</w:t>
            </w:r>
          </w:p>
        </w:tc>
        <w:tc>
          <w:tcPr>
            <w:tcW w:w="128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28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default" w:ascii="宋体" w:hAnsi="宋体" w:eastAsia="宋体" w:cs="宋体"/>
                <w:b/>
                <w:bCs w:val="0"/>
                <w:kern w:val="2"/>
                <w:position w:val="-1"/>
                <w:sz w:val="22"/>
                <w:szCs w:val="22"/>
                <w:lang w:val="en-US" w:eastAsia="zh-CN" w:bidi="ar-SA"/>
              </w:rPr>
              <w:t>0.00</w:t>
            </w:r>
          </w:p>
        </w:tc>
        <w:tc>
          <w:tcPr>
            <w:tcW w:w="1287"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bl>
    <w:p>
      <w:pPr>
        <w:rPr>
          <w:rFonts w:hint="eastAsia" w:ascii="仿宋" w:hAnsi="仿宋" w:eastAsia="仿宋" w:cs="仿宋"/>
          <w:sz w:val="32"/>
          <w:lang w:val="en-US" w:eastAsia="zh-CN"/>
        </w:rPr>
      </w:pPr>
      <w:r>
        <w:rPr>
          <w:rFonts w:hint="eastAsia" w:ascii="仿宋" w:hAnsi="仿宋" w:eastAsia="仿宋" w:cs="仿宋"/>
          <w:sz w:val="32"/>
          <w:lang w:val="en-US" w:eastAsia="zh-CN"/>
        </w:rPr>
        <w:t>备注：本单位2026年没有使用政府性基金预算拨款安排的支出。</w:t>
      </w:r>
    </w:p>
    <w:p>
      <w:pPr>
        <w:rPr>
          <w:rFonts w:hint="default" w:ascii="仿宋" w:hAnsi="仿宋" w:eastAsia="仿宋" w:cs="仿宋"/>
          <w:sz w:val="32"/>
          <w:lang w:val="en-US" w:eastAsia="zh-CN"/>
        </w:rPr>
        <w:sectPr>
          <w:pgSz w:w="11906" w:h="16838"/>
          <w:pgMar w:top="1440" w:right="1803" w:bottom="1440" w:left="1803" w:header="851" w:footer="992" w:gutter="0"/>
          <w:pgNumType w:fmt="decimal"/>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4" w:name="_Toc4041"/>
      <w:r>
        <w:rPr>
          <w:rFonts w:hint="eastAsia"/>
          <w:b w:val="0"/>
          <w:bCs/>
        </w:rPr>
        <w:t>七、国有资本经营预算拨款支出预算表</w:t>
      </w:r>
      <w:bookmarkEnd w:id="14"/>
    </w:p>
    <w:p>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年度国有资本经营预算拨款支出预算表</w:t>
      </w:r>
    </w:p>
    <w:p>
      <w:pPr>
        <w:tabs>
          <w:tab w:val="left" w:pos="7513"/>
        </w:tabs>
        <w:adjustRightInd w:val="0"/>
        <w:snapToGrid w:val="0"/>
        <w:spacing w:line="300" w:lineRule="exact"/>
        <w:jc w:val="right"/>
        <w:rPr>
          <w:rFonts w:hint="eastAsia" w:ascii="宋体" w:hAnsi="宋体" w:eastAsia="宋体" w:cs="宋体"/>
          <w:kern w:val="0"/>
          <w:sz w:val="22"/>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79"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201"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285"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572" w:type="dxa"/>
            <w:gridSpan w:val="2"/>
            <w:noWrap w:val="0"/>
            <w:vAlign w:val="center"/>
          </w:tcPr>
          <w:p>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179"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201"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287"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380" w:type="dxa"/>
            <w:gridSpan w:val="2"/>
            <w:noWrap w:val="0"/>
            <w:vAlign w:val="center"/>
          </w:tcPr>
          <w:p>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sz w:val="22"/>
                <w:szCs w:val="22"/>
                <w:u w:val="none" w:color="auto"/>
                <w:lang w:val="en-US" w:eastAsia="zh-CN" w:bidi="ar-SA"/>
              </w:rPr>
              <w:t>合计</w:t>
            </w:r>
          </w:p>
        </w:tc>
        <w:tc>
          <w:tcPr>
            <w:tcW w:w="128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28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287"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bl>
    <w:p>
      <w:pPr>
        <w:tabs>
          <w:tab w:val="left" w:pos="7513"/>
        </w:tabs>
        <w:adjustRightInd w:val="0"/>
        <w:snapToGrid w:val="0"/>
        <w:spacing w:line="600" w:lineRule="exact"/>
        <w:jc w:val="both"/>
        <w:rPr>
          <w:rFonts w:hint="eastAsia" w:ascii="仿宋" w:hAnsi="仿宋" w:eastAsia="仿宋"/>
          <w:sz w:val="32"/>
          <w:szCs w:val="32"/>
          <w:lang w:val="en-US" w:eastAsia="zh-CN"/>
        </w:rPr>
      </w:pPr>
      <w:r>
        <w:rPr>
          <w:rFonts w:hint="eastAsia" w:ascii="仿宋" w:hAnsi="仿宋" w:eastAsia="仿宋"/>
          <w:sz w:val="32"/>
          <w:szCs w:val="32"/>
          <w:lang w:val="en-US" w:eastAsia="zh-CN"/>
        </w:rPr>
        <w:t>备注：本单位2026年没有使用国有资本经营预算拨款安排的支出。</w:t>
      </w:r>
    </w:p>
    <w:p>
      <w:pPr>
        <w:tabs>
          <w:tab w:val="left" w:pos="7513"/>
        </w:tabs>
        <w:adjustRightInd w:val="0"/>
        <w:snapToGrid w:val="0"/>
        <w:spacing w:line="600" w:lineRule="exact"/>
        <w:jc w:val="both"/>
        <w:rPr>
          <w:rFonts w:hint="eastAsia" w:ascii="仿宋" w:hAnsi="仿宋" w:eastAsia="仿宋"/>
          <w:sz w:val="32"/>
          <w:szCs w:val="32"/>
          <w:lang w:val="en-US" w:eastAsia="zh-CN"/>
        </w:rPr>
        <w:sectPr>
          <w:pgSz w:w="11906" w:h="16838"/>
          <w:pgMar w:top="1440" w:right="1803" w:bottom="1440" w:left="1803" w:header="851" w:footer="992" w:gutter="0"/>
          <w:pgNumType w:fmt="decimal"/>
          <w:cols w:space="720" w:num="1"/>
          <w:docGrid w:type="linesAndChars" w:linePitch="312" w:charSpace="0"/>
        </w:sectPr>
      </w:pPr>
    </w:p>
    <w:p>
      <w:pPr>
        <w:rPr>
          <w:rFonts w:hint="default" w:ascii="仿宋" w:hAnsi="仿宋" w:eastAsia="仿宋"/>
          <w:sz w:val="32"/>
          <w:szCs w:val="32"/>
          <w:lang w:val="en-US" w:eastAsia="zh-CN"/>
        </w:rPr>
      </w:pPr>
    </w:p>
    <w:p>
      <w:pPr>
        <w:pStyle w:val="2"/>
        <w:spacing w:before="0" w:after="0"/>
        <w:rPr>
          <w:rFonts w:hint="eastAsia" w:ascii="黑体" w:hAnsi="黑体" w:eastAsia="黑体" w:cs="黑体"/>
          <w:b w:val="0"/>
          <w:bCs/>
          <w:lang w:val="en-US" w:eastAsia="zh-CN"/>
        </w:rPr>
      </w:pPr>
      <w:bookmarkStart w:id="15" w:name="_Toc15771"/>
      <w:r>
        <w:rPr>
          <w:rFonts w:hint="eastAsia"/>
          <w:b w:val="0"/>
          <w:bCs/>
          <w:lang w:val="en-US" w:eastAsia="zh-CN"/>
        </w:rPr>
        <w:t>八、一般公共预算支出经济分类情况表</w:t>
      </w:r>
      <w:bookmarkEnd w:id="15"/>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年度一般公共预算支出经济分类情况表</w:t>
      </w:r>
    </w:p>
    <w:p>
      <w:pPr>
        <w:tabs>
          <w:tab w:val="left" w:pos="7513"/>
        </w:tabs>
        <w:adjustRightInd w:val="0"/>
        <w:snapToGrid w:val="0"/>
        <w:spacing w:line="300" w:lineRule="exact"/>
        <w:jc w:val="righ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4135"/>
        <w:gridCol w:w="2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blHeader/>
        </w:trPr>
        <w:tc>
          <w:tcPr>
            <w:tcW w:w="1964"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4135"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2138"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6099" w:type="dxa"/>
            <w:gridSpan w:val="2"/>
            <w:noWrap w:val="0"/>
            <w:vAlign w:val="center"/>
          </w:tcPr>
          <w:p>
            <w:pPr>
              <w:widowControl w:val="0"/>
              <w:jc w:val="center"/>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合计</w:t>
            </w:r>
          </w:p>
        </w:tc>
        <w:tc>
          <w:tcPr>
            <w:tcW w:w="2138" w:type="dxa"/>
            <w:noWrap w:val="0"/>
            <w:vAlign w:val="center"/>
          </w:tcPr>
          <w:p>
            <w:pPr>
              <w:widowControl w:val="0"/>
              <w:jc w:val="right"/>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235.28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4" w:type="dxa"/>
            <w:noWrap w:val="0"/>
            <w:vAlign w:val="center"/>
          </w:tcPr>
          <w:p>
            <w:r>
              <w:t>301</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工资福利支出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163.85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4" w:type="dxa"/>
            <w:noWrap w:val="0"/>
            <w:vAlign w:val="center"/>
          </w:tcPr>
          <w:p>
            <w:r>
              <w:t>302</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商品和服务支出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58.45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4" w:type="dxa"/>
            <w:noWrap w:val="0"/>
            <w:vAlign w:val="center"/>
          </w:tcPr>
          <w:p>
            <w:r>
              <w:t>303</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对个人和家庭的补助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12.98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4" w:type="dxa"/>
            <w:noWrap w:val="0"/>
            <w:vAlign w:val="center"/>
          </w:tcPr>
          <w:p>
            <w:r>
              <w:t>307</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债务利息及费用支出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4" w:type="dxa"/>
            <w:noWrap w:val="0"/>
            <w:vAlign w:val="center"/>
          </w:tcPr>
          <w:p>
            <w:r>
              <w:t>309</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资本性支出（基本建设）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4" w:type="dxa"/>
            <w:noWrap w:val="0"/>
            <w:vAlign w:val="center"/>
          </w:tcPr>
          <w:p>
            <w:r>
              <w:t>310</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资本性支出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4" w:type="dxa"/>
            <w:noWrap w:val="0"/>
            <w:vAlign w:val="center"/>
          </w:tcPr>
          <w:p>
            <w:r>
              <w:t>311</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对企业补助（基本建设）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4" w:type="dxa"/>
            <w:noWrap w:val="0"/>
            <w:vAlign w:val="center"/>
          </w:tcPr>
          <w:p>
            <w:r>
              <w:t>312</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对企业补助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4" w:type="dxa"/>
            <w:noWrap w:val="0"/>
            <w:vAlign w:val="center"/>
          </w:tcPr>
          <w:p>
            <w:r>
              <w:t>313</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对社会保障基金补助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4" w:type="dxa"/>
            <w:noWrap w:val="0"/>
            <w:vAlign w:val="center"/>
          </w:tcPr>
          <w:p>
            <w:r>
              <w:t>399</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其他支出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bl>
    <w:p>
      <w:pPr>
        <w:tabs>
          <w:tab w:val="left" w:pos="7513"/>
        </w:tabs>
        <w:adjustRightInd w:val="0"/>
        <w:snapToGrid w:val="0"/>
        <w:spacing w:line="600" w:lineRule="exact"/>
        <w:jc w:val="both"/>
        <w:rPr>
          <w:rFonts w:hint="eastAsia" w:ascii="仿宋" w:hAnsi="仿宋" w:eastAsia="仿宋" w:cs="仿宋"/>
          <w:sz w:val="32"/>
          <w:lang w:val="en-US" w:eastAsia="zh-CN"/>
        </w:rPr>
        <w:sectPr>
          <w:pgSz w:w="11906" w:h="16838"/>
          <w:pgMar w:top="1440" w:right="1803" w:bottom="1440" w:left="1803" w:header="851" w:footer="992" w:gutter="0"/>
          <w:pgNumType w:fmt="decimal"/>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6" w:name="_Toc26464"/>
      <w:r>
        <w:rPr>
          <w:rFonts w:hint="eastAsia"/>
          <w:b w:val="0"/>
          <w:bCs/>
        </w:rPr>
        <w:t>九、一般公共预算基本支出经济分类情况表</w:t>
      </w:r>
      <w:bookmarkEnd w:id="16"/>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年度一般公共预算基本支出经济分类情况表</w:t>
      </w:r>
    </w:p>
    <w:p>
      <w:pPr>
        <w:tabs>
          <w:tab w:val="left" w:pos="7513"/>
        </w:tabs>
        <w:adjustRightInd w:val="0"/>
        <w:snapToGrid w:val="0"/>
        <w:spacing w:line="300" w:lineRule="exact"/>
        <w:jc w:val="right"/>
        <w:rPr>
          <w:rFonts w:hint="eastAsia" w:ascii="宋体" w:hAnsi="宋体" w:eastAsia="宋体" w:cs="宋体"/>
          <w:kern w:val="0"/>
          <w:sz w:val="22"/>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1"/>
        <w:gridCol w:w="3"/>
        <w:gridCol w:w="4135"/>
        <w:gridCol w:w="2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blHeader/>
        </w:trPr>
        <w:tc>
          <w:tcPr>
            <w:tcW w:w="1964" w:type="dxa"/>
            <w:gridSpan w:val="2"/>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4135"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2138"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6099" w:type="dxa"/>
            <w:gridSpan w:val="3"/>
            <w:noWrap w:val="0"/>
            <w:vAlign w:val="center"/>
          </w:tcPr>
          <w:p>
            <w:pPr>
              <w:widowControl w:val="0"/>
              <w:jc w:val="center"/>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合计</w:t>
            </w:r>
          </w:p>
        </w:tc>
        <w:tc>
          <w:tcPr>
            <w:tcW w:w="2138" w:type="dxa"/>
            <w:noWrap w:val="0"/>
            <w:vAlign w:val="center"/>
          </w:tcPr>
          <w:p>
            <w:pPr>
              <w:widowControl w:val="0"/>
              <w:jc w:val="right"/>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210.28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rPr>
                <w:b/>
              </w:rPr>
              <w:t>301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工资福利支出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163.85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30101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基本工资</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55.9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30102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津贴补贴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30103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奖金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30106</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伙食补助费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30107</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绩效工资</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30108</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机关事业单位基本养老保险缴费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30109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职业年金缴费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30110</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职工基本医疗保险缴费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6.64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30111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公务员医疗补助缴费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9.42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30112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其他社会保障缴费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30113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住房公积金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9.95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30114</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医疗费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30199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其他工资福利支出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rPr>
                <w:b/>
              </w:rPr>
              <w:t>302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商品和服务支出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30201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30202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印刷费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30204</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手续费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30205</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30206</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电费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30207</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邮电费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30208</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取暖费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30209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物业管理费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30211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差旅费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30212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因公出国（境）费用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30213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维修（护）费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30214</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租赁费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30215</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会议费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30216</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培训费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30217</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公务接待费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30218</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专用材料费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30224</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被装购置费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30225</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专用燃料费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30226</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劳务费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30227</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委托业务费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30228</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工会经费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30231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公务用车运行维护费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30239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30240</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税金及附加费用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30299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其他商品和服务支出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rPr>
                <w:b/>
              </w:rPr>
              <w:t>303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对个人和家庭的补助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30301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离休费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30302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退休费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30303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退职（役）费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30304</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抚恤金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30305</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生活补助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30306</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救济费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30307</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医疗费补助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30308</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助学金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30309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奖励金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30310</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个人农业生产补贴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30311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代缴社会保险费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30399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其他对个人和家庭的补助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307</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债务利息及费用支出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30701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国内债务付息</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30702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国外债务付息</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30703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国内债务发行费用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30704</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国外债务发行费用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资本性支出（基本建设）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30901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房屋建筑物购建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30902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办公设备购置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30903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专用设备购置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30905</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基础设施建设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30906</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大型修缮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30907</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信息网络及软件购置更新</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30908</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物资储备</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30913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30919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其他交通工具购置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30921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文物和陈列品购置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30922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无形资产购置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30999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其他基本建设支出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31001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房屋建筑物购建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31002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办公设备购置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31003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专用设备购置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31005</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基础设施建设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31006</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大型修缮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31007</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信息网络及软件购置更新</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31008</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物资储备</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31009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土地补偿</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31010</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安置补助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31011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地上附着物和青苗补偿</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31012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拆迁补偿</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31013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31019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其他交通工具购置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31021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文物和陈列品购置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31022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无形资产购置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31099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其他资本性支出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对企业补助（基本建设）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31101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资本金注入（基本建设）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31199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其他对企业补助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对企业补助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31201</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资本金注入</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31203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政府投资基金股权投资</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31204</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费用补贴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31205</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利息补贴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31206</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其他资本性补助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31299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其他对企业补助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对社会保障基金补助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31302</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对社会保险基金补助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31303</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补充全国社会保障基金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31304</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对机关事业单位职业年金的补助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399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39907</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国家赔偿费用支出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39908</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对民间非营利组织和群众性自治组织补贴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39909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经常性赠与</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39910</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资本性赠与</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61" w:type="dxa"/>
            <w:noWrap w:val="0"/>
            <w:vAlign w:val="center"/>
          </w:tcPr>
          <w:p>
            <w:r>
              <w:t>39999</w:t>
            </w:r>
          </w:p>
        </w:tc>
        <w:tc>
          <w:tcPr>
            <w:tcW w:w="4138" w:type="dxa"/>
            <w:gridSpan w:val="2"/>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bl>
    <w:p>
      <w:pPr>
        <w:tabs>
          <w:tab w:val="left" w:pos="7513"/>
        </w:tabs>
        <w:adjustRightInd w:val="0"/>
        <w:snapToGrid w:val="0"/>
        <w:spacing w:line="600" w:lineRule="exact"/>
        <w:jc w:val="both"/>
        <w:rPr>
          <w:rFonts w:hint="eastAsia" w:ascii="仿宋" w:hAnsi="仿宋" w:eastAsia="仿宋"/>
          <w:sz w:val="32"/>
          <w:szCs w:val="32"/>
          <w:lang w:val="en-US" w:eastAsia="zh-CN"/>
        </w:rPr>
        <w:sectPr>
          <w:pgSz w:w="11906" w:h="16838"/>
          <w:pgMar w:top="1440" w:right="1803" w:bottom="1440" w:left="1803" w:header="851" w:footer="992" w:gutter="0"/>
          <w:pgNumType w:fmt="decimal"/>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7" w:name="_Toc23124"/>
      <w:r>
        <w:rPr>
          <w:rFonts w:hint="eastAsia"/>
          <w:b w:val="0"/>
          <w:bCs/>
        </w:rPr>
        <w:t>十、一般公共预算“三公”经费支出预算表</w:t>
      </w:r>
      <w:bookmarkEnd w:id="17"/>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年度一般公共预算“三公”经费支出预算表</w:t>
      </w:r>
    </w:p>
    <w:p>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0"/>
        <w:gridCol w:w="4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090"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4147"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090" w:type="dxa"/>
            <w:noWrap w:val="0"/>
            <w:vAlign w:val="center"/>
          </w:tcPr>
          <w:p>
            <w:pPr>
              <w:widowControl w:val="0"/>
              <w:jc w:val="center"/>
              <w:rPr>
                <w:rFonts w:ascii="宋体" w:hAnsi="宋体" w:eastAsia="宋体" w:cs="宋体"/>
                <w:b/>
                <w:bCs/>
                <w:i w:val="0"/>
                <w:strike w:val="0"/>
                <w:color w:val="auto"/>
                <w:kern w:val="2"/>
                <w:position w:val="-1"/>
                <w:sz w:val="22"/>
                <w:szCs w:val="22"/>
                <w:u w:val="none"/>
                <w:lang w:val="en-US" w:eastAsia="zh-CN" w:bidi="ar-SA"/>
              </w:rPr>
            </w:pPr>
            <w:r>
              <w:rPr>
                <w:rFonts w:hint="eastAsia" w:ascii="宋体" w:hAnsi="宋体" w:eastAsia="宋体" w:cs="宋体"/>
                <w:b/>
                <w:bCs/>
                <w:kern w:val="2"/>
                <w:position w:val="-1"/>
                <w:sz w:val="22"/>
                <w:szCs w:val="22"/>
                <w:lang w:val="en-US" w:eastAsia="zh-CN" w:bidi="ar-SA"/>
              </w:rPr>
              <w:t>合计</w:t>
            </w:r>
          </w:p>
        </w:tc>
        <w:tc>
          <w:tcPr>
            <w:tcW w:w="4147" w:type="dxa"/>
            <w:noWrap w:val="0"/>
            <w:vAlign w:val="center"/>
          </w:tcPr>
          <w:p>
            <w:pPr>
              <w:widowControl w:val="0"/>
              <w:jc w:val="right"/>
              <w:rPr>
                <w:rFonts w:ascii="宋体" w:hAnsi="宋体" w:eastAsia="宋体" w:cs="宋体"/>
                <w:b/>
                <w:bCs/>
                <w:i w:val="0"/>
                <w:strike w:val="0"/>
                <w:color w:val="auto"/>
                <w:kern w:val="2"/>
                <w:position w:val="-1"/>
                <w:sz w:val="22"/>
                <w:szCs w:val="22"/>
                <w:u w:val="none"/>
                <w:lang w:val="en-US" w:eastAsia="zh-CN" w:bidi="ar-SA"/>
              </w:rPr>
            </w:pPr>
            <w:r>
              <w:rPr>
                <w:rFonts w:hint="eastAsia" w:ascii="宋体" w:hAnsi="宋体" w:eastAsia="宋体" w:cs="宋体"/>
                <w:b/>
                <w:bCs/>
                <w:kern w:val="2"/>
                <w:position w:val="-1"/>
                <w:sz w:val="22"/>
                <w:szCs w:val="22"/>
                <w:lang w:val="en-US" w:eastAsia="zh-CN" w:bidi="ar-SA"/>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090"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1、因公出国（境）费用</w:t>
            </w:r>
          </w:p>
        </w:tc>
        <w:tc>
          <w:tcPr>
            <w:tcW w:w="4147"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090"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2、公务接待费</w:t>
            </w:r>
          </w:p>
        </w:tc>
        <w:tc>
          <w:tcPr>
            <w:tcW w:w="4147"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090"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3、公务用车购置及运行费</w:t>
            </w:r>
          </w:p>
        </w:tc>
        <w:tc>
          <w:tcPr>
            <w:tcW w:w="4147"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090"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其中：（1）公务用车购置费</w:t>
            </w:r>
          </w:p>
        </w:tc>
        <w:tc>
          <w:tcPr>
            <w:tcW w:w="4147"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090" w:type="dxa"/>
            <w:noWrap w:val="0"/>
            <w:vAlign w:val="center"/>
          </w:tcPr>
          <w:p>
            <w:pPr>
              <w:widowControl w:val="0"/>
              <w:ind w:firstLine="660" w:firstLineChars="30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（2）公务用车运行费</w:t>
            </w:r>
          </w:p>
        </w:tc>
        <w:tc>
          <w:tcPr>
            <w:tcW w:w="4147"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bl>
    <w:p>
      <w:pPr>
        <w:tabs>
          <w:tab w:val="left" w:pos="7513"/>
        </w:tabs>
        <w:adjustRightInd w:val="0"/>
        <w:snapToGrid w:val="0"/>
        <w:spacing w:line="600" w:lineRule="exact"/>
        <w:jc w:val="both"/>
        <w:rPr>
          <w:rFonts w:hint="eastAsia" w:ascii="仿宋" w:hAnsi="仿宋" w:eastAsia="仿宋"/>
          <w:sz w:val="32"/>
          <w:szCs w:val="32"/>
          <w:lang w:val="en-US" w:eastAsia="zh-CN"/>
        </w:rPr>
        <w:sectPr>
          <w:pgSz w:w="11906" w:h="16838"/>
          <w:pgMar w:top="1440" w:right="1803" w:bottom="1440" w:left="1803" w:header="851" w:footer="992" w:gutter="0"/>
          <w:pgNumType w:fmt="decimal"/>
          <w:cols w:space="720" w:num="1"/>
          <w:docGrid w:type="linesAndChars" w:linePitch="312" w:charSpace="0"/>
        </w:sect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jc w:val="center"/>
        <w:rPr>
          <w:rFonts w:ascii="黑体" w:hAnsi="黑体" w:eastAsia="黑体"/>
          <w:sz w:val="36"/>
          <w:szCs w:val="36"/>
          <w:lang w:eastAsia="zh-CN"/>
        </w:rPr>
      </w:pPr>
    </w:p>
    <w:p>
      <w:pPr>
        <w:pStyle w:val="3"/>
        <w:keepNext w:val="0"/>
        <w:keepLines w:val="0"/>
        <w:pageBreakBefore w:val="0"/>
        <w:widowControl w:val="0"/>
        <w:kinsoku/>
        <w:wordWrap/>
        <w:overflowPunct/>
        <w:topLinePunct w:val="0"/>
        <w:autoSpaceDE/>
        <w:autoSpaceDN/>
        <w:bidi w:val="0"/>
        <w:adjustRightInd/>
        <w:snapToGrid/>
        <w:spacing w:after="320" w:line="240" w:lineRule="auto"/>
        <w:jc w:val="left"/>
        <w:textAlignment w:val="auto"/>
        <w:rPr>
          <w:rStyle w:val="12"/>
          <w:rFonts w:hint="eastAsia" w:ascii="黑体" w:hAnsi="黑体" w:eastAsia="黑体" w:cs="黑体"/>
          <w:b w:val="0"/>
          <w:bCs/>
          <w:sz w:val="56"/>
          <w:szCs w:val="56"/>
          <w:lang w:val="en-US" w:eastAsia="zh-CN"/>
        </w:rPr>
      </w:pPr>
      <w:bookmarkStart w:id="18" w:name="_Toc21214"/>
      <w:r>
        <w:rPr>
          <w:rStyle w:val="12"/>
          <w:rFonts w:hint="eastAsia"/>
          <w:b w:val="0"/>
          <w:bCs/>
          <w:sz w:val="56"/>
          <w:szCs w:val="56"/>
        </w:rPr>
        <w:t>第三部分</w:t>
      </w:r>
    </w:p>
    <w:bookmarkEnd w:id="18"/>
    <w:p>
      <w:pPr>
        <w:pStyle w:val="2"/>
        <w:pageBreakBefore w:val="0"/>
        <w:widowControl w:val="0"/>
        <w:kinsoku/>
        <w:wordWrap/>
        <w:overflowPunct/>
        <w:topLinePunct w:val="0"/>
        <w:autoSpaceDE/>
        <w:autoSpaceDN/>
        <w:bidi w:val="0"/>
        <w:adjustRightInd/>
        <w:snapToGrid/>
        <w:spacing w:after="320" w:line="240" w:lineRule="auto"/>
        <w:jc w:val="center"/>
        <w:textAlignment w:val="auto"/>
        <w:rPr>
          <w:rFonts w:ascii="仿宋" w:hAnsi="仿宋" w:eastAsia="仿宋"/>
          <w:b/>
          <w:sz w:val="56"/>
          <w:szCs w:val="56"/>
        </w:rPr>
        <w:sectPr>
          <w:pgSz w:w="11906" w:h="16838"/>
          <w:pgMar w:top="1440" w:right="1800" w:bottom="1440" w:left="1800" w:header="851" w:footer="992" w:gutter="0"/>
          <w:pgNumType w:fmt="decimal"/>
          <w:cols w:space="720" w:num="1"/>
          <w:docGrid w:type="lines" w:linePitch="312" w:charSpace="0"/>
        </w:sectPr>
      </w:pPr>
      <w:bookmarkStart w:id="19" w:name="_Toc20090"/>
      <w:r>
        <w:rPr>
          <w:rFonts w:hint="eastAsia" w:ascii="黑体" w:hAnsi="黑体" w:eastAsia="黑体" w:cs="黑体"/>
          <w:b w:val="0"/>
          <w:bCs/>
          <w:sz w:val="56"/>
          <w:szCs w:val="56"/>
          <w:lang w:eastAsia="zh-CN"/>
        </w:rPr>
        <w:t>2026</w:t>
      </w:r>
      <w:r>
        <w:rPr>
          <w:rFonts w:ascii="黑体" w:hAnsi="黑体" w:eastAsia="黑体" w:cs="黑体"/>
          <w:b w:val="0"/>
          <w:bCs/>
          <w:sz w:val="56"/>
          <w:szCs w:val="56"/>
        </w:rPr>
        <w:t>年度</w:t>
      </w:r>
      <w:r>
        <w:rPr>
          <w:rFonts w:hint="eastAsia" w:ascii="黑体" w:hAnsi="黑体" w:cs="黑体"/>
          <w:b w:val="0"/>
          <w:bCs/>
          <w:sz w:val="56"/>
          <w:szCs w:val="56"/>
          <w:lang w:val="en-US" w:eastAsia="zh-CN"/>
        </w:rPr>
        <w:t>单位</w:t>
      </w:r>
      <w:r>
        <w:rPr>
          <w:rFonts w:ascii="黑体" w:hAnsi="黑体" w:eastAsia="黑体" w:cs="黑体"/>
          <w:b w:val="0"/>
          <w:bCs/>
          <w:sz w:val="56"/>
          <w:szCs w:val="56"/>
        </w:rPr>
        <w:t>预算情况说明</w:t>
      </w:r>
      <w:bookmarkEnd w:id="19"/>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default" w:ascii="Calibri" w:hAnsi="Calibri" w:eastAsia="黑体" w:cs="Times New Roman"/>
          <w:b w:val="0"/>
          <w:bCs/>
          <w:kern w:val="44"/>
          <w:sz w:val="32"/>
          <w:szCs w:val="22"/>
          <w:lang w:val="en-US" w:eastAsia="zh-CN" w:bidi="ar-SA"/>
        </w:rPr>
      </w:pPr>
      <w:bookmarkStart w:id="20" w:name="_Toc24491"/>
      <w:r>
        <w:rPr>
          <w:rFonts w:hint="eastAsia" w:cs="Times New Roman"/>
          <w:b w:val="0"/>
          <w:bCs/>
          <w:kern w:val="44"/>
          <w:sz w:val="32"/>
          <w:szCs w:val="22"/>
          <w:lang w:val="en-US" w:eastAsia="zh-CN" w:bidi="ar-SA"/>
        </w:rPr>
        <w:t>一、预算收支总体情况</w:t>
      </w:r>
      <w:bookmarkEnd w:id="20"/>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ascii="仿宋" w:hAnsi="仿宋" w:eastAsia="仿宋"/>
          <w:sz w:val="32"/>
          <w:szCs w:val="32"/>
        </w:rPr>
      </w:pPr>
      <w:r>
        <w:rPr>
          <w:rFonts w:ascii="仿宋" w:hAnsi="仿宋" w:eastAsia="仿宋" w:cs="仿宋"/>
          <w:sz w:val="32"/>
        </w:rPr>
        <w:t>按照综合预算的原则，</w:t>
      </w:r>
      <w:r>
        <w:rPr>
          <w:rFonts w:hint="eastAsia" w:ascii="仿宋" w:hAnsi="仿宋" w:eastAsia="仿宋" w:cs="仿宋"/>
          <w:sz w:val="32"/>
          <w:lang w:val="en-US" w:eastAsia="zh-CN"/>
        </w:rPr>
        <w:t>单位</w:t>
      </w:r>
      <w:r>
        <w:rPr>
          <w:rFonts w:ascii="仿宋" w:hAnsi="仿宋" w:eastAsia="仿宋" w:cs="仿宋"/>
          <w:sz w:val="32"/>
        </w:rPr>
        <w:t>所有收入和支出均纳入</w:t>
      </w:r>
      <w:r>
        <w:rPr>
          <w:rFonts w:hint="eastAsia" w:ascii="仿宋" w:hAnsi="仿宋" w:eastAsia="仿宋" w:cs="仿宋"/>
          <w:sz w:val="32"/>
          <w:lang w:val="en-US" w:eastAsia="zh-CN"/>
        </w:rPr>
        <w:t>单位</w:t>
      </w:r>
      <w:r>
        <w:rPr>
          <w:rFonts w:ascii="仿宋" w:hAnsi="仿宋" w:eastAsia="仿宋" w:cs="仿宋"/>
          <w:sz w:val="32"/>
        </w:rPr>
        <w:t>预算管理。</w:t>
      </w:r>
      <w:r>
        <w:rPr>
          <w:rFonts w:hint="eastAsia" w:ascii="仿宋" w:hAnsi="仿宋" w:eastAsia="仿宋" w:cs="仿宋"/>
          <w:sz w:val="32"/>
          <w:lang w:eastAsia="zh-CN"/>
        </w:rPr>
        <w:t>2026</w:t>
      </w:r>
      <w:r>
        <w:rPr>
          <w:rFonts w:ascii="仿宋" w:hAnsi="仿宋" w:eastAsia="仿宋" w:cs="仿宋"/>
          <w:sz w:val="32"/>
        </w:rPr>
        <w:t>年</w:t>
      </w:r>
      <w:r>
        <w:rPr>
          <w:rFonts w:hint="eastAsia" w:ascii="仿宋" w:hAnsi="仿宋" w:eastAsia="仿宋" w:cs="仿宋"/>
          <w:sz w:val="32"/>
          <w:lang w:eastAsia="zh-CN"/>
        </w:rPr>
        <w:t>，</w:t>
      </w:r>
      <w:r>
        <w:rPr>
          <w:rFonts w:hint="eastAsia" w:ascii="仿宋" w:hAnsi="仿宋" w:eastAsia="仿宋" w:cs="仿宋"/>
          <w:sz w:val="32"/>
          <w:lang w:val="en-US" w:eastAsia="zh-CN"/>
        </w:rPr>
        <w:t>上杭县文化馆</w:t>
      </w:r>
      <w:r>
        <w:rPr>
          <w:rFonts w:ascii="仿宋" w:hAnsi="仿宋" w:eastAsia="仿宋" w:cs="仿宋"/>
          <w:sz w:val="32"/>
        </w:rPr>
        <w:t>收入预算为</w:t>
      </w:r>
      <w:r>
        <w:rPr>
          <w:rFonts w:hint="eastAsia" w:ascii="仿宋" w:hAnsi="仿宋" w:eastAsia="仿宋" w:cs="仿宋"/>
          <w:sz w:val="32"/>
        </w:rPr>
        <w:t>235.28</w:t>
      </w:r>
      <w:r>
        <w:rPr>
          <w:rFonts w:ascii="仿宋" w:hAnsi="仿宋" w:eastAsia="仿宋" w:cs="仿宋"/>
          <w:sz w:val="32"/>
        </w:rPr>
        <w:t>万元，</w:t>
      </w:r>
      <w:r>
        <w:rPr>
          <w:rFonts w:hint="eastAsia" w:ascii="仿宋" w:hAnsi="仿宋" w:eastAsia="仿宋" w:cs="仿宋_GB2312"/>
          <w:sz w:val="32"/>
          <w:szCs w:val="32"/>
        </w:rPr>
        <w:t>比上年增加10.23万元</w:t>
      </w:r>
      <w:r>
        <w:rPr>
          <w:rFonts w:ascii="仿宋" w:hAnsi="仿宋" w:eastAsia="仿宋" w:cs="仿宋"/>
          <w:sz w:val="32"/>
          <w:u w:val="none" w:color="auto"/>
        </w:rPr>
        <w:t>，主要原因是：</w:t>
      </w:r>
      <w:r>
        <w:rPr>
          <w:rFonts w:hint="eastAsia" w:ascii="仿宋" w:hAnsi="仿宋" w:eastAsia="仿宋" w:cs="仿宋"/>
          <w:sz w:val="32"/>
          <w:u w:val="none" w:color="auto"/>
          <w:lang w:val="en-US" w:eastAsia="zh-CN"/>
        </w:rPr>
        <w:t>人员经费增加</w:t>
      </w:r>
      <w:r>
        <w:rPr>
          <w:rFonts w:hint="eastAsia" w:ascii="仿宋" w:hAnsi="仿宋" w:eastAsia="仿宋" w:cs="仿宋"/>
          <w:sz w:val="32"/>
          <w:lang w:val="en-US" w:eastAsia="zh-CN"/>
        </w:rPr>
        <w:t>。</w:t>
      </w:r>
      <w:r>
        <w:rPr>
          <w:rFonts w:ascii="仿宋" w:hAnsi="仿宋" w:eastAsia="仿宋" w:cs="仿宋"/>
          <w:sz w:val="32"/>
        </w:rPr>
        <w:t>其中：</w:t>
      </w:r>
      <w:r>
        <w:rPr>
          <w:rFonts w:hint="eastAsia" w:ascii="仿宋" w:hAnsi="仿宋" w:eastAsia="仿宋" w:cs="仿宋"/>
          <w:sz w:val="32"/>
        </w:rPr>
        <w:t>一般公共预算拨款收入235.28万元。</w:t>
      </w:r>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lang w:val="en-US" w:eastAsia="zh-CN"/>
        </w:rPr>
      </w:pPr>
      <w:r>
        <w:rPr>
          <w:rFonts w:ascii="仿宋" w:hAnsi="仿宋" w:eastAsia="仿宋" w:cs="仿宋"/>
          <w:sz w:val="32"/>
        </w:rPr>
        <w:t>相应安排支出预算</w:t>
      </w:r>
      <w:r>
        <w:rPr>
          <w:rFonts w:hint="eastAsia" w:ascii="仿宋" w:hAnsi="仿宋" w:eastAsia="仿宋" w:cs="仿宋"/>
          <w:sz w:val="32"/>
          <w:lang w:val="en-US" w:eastAsia="zh-CN"/>
        </w:rPr>
        <w:t>235.28</w:t>
      </w:r>
      <w:r>
        <w:rPr>
          <w:rFonts w:ascii="仿宋" w:hAnsi="仿宋" w:eastAsia="仿宋" w:cs="仿宋"/>
          <w:sz w:val="32"/>
        </w:rPr>
        <w:t>万元，</w:t>
      </w:r>
      <w:r>
        <w:rPr>
          <w:rFonts w:hint="eastAsia" w:ascii="仿宋" w:hAnsi="仿宋" w:eastAsia="仿宋" w:cs="仿宋"/>
          <w:sz w:val="32"/>
          <w:lang w:val="en-US" w:eastAsia="zh-CN"/>
        </w:rPr>
        <w:t>比上年增加10.23万元</w:t>
      </w:r>
      <w:r>
        <w:rPr>
          <w:rFonts w:hint="eastAsia" w:ascii="仿宋" w:hAnsi="仿宋" w:eastAsia="仿宋" w:cs="仿宋_GB2312"/>
          <w:sz w:val="32"/>
          <w:szCs w:val="32"/>
          <w:highlight w:val="none"/>
          <w:lang w:val="en-US" w:eastAsia="zh-CN"/>
        </w:rPr>
        <w:t>，主要原因</w:t>
      </w:r>
      <w:r>
        <w:rPr>
          <w:rFonts w:ascii="仿宋" w:hAnsi="仿宋" w:eastAsia="仿宋" w:cs="仿宋"/>
          <w:sz w:val="32"/>
          <w:u w:val="none" w:color="auto"/>
        </w:rPr>
        <w:t>是</w:t>
      </w:r>
      <w:r>
        <w:rPr>
          <w:rFonts w:ascii="仿宋" w:hAnsi="仿宋" w:eastAsia="仿宋" w:cs="仿宋"/>
          <w:sz w:val="32"/>
        </w:rPr>
        <w:t>：</w:t>
      </w:r>
      <w:r>
        <w:rPr>
          <w:rFonts w:hint="eastAsia" w:ascii="仿宋" w:hAnsi="仿宋" w:eastAsia="仿宋" w:cs="仿宋_GB2312"/>
          <w:sz w:val="32"/>
          <w:szCs w:val="32"/>
          <w:lang w:val="en-US" w:eastAsia="zh-CN"/>
        </w:rPr>
        <w:t>人员经费增加</w:t>
      </w:r>
      <w:r>
        <w:rPr>
          <w:rFonts w:hint="eastAsia" w:ascii="仿宋" w:hAnsi="仿宋" w:eastAsia="仿宋" w:cs="仿宋"/>
          <w:sz w:val="32"/>
          <w:lang w:val="en-US" w:eastAsia="zh-CN"/>
        </w:rPr>
        <w:t>。</w:t>
      </w:r>
      <w:r>
        <w:rPr>
          <w:rFonts w:ascii="仿宋" w:hAnsi="仿宋" w:eastAsia="仿宋" w:cs="仿宋"/>
          <w:sz w:val="32"/>
        </w:rPr>
        <w:t>其中：</w:t>
      </w:r>
      <w:r>
        <w:rPr>
          <w:rFonts w:hint="eastAsia" w:ascii="仿宋" w:hAnsi="仿宋" w:eastAsia="仿宋" w:cs="仿宋"/>
          <w:sz w:val="32"/>
          <w:lang w:val="en-US" w:eastAsia="zh-CN"/>
        </w:rPr>
        <w:t>基本支出210.28万元、项目支出25.00万元。</w:t>
      </w: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default"/>
          <w:b w:val="0"/>
          <w:bCs/>
          <w:lang w:val="en-US" w:eastAsia="zh-CN"/>
        </w:rPr>
      </w:pPr>
      <w:bookmarkStart w:id="21" w:name="_Toc17659"/>
      <w:r>
        <w:rPr>
          <w:rFonts w:hint="eastAsia"/>
          <w:b w:val="0"/>
          <w:bCs/>
          <w:lang w:val="en-US" w:eastAsia="zh-CN"/>
        </w:rPr>
        <w:t>二、一般公共预算拨款支出情况</w:t>
      </w:r>
      <w:bookmarkEnd w:id="21"/>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ascii="仿宋" w:hAnsi="仿宋" w:eastAsia="仿宋" w:cs="仿宋"/>
          <w:sz w:val="32"/>
          <w:u w:val="none" w:color="auto"/>
        </w:rPr>
      </w:pPr>
      <w:r>
        <w:rPr>
          <w:rFonts w:hint="eastAsia" w:ascii="仿宋" w:hAnsi="仿宋" w:eastAsia="仿宋" w:cs="仿宋"/>
          <w:sz w:val="32"/>
          <w:u w:val="none" w:color="auto"/>
          <w:lang w:eastAsia="zh-CN"/>
        </w:rPr>
        <w:t>2026</w:t>
      </w:r>
      <w:r>
        <w:rPr>
          <w:rFonts w:ascii="仿宋" w:hAnsi="仿宋" w:eastAsia="仿宋" w:cs="仿宋"/>
          <w:sz w:val="32"/>
          <w:u w:val="none" w:color="auto"/>
        </w:rPr>
        <w:t>年度一般公共预算拨款支出</w:t>
      </w:r>
      <w:r>
        <w:rPr>
          <w:rFonts w:hint="eastAsia" w:ascii="仿宋" w:hAnsi="仿宋" w:eastAsia="仿宋" w:cs="仿宋"/>
          <w:sz w:val="32"/>
          <w:lang w:val="en-US" w:eastAsia="zh-CN"/>
        </w:rPr>
        <w:t>235.28</w:t>
      </w:r>
      <w:r>
        <w:rPr>
          <w:rFonts w:ascii="仿宋" w:hAnsi="仿宋" w:eastAsia="仿宋" w:cs="仿宋"/>
          <w:sz w:val="32"/>
          <w:u w:val="none" w:color="auto"/>
        </w:rPr>
        <w:t>万元，</w:t>
      </w:r>
      <w:r>
        <w:rPr>
          <w:rFonts w:hint="eastAsia" w:ascii="仿宋" w:hAnsi="仿宋" w:eastAsia="仿宋" w:cs="仿宋"/>
          <w:sz w:val="32"/>
          <w:lang w:val="en-US" w:eastAsia="zh-CN"/>
        </w:rPr>
        <w:t>比上年增加10.23万元，增长4.55%</w:t>
      </w:r>
      <w:r>
        <w:rPr>
          <w:rFonts w:ascii="仿宋" w:hAnsi="仿宋" w:eastAsia="仿宋" w:cs="仿宋"/>
          <w:sz w:val="32"/>
          <w:u w:val="none" w:color="auto"/>
        </w:rPr>
        <w:t>，主要原因是：</w:t>
      </w:r>
      <w:r>
        <w:rPr>
          <w:rFonts w:hint="eastAsia" w:ascii="仿宋" w:hAnsi="仿宋" w:eastAsia="仿宋" w:cs="仿宋"/>
          <w:sz w:val="32"/>
          <w:lang w:val="en-US" w:eastAsia="zh-CN"/>
        </w:rPr>
        <w:t>人员经费增加</w:t>
      </w:r>
      <w:r>
        <w:rPr>
          <w:rFonts w:ascii="仿宋" w:hAnsi="仿宋" w:eastAsia="仿宋" w:cs="仿宋"/>
          <w:sz w:val="32"/>
          <w:u w:color="auto"/>
        </w:rPr>
        <w:t>。</w:t>
      </w:r>
      <w:r>
        <w:rPr>
          <w:rFonts w:hint="eastAsia" w:ascii="仿宋" w:hAnsi="仿宋" w:eastAsia="仿宋" w:cs="仿宋_GB2312"/>
          <w:sz w:val="32"/>
          <w:szCs w:val="32"/>
        </w:rPr>
        <w:t>按照党中央、国务院和省委、省政府关于过紧日子的有关要求，厉行节约办一切事业，大力压减一般性支出，重点压减了</w:t>
      </w:r>
      <w:r>
        <w:rPr>
          <w:rFonts w:hint="eastAsia" w:ascii="仿宋" w:hAnsi="仿宋" w:eastAsia="仿宋" w:cs="仿宋_GB2312"/>
          <w:sz w:val="32"/>
          <w:szCs w:val="32"/>
          <w:lang w:val="en-US" w:eastAsia="zh-CN"/>
        </w:rPr>
        <w:t>公用经费</w:t>
      </w:r>
      <w:r>
        <w:rPr>
          <w:rFonts w:hint="eastAsia" w:ascii="仿宋" w:hAnsi="仿宋" w:eastAsia="仿宋" w:cs="仿宋_GB2312"/>
          <w:sz w:val="32"/>
          <w:szCs w:val="32"/>
        </w:rPr>
        <w:t>，同时合理保障了</w:t>
      </w:r>
      <w:r>
        <w:rPr>
          <w:rFonts w:hint="eastAsia" w:ascii="仿宋" w:hAnsi="仿宋" w:eastAsia="仿宋" w:cs="仿宋_GB2312"/>
          <w:sz w:val="32"/>
          <w:szCs w:val="32"/>
          <w:lang w:val="en-US" w:eastAsia="zh-CN"/>
        </w:rPr>
        <w:t>群众文化</w:t>
      </w:r>
      <w:r>
        <w:rPr>
          <w:rFonts w:hint="eastAsia" w:ascii="仿宋" w:hAnsi="仿宋" w:eastAsia="仿宋" w:cs="仿宋_GB2312"/>
          <w:sz w:val="32"/>
          <w:szCs w:val="32"/>
        </w:rPr>
        <w:t>等工作的支出需求，体现在有关支出科目中。</w:t>
      </w:r>
      <w:r>
        <w:rPr>
          <w:rFonts w:ascii="仿宋" w:hAnsi="仿宋" w:eastAsia="仿宋" w:cs="仿宋"/>
          <w:sz w:val="32"/>
          <w:u w:val="none" w:color="auto"/>
        </w:rPr>
        <w:t>其中（按项级科目分类统计）：</w:t>
      </w:r>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ascii="仿宋" w:hAnsi="仿宋" w:eastAsia="仿宋" w:cs="仿宋"/>
          <w:sz w:val="32"/>
          <w:u w:val="none" w:color="auto"/>
        </w:rPr>
      </w:pPr>
      <w:r>
        <w:rPr>
          <w:rFonts w:ascii="仿宋" w:hAnsi="仿宋" w:eastAsia="仿宋" w:cs="仿宋"/>
          <w:sz w:val="32"/>
        </w:rPr>
        <w:t>（一） 2070109-群众文化235.28万元。主要用于人员经费、公用经费和项目经费支出。</w:t>
      </w: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eastAsia"/>
          <w:b w:val="0"/>
          <w:bCs/>
          <w:lang w:val="en-US" w:eastAsia="zh-CN"/>
        </w:rPr>
      </w:pPr>
      <w:bookmarkStart w:id="22" w:name="_Toc7059"/>
      <w:r>
        <w:rPr>
          <w:rFonts w:hint="eastAsia"/>
          <w:b w:val="0"/>
          <w:bCs/>
          <w:lang w:val="en-US" w:eastAsia="zh-CN"/>
        </w:rPr>
        <w:t>三、政府性基金预算拨款支出情况</w:t>
      </w:r>
      <w:bookmarkEnd w:id="22"/>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本单位2026年度没有使用政府性基金预算拨款安排的支出。</w:t>
      </w: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default" w:ascii="Calibri" w:hAnsi="Calibri" w:eastAsia="黑体" w:cs="Times New Roman"/>
          <w:b w:val="0"/>
          <w:bCs/>
          <w:kern w:val="44"/>
          <w:sz w:val="32"/>
          <w:szCs w:val="22"/>
          <w:lang w:val="en-US" w:eastAsia="zh-CN" w:bidi="ar-SA"/>
        </w:rPr>
      </w:pPr>
      <w:bookmarkStart w:id="23" w:name="_Toc20641"/>
      <w:r>
        <w:rPr>
          <w:rFonts w:hint="eastAsia" w:cs="Times New Roman"/>
          <w:b w:val="0"/>
          <w:bCs/>
          <w:kern w:val="44"/>
          <w:sz w:val="32"/>
          <w:szCs w:val="22"/>
          <w:lang w:val="en-US" w:eastAsia="zh-CN" w:bidi="ar-SA"/>
        </w:rPr>
        <w:t>四、国有资本经营预算拨款支出情况</w:t>
      </w:r>
      <w:bookmarkEnd w:id="23"/>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本单位2026年度没有使用国有资本经营预算拨款安排的支出。</w:t>
      </w: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24" w:name="_Toc24996"/>
      <w:r>
        <w:rPr>
          <w:rFonts w:hint="eastAsia"/>
          <w:b w:val="0"/>
          <w:bCs/>
        </w:rPr>
        <w:t>五、一般公共预算基本支出情况</w:t>
      </w:r>
      <w:bookmarkEnd w:id="24"/>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ascii="仿宋" w:hAnsi="仿宋" w:eastAsia="仿宋" w:cs="仿宋_GB2312"/>
          <w:sz w:val="32"/>
          <w:szCs w:val="32"/>
        </w:rPr>
      </w:pPr>
      <w:r>
        <w:rPr>
          <w:rFonts w:hint="eastAsia" w:ascii="仿宋" w:hAnsi="仿宋" w:eastAsia="仿宋" w:cs="仿宋"/>
          <w:sz w:val="32"/>
          <w:lang w:eastAsia="zh-CN"/>
        </w:rPr>
        <w:t>2026</w:t>
      </w:r>
      <w:r>
        <w:rPr>
          <w:rFonts w:ascii="仿宋" w:hAnsi="仿宋" w:eastAsia="仿宋" w:cs="仿宋"/>
          <w:sz w:val="32"/>
        </w:rPr>
        <w:t>年度一般公共预算拨款基本支出</w:t>
      </w:r>
      <w:r>
        <w:rPr>
          <w:rFonts w:hint="eastAsia" w:ascii="仿宋" w:hAnsi="仿宋" w:eastAsia="仿宋" w:cs="仿宋"/>
          <w:sz w:val="32"/>
          <w:lang w:val="en-US" w:eastAsia="zh-CN"/>
        </w:rPr>
        <w:t>210.28</w:t>
      </w:r>
      <w:r>
        <w:rPr>
          <w:rFonts w:ascii="仿宋" w:hAnsi="仿宋" w:eastAsia="仿宋" w:cs="仿宋"/>
          <w:sz w:val="32"/>
        </w:rPr>
        <w:t>万元，其中：</w:t>
      </w:r>
    </w:p>
    <w:p>
      <w:pPr>
        <w:keepNext w:val="0"/>
        <w:keepLines w:val="0"/>
        <w:pageBreakBefore w:val="0"/>
        <w:widowControl w:val="0"/>
        <w:numPr>
          <w:ilvl w:val="0"/>
          <w:numId w:val="0"/>
        </w:numPr>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hint="default" w:ascii="仿宋" w:hAnsi="仿宋" w:eastAsia="仿宋" w:cs="仿宋"/>
          <w:sz w:val="32"/>
          <w:lang w:val="en-US" w:eastAsia="zh-CN"/>
        </w:rPr>
      </w:pPr>
      <w:r>
        <w:rPr>
          <w:rFonts w:hint="eastAsia" w:ascii="仿宋" w:hAnsi="仿宋" w:eastAsia="仿宋" w:cs="仿宋"/>
          <w:kern w:val="2"/>
          <w:sz w:val="32"/>
          <w:szCs w:val="22"/>
          <w:lang w:val="en-US" w:eastAsia="zh-CN" w:bidi="ar-SA"/>
        </w:rPr>
        <w:t>（一）</w:t>
      </w:r>
      <w:r>
        <w:rPr>
          <w:rFonts w:hint="eastAsia" w:ascii="仿宋" w:hAnsi="仿宋" w:eastAsia="仿宋" w:cs="仿宋"/>
          <w:sz w:val="32"/>
          <w:lang w:val="en-US" w:eastAsia="zh-CN"/>
        </w:rPr>
        <w:t>人员经费</w:t>
      </w:r>
      <w:r>
        <w:rPr>
          <w:rFonts w:ascii="仿宋" w:hAnsi="仿宋" w:eastAsia="仿宋" w:cs="仿宋"/>
          <w:sz w:val="32"/>
          <w:u w:color="auto"/>
        </w:rPr>
        <w:t>176.83万元。主要包括：</w:t>
      </w:r>
      <w:r>
        <w:rPr>
          <w:rFonts w:hint="eastAsia" w:ascii="仿宋" w:hAnsi="仿宋" w:eastAsia="仿宋" w:cs="仿宋_GB2312"/>
          <w:sz w:val="32"/>
          <w:szCs w:val="32"/>
        </w:rPr>
        <w:t>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hint="eastAsia" w:ascii="仿宋" w:hAnsi="仿宋" w:eastAsia="仿宋" w:cs="仿宋"/>
          <w:sz w:val="32"/>
          <w:lang w:val="en-US" w:eastAsia="zh-CN"/>
        </w:rPr>
      </w:pPr>
      <w:r>
        <w:rPr>
          <w:rFonts w:hint="eastAsia" w:ascii="仿宋" w:hAnsi="仿宋" w:eastAsia="仿宋" w:cs="仿宋"/>
          <w:sz w:val="32"/>
          <w:lang w:val="en-US" w:eastAsia="zh-CN"/>
        </w:rPr>
        <w:t>（二）公用经费</w:t>
      </w:r>
      <w:r>
        <w:rPr>
          <w:rFonts w:ascii="仿宋" w:hAnsi="仿宋" w:eastAsia="仿宋" w:cs="仿宋"/>
          <w:sz w:val="32"/>
          <w:u w:color="auto"/>
        </w:rPr>
        <w:t>33.45万元。主要包括：</w:t>
      </w:r>
      <w:r>
        <w:rPr>
          <w:rFonts w:hint="eastAsia" w:ascii="仿宋" w:hAnsi="仿宋" w:eastAsia="仿宋" w:cs="仿宋_GB2312"/>
          <w:sz w:val="32"/>
          <w:szCs w:val="32"/>
        </w:rPr>
        <w:t>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25" w:name="_Toc19976"/>
      <w:r>
        <w:rPr>
          <w:rFonts w:hint="eastAsia"/>
          <w:b w:val="0"/>
          <w:bCs/>
        </w:rPr>
        <w:t>六、一般公共预算“三公”经费支出情况</w:t>
      </w:r>
      <w:bookmarkEnd w:id="25"/>
    </w:p>
    <w:p>
      <w:pPr>
        <w:widowControl/>
        <w:adjustRightInd w:val="0"/>
        <w:snapToGrid w:val="0"/>
        <w:spacing w:line="600" w:lineRule="exact"/>
        <w:ind w:firstLine="660"/>
        <w:rPr>
          <w:rFonts w:hint="eastAsia" w:ascii="楷体" w:hAnsi="楷体" w:eastAsia="楷体" w:cs="楷体"/>
          <w:b/>
          <w:bCs/>
          <w:kern w:val="0"/>
          <w:sz w:val="32"/>
          <w:szCs w:val="32"/>
        </w:rPr>
      </w:pPr>
      <w:r>
        <w:rPr>
          <w:rFonts w:hint="eastAsia" w:ascii="楷体" w:hAnsi="楷体" w:eastAsia="楷体" w:cs="楷体"/>
          <w:b/>
          <w:bCs/>
          <w:kern w:val="0"/>
          <w:sz w:val="32"/>
          <w:szCs w:val="32"/>
        </w:rPr>
        <w:t>（一）因公出国（境）经费</w:t>
      </w:r>
    </w:p>
    <w:p>
      <w:pPr>
        <w:widowControl/>
        <w:wordWrap w:val="0"/>
        <w:adjustRightInd w:val="0"/>
        <w:snapToGrid w:val="0"/>
        <w:spacing w:line="600" w:lineRule="exact"/>
        <w:ind w:firstLine="658"/>
        <w:jc w:val="left"/>
        <w:rPr>
          <w:rFonts w:hint="default" w:ascii="仿宋" w:hAnsi="仿宋" w:eastAsia="仿宋" w:cs="仿宋"/>
          <w:sz w:val="32"/>
          <w:lang w:val="en-US" w:eastAsia="zh-CN"/>
        </w:rPr>
      </w:pPr>
      <w:r>
        <w:rPr>
          <w:rFonts w:hint="eastAsia" w:ascii="仿宋" w:hAnsi="仿宋" w:eastAsia="仿宋" w:cs="仿宋"/>
          <w:sz w:val="32"/>
          <w:lang w:eastAsia="zh-CN"/>
        </w:rPr>
        <w:t>2026</w:t>
      </w:r>
      <w:r>
        <w:rPr>
          <w:rFonts w:ascii="仿宋" w:hAnsi="仿宋" w:eastAsia="仿宋" w:cs="仿宋"/>
          <w:sz w:val="32"/>
          <w:u w:val="none" w:color="auto"/>
        </w:rPr>
        <w:t>年预算安排</w:t>
      </w:r>
      <w:r>
        <w:rPr>
          <w:rFonts w:hint="eastAsia" w:ascii="仿宋" w:hAnsi="仿宋" w:eastAsia="仿宋" w:cs="仿宋"/>
          <w:sz w:val="32"/>
          <w:lang w:val="en-US" w:eastAsia="zh-CN"/>
        </w:rPr>
        <w:t>0</w:t>
      </w:r>
      <w:r>
        <w:rPr>
          <w:rFonts w:hint="eastAsia" w:ascii="仿宋" w:hAnsi="仿宋" w:eastAsia="仿宋" w:cs="仿宋"/>
          <w:sz w:val="32"/>
          <w:lang w:eastAsia="zh-CN"/>
        </w:rPr>
        <w:t>万元，</w:t>
      </w:r>
      <w:r>
        <w:rPr>
          <w:rFonts w:hint="eastAsia" w:ascii="仿宋" w:hAnsi="仿宋" w:eastAsia="仿宋" w:cs="仿宋"/>
          <w:sz w:val="32"/>
          <w:lang w:val="en-US" w:eastAsia="zh-CN"/>
        </w:rPr>
        <w:t>与上年持平</w:t>
      </w:r>
      <w:r>
        <w:rPr>
          <w:rFonts w:hint="eastAsia" w:ascii="仿宋" w:hAnsi="仿宋" w:eastAsia="仿宋" w:cs="仿宋"/>
          <w:sz w:val="32"/>
          <w:lang w:eastAsia="zh-CN"/>
        </w:rPr>
        <w:t>。</w:t>
      </w:r>
    </w:p>
    <w:p>
      <w:pPr>
        <w:widowControl/>
        <w:adjustRightInd w:val="0"/>
        <w:snapToGrid w:val="0"/>
        <w:spacing w:line="600" w:lineRule="exact"/>
        <w:ind w:firstLine="660"/>
        <w:rPr>
          <w:rFonts w:hint="eastAsia" w:ascii="楷体" w:hAnsi="楷体" w:eastAsia="楷体" w:cs="楷体"/>
          <w:b/>
          <w:bCs/>
          <w:kern w:val="0"/>
          <w:sz w:val="32"/>
          <w:szCs w:val="32"/>
        </w:rPr>
      </w:pPr>
      <w:r>
        <w:rPr>
          <w:rFonts w:hint="eastAsia" w:ascii="楷体" w:hAnsi="楷体" w:eastAsia="楷体" w:cs="楷体"/>
          <w:b/>
          <w:bCs/>
          <w:kern w:val="0"/>
          <w:sz w:val="32"/>
          <w:szCs w:val="32"/>
        </w:rPr>
        <w:t>（二）公务接待费</w:t>
      </w:r>
    </w:p>
    <w:p>
      <w:pPr>
        <w:keepNext w:val="0"/>
        <w:keepLines w:val="0"/>
        <w:pageBreakBefore w:val="0"/>
        <w:widowControl/>
        <w:kinsoku/>
        <w:wordWrap w:val="0"/>
        <w:overflowPunct/>
        <w:topLinePunct w:val="0"/>
        <w:autoSpaceDE/>
        <w:autoSpaceDN/>
        <w:bidi w:val="0"/>
        <w:adjustRightInd w:val="0"/>
        <w:snapToGrid w:val="0"/>
        <w:spacing w:line="600" w:lineRule="exact"/>
        <w:ind w:firstLine="658"/>
        <w:jc w:val="left"/>
        <w:textAlignment w:val="auto"/>
        <w:rPr>
          <w:rFonts w:hint="default" w:ascii="仿宋" w:hAnsi="仿宋" w:eastAsia="仿宋" w:cs="仿宋"/>
          <w:sz w:val="32"/>
          <w:lang w:val="en-US" w:eastAsia="zh-CN"/>
        </w:rPr>
      </w:pPr>
      <w:r>
        <w:rPr>
          <w:rFonts w:hint="eastAsia" w:ascii="仿宋" w:hAnsi="仿宋" w:eastAsia="仿宋" w:cs="仿宋"/>
          <w:sz w:val="32"/>
          <w:lang w:eastAsia="zh-CN"/>
        </w:rPr>
        <w:t>2026</w:t>
      </w:r>
      <w:r>
        <w:rPr>
          <w:rFonts w:ascii="仿宋" w:hAnsi="仿宋" w:eastAsia="仿宋" w:cs="仿宋"/>
          <w:sz w:val="32"/>
          <w:u w:val="none" w:color="auto"/>
        </w:rPr>
        <w:t>年预算安排</w:t>
      </w:r>
      <w:r>
        <w:rPr>
          <w:rFonts w:hint="eastAsia" w:ascii="仿宋" w:hAnsi="仿宋" w:eastAsia="仿宋" w:cs="仿宋"/>
          <w:sz w:val="32"/>
          <w:lang w:val="en-US" w:eastAsia="zh-CN"/>
        </w:rPr>
        <w:t>0.5</w:t>
      </w:r>
      <w:r>
        <w:rPr>
          <w:rFonts w:hint="eastAsia" w:ascii="仿宋" w:hAnsi="仿宋" w:eastAsia="仿宋" w:cs="仿宋"/>
          <w:sz w:val="32"/>
          <w:lang w:eastAsia="zh-CN"/>
        </w:rPr>
        <w:t>万元，</w:t>
      </w:r>
      <w:r>
        <w:rPr>
          <w:rFonts w:hint="eastAsia" w:ascii="仿宋" w:hAnsi="仿宋" w:eastAsia="仿宋" w:cs="仿宋"/>
          <w:sz w:val="32"/>
          <w:lang w:val="en-US" w:eastAsia="zh-CN"/>
        </w:rPr>
        <w:t>与上年持平</w:t>
      </w:r>
      <w:r>
        <w:rPr>
          <w:rFonts w:hint="eastAsia" w:ascii="仿宋" w:hAnsi="仿宋" w:eastAsia="仿宋" w:cs="仿宋"/>
          <w:sz w:val="32"/>
        </w:rPr>
        <w:t>。主要原因是</w:t>
      </w:r>
      <w:r>
        <w:rPr>
          <w:rFonts w:hint="eastAsia" w:ascii="仿宋" w:hAnsi="仿宋" w:eastAsia="仿宋" w:cs="仿宋"/>
          <w:sz w:val="32"/>
          <w:lang w:eastAsia="zh-CN"/>
        </w:rPr>
        <w:t>：</w:t>
      </w:r>
      <w:r>
        <w:rPr>
          <w:rFonts w:hint="eastAsia" w:ascii="仿宋" w:hAnsi="仿宋" w:eastAsia="仿宋" w:cs="仿宋"/>
          <w:sz w:val="32"/>
          <w:lang w:val="en-US" w:eastAsia="zh-CN"/>
        </w:rPr>
        <w:t>保障基本运转。</w:t>
      </w:r>
    </w:p>
    <w:p>
      <w:pPr>
        <w:widowControl/>
        <w:adjustRightInd w:val="0"/>
        <w:snapToGrid w:val="0"/>
        <w:spacing w:line="600" w:lineRule="exact"/>
        <w:ind w:firstLine="660"/>
        <w:rPr>
          <w:rFonts w:hint="eastAsia" w:ascii="楷体" w:hAnsi="楷体" w:eastAsia="楷体" w:cs="楷体"/>
          <w:b/>
          <w:bCs/>
          <w:kern w:val="0"/>
          <w:sz w:val="32"/>
          <w:szCs w:val="32"/>
        </w:rPr>
      </w:pPr>
      <w:r>
        <w:rPr>
          <w:rFonts w:hint="eastAsia" w:ascii="楷体" w:hAnsi="楷体" w:eastAsia="楷体" w:cs="楷体"/>
          <w:b/>
          <w:bCs/>
          <w:kern w:val="0"/>
          <w:sz w:val="32"/>
          <w:szCs w:val="32"/>
        </w:rPr>
        <w:t>（三）公务用车购置及运行费</w:t>
      </w:r>
    </w:p>
    <w:p>
      <w:pPr>
        <w:widowControl/>
        <w:wordWrap w:val="0"/>
        <w:adjustRightInd w:val="0"/>
        <w:snapToGrid w:val="0"/>
        <w:spacing w:line="600" w:lineRule="exact"/>
        <w:ind w:firstLine="658"/>
        <w:jc w:val="left"/>
        <w:rPr>
          <w:rFonts w:hint="default" w:ascii="仿宋" w:hAnsi="仿宋" w:eastAsia="仿宋" w:cs="仿宋_GB2312"/>
          <w:kern w:val="0"/>
          <w:sz w:val="32"/>
          <w:szCs w:val="32"/>
          <w:lang w:val="en-US"/>
        </w:rPr>
      </w:pPr>
      <w:r>
        <w:rPr>
          <w:rFonts w:hint="eastAsia" w:ascii="仿宋" w:hAnsi="仿宋" w:eastAsia="仿宋" w:cs="仿宋"/>
          <w:sz w:val="32"/>
          <w:lang w:eastAsia="zh-CN"/>
        </w:rPr>
        <w:t>2026</w:t>
      </w:r>
      <w:r>
        <w:rPr>
          <w:rFonts w:ascii="仿宋" w:hAnsi="仿宋" w:eastAsia="仿宋" w:cs="仿宋"/>
          <w:sz w:val="32"/>
        </w:rPr>
        <w:t>年预算安排</w:t>
      </w:r>
      <w:r>
        <w:rPr>
          <w:rFonts w:hint="eastAsia" w:ascii="仿宋" w:hAnsi="仿宋" w:eastAsia="仿宋" w:cs="仿宋"/>
          <w:sz w:val="32"/>
          <w:lang w:val="en-US" w:eastAsia="zh-CN"/>
        </w:rPr>
        <w:t>0</w:t>
      </w:r>
      <w:r>
        <w:rPr>
          <w:rFonts w:ascii="仿宋" w:hAnsi="仿宋" w:eastAsia="仿宋" w:cs="仿宋"/>
          <w:sz w:val="32"/>
        </w:rPr>
        <w:t>万元，其中：公务用车运行费</w:t>
      </w:r>
      <w:r>
        <w:rPr>
          <w:rFonts w:hint="eastAsia" w:ascii="仿宋" w:hAnsi="仿宋" w:eastAsia="仿宋" w:cs="仿宋"/>
          <w:sz w:val="32"/>
          <w:lang w:val="en-US" w:eastAsia="zh-CN"/>
        </w:rPr>
        <w:t>0</w:t>
      </w:r>
      <w:r>
        <w:rPr>
          <w:rFonts w:ascii="仿宋" w:hAnsi="仿宋" w:eastAsia="仿宋" w:cs="仿宋"/>
          <w:sz w:val="32"/>
        </w:rPr>
        <w:t>万元，</w:t>
      </w:r>
      <w:r>
        <w:rPr>
          <w:rFonts w:hint="eastAsia" w:ascii="仿宋" w:hAnsi="仿宋" w:eastAsia="仿宋" w:cs="仿宋"/>
          <w:sz w:val="32"/>
          <w:lang w:val="en-US" w:eastAsia="zh-CN"/>
        </w:rPr>
        <w:t>与上年持平</w:t>
      </w:r>
      <w:r>
        <w:rPr>
          <w:rFonts w:ascii="仿宋" w:hAnsi="仿宋" w:eastAsia="仿宋" w:cs="仿宋"/>
          <w:sz w:val="32"/>
        </w:rPr>
        <w:t>；公务用车购置费</w:t>
      </w:r>
      <w:r>
        <w:rPr>
          <w:rFonts w:hint="eastAsia" w:ascii="仿宋" w:hAnsi="仿宋" w:eastAsia="仿宋" w:cs="仿宋"/>
          <w:sz w:val="32"/>
          <w:lang w:val="en-US" w:eastAsia="zh-CN"/>
        </w:rPr>
        <w:t>0</w:t>
      </w:r>
      <w:r>
        <w:rPr>
          <w:rFonts w:ascii="仿宋" w:hAnsi="仿宋" w:eastAsia="仿宋" w:cs="仿宋"/>
          <w:sz w:val="32"/>
        </w:rPr>
        <w:t>万元，</w:t>
      </w:r>
      <w:r>
        <w:rPr>
          <w:rFonts w:hint="eastAsia" w:ascii="仿宋" w:hAnsi="仿宋" w:eastAsia="仿宋" w:cs="仿宋"/>
          <w:sz w:val="32"/>
          <w:lang w:val="en-US" w:eastAsia="zh-CN"/>
        </w:rPr>
        <w:t>与上年持平</w:t>
      </w:r>
      <w:r>
        <w:rPr>
          <w:rFonts w:ascii="仿宋" w:hAnsi="仿宋" w:eastAsia="仿宋" w:cs="仿宋"/>
          <w:sz w:val="32"/>
        </w:rPr>
        <w:t>。</w:t>
      </w:r>
    </w:p>
    <w:p>
      <w:pPr>
        <w:pStyle w:val="2"/>
        <w:spacing w:before="0" w:after="0"/>
        <w:rPr>
          <w:rFonts w:hint="eastAsia"/>
          <w:b w:val="0"/>
          <w:bCs/>
        </w:rPr>
        <w:sectPr>
          <w:pgSz w:w="11906" w:h="16838"/>
          <w:pgMar w:top="1440" w:right="1803" w:bottom="1440" w:left="1803" w:header="851" w:footer="992" w:gutter="0"/>
          <w:pgNumType w:fmt="decimal"/>
          <w:cols w:space="720" w:num="1"/>
          <w:rtlGutter w:val="0"/>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26" w:name="_Toc23234"/>
      <w:r>
        <w:rPr>
          <w:rFonts w:hint="eastAsia"/>
          <w:b w:val="0"/>
          <w:bCs/>
        </w:rPr>
        <w:t>七、预算绩效目标情况</w:t>
      </w:r>
      <w:bookmarkEnd w:id="26"/>
    </w:p>
    <w:p>
      <w:pPr>
        <w:spacing w:line="590" w:lineRule="exact"/>
        <w:ind w:firstLine="630" w:firstLineChars="196"/>
        <w:rPr>
          <w:rFonts w:hint="eastAsia" w:ascii="黑体" w:hAnsi="黑体" w:eastAsia="黑体" w:cs="黑体"/>
          <w:b/>
          <w:sz w:val="32"/>
          <w:szCs w:val="32"/>
        </w:rPr>
      </w:pPr>
      <w:r>
        <w:rPr>
          <w:rFonts w:hint="eastAsia" w:ascii="楷体" w:hAnsi="楷体" w:eastAsia="楷体" w:cs="Times New Roman"/>
          <w:b/>
          <w:sz w:val="32"/>
          <w:szCs w:val="32"/>
          <w:lang w:val="en-US" w:eastAsia="zh-CN" w:bidi="ar-SA"/>
        </w:rPr>
        <w:t>（一）绩效目标设置情况</w:t>
      </w:r>
    </w:p>
    <w:p>
      <w:pPr>
        <w:wordWrap w:val="0"/>
        <w:spacing w:line="240" w:lineRule="auto"/>
        <w:ind w:firstLine="640" w:firstLineChars="200"/>
        <w:rPr>
          <w:rFonts w:hint="eastAsia" w:ascii="仿宋" w:hAnsi="仿宋" w:eastAsia="仿宋" w:cs="仿宋"/>
          <w:sz w:val="32"/>
        </w:rPr>
      </w:pPr>
      <w:r>
        <w:rPr>
          <w:rFonts w:hint="eastAsia" w:ascii="仿宋" w:hAnsi="仿宋" w:eastAsia="仿宋" w:cs="仿宋"/>
          <w:kern w:val="0"/>
          <w:sz w:val="32"/>
          <w:szCs w:val="32"/>
          <w:lang w:val="en-US" w:eastAsia="zh-CN"/>
        </w:rPr>
        <w:t>2026</w:t>
      </w:r>
      <w:r>
        <w:rPr>
          <w:rFonts w:hint="eastAsia" w:ascii="仿宋" w:hAnsi="仿宋" w:eastAsia="仿宋" w:cs="仿宋"/>
          <w:kern w:val="0"/>
          <w:sz w:val="32"/>
          <w:szCs w:val="32"/>
        </w:rPr>
        <w:t>年，</w:t>
      </w:r>
      <w:r>
        <w:rPr>
          <w:rFonts w:hint="eastAsia" w:ascii="仿宋" w:hAnsi="仿宋" w:eastAsia="仿宋" w:cs="仿宋"/>
          <w:kern w:val="0"/>
          <w:sz w:val="32"/>
          <w:szCs w:val="32"/>
          <w:lang w:eastAsia="zh-CN"/>
        </w:rPr>
        <w:t>上杭县文化馆</w:t>
      </w:r>
      <w:r>
        <w:rPr>
          <w:rFonts w:hint="eastAsia" w:ascii="仿宋" w:hAnsi="仿宋" w:eastAsia="仿宋" w:cs="仿宋"/>
          <w:kern w:val="0"/>
          <w:sz w:val="32"/>
          <w:szCs w:val="32"/>
        </w:rPr>
        <w:t>按照全面实施预算绩效管理的要求，编制绩效目标并公开</w:t>
      </w:r>
      <w:r>
        <w:rPr>
          <w:rFonts w:hint="eastAsia" w:ascii="仿宋" w:hAnsi="仿宋" w:eastAsia="仿宋" w:cs="仿宋"/>
          <w:kern w:val="0"/>
          <w:sz w:val="32"/>
          <w:szCs w:val="32"/>
          <w:lang w:eastAsia="zh-CN"/>
        </w:rPr>
        <w:t>。</w:t>
      </w:r>
    </w:p>
    <w:p>
      <w:pPr>
        <w:spacing w:line="590" w:lineRule="exact"/>
        <w:ind w:firstLine="630" w:firstLineChars="196"/>
        <w:rPr>
          <w:rFonts w:hint="eastAsia" w:ascii="楷体" w:hAnsi="楷体" w:eastAsia="楷体" w:cs="Times New Roman"/>
          <w:b/>
          <w:sz w:val="32"/>
          <w:szCs w:val="32"/>
          <w:lang w:val="en-US" w:eastAsia="zh-CN" w:bidi="ar-SA"/>
        </w:rPr>
      </w:pPr>
      <w:r>
        <w:rPr>
          <w:rFonts w:hint="eastAsia" w:ascii="楷体" w:hAnsi="楷体" w:eastAsia="楷体" w:cs="Times New Roman"/>
          <w:b/>
          <w:sz w:val="32"/>
          <w:szCs w:val="32"/>
          <w:lang w:val="en-US" w:eastAsia="zh-CN" w:bidi="ar-SA"/>
        </w:rPr>
        <w:t>（二）绩效目标表及说明</w:t>
      </w:r>
    </w:p>
    <w:p>
      <w:pPr>
        <w:bidi w:val="0"/>
        <w:ind w:left="420" w:leftChars="0" w:firstLine="420" w:firstLineChars="0"/>
        <w:rPr>
          <w:rFonts w:hint="eastAsia"/>
          <w:lang w:val="en-US" w:eastAsia="zh-CN"/>
        </w:rPr>
      </w:pPr>
      <w:r>
        <w:rPr>
          <w:rFonts w:hint="eastAsia" w:ascii="仿宋" w:hAnsi="仿宋" w:eastAsia="仿宋" w:cs="仿宋"/>
          <w:b/>
          <w:bCs/>
          <w:sz w:val="32"/>
          <w:szCs w:val="32"/>
          <w:lang w:val="en-US" w:eastAsia="zh-CN"/>
        </w:rPr>
        <w:t>1.项目支出绩效目标表</w:t>
      </w:r>
    </w:p>
    <w:p>
      <w:pPr>
        <w:rPr>
          <w:rFonts w:hint="default"/>
          <w:lang w:val="en-US" w:eastAsia="zh-CN"/>
        </w:rPr>
      </w:pPr>
    </w:p>
    <w:tbl>
      <w:tblPr>
        <w:tblStyle w:val="8"/>
        <w:tblW w:w="93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0"/>
        <w:gridCol w:w="1871"/>
        <w:gridCol w:w="1871"/>
        <w:gridCol w:w="1871"/>
        <w:gridCol w:w="18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9354" w:type="dxa"/>
            <w:gridSpan w:val="5"/>
            <w:noWrap/>
          </w:tcPr>
          <w:p>
            <w:pPr>
              <w:jc w:val="center"/>
            </w:pPr>
            <w:r>
              <w:rPr>
                <w:rFonts w:hint="default" w:ascii="黑体" w:hAnsi="黑体" w:eastAsia="黑体" w:cs="黑体"/>
                <w:b w:val="0"/>
                <w:i w:val="0"/>
                <w:kern w:val="2"/>
                <w:sz w:val="32"/>
                <w:szCs w:val="32"/>
                <w:u w:val="none"/>
                <w:lang w:val="en-US" w:eastAsia="zh-CN" w:bidi="ar-SA"/>
              </w:rPr>
              <w:t>群文十大活动经费</w:t>
            </w:r>
            <w:r>
              <w:rPr>
                <w:rFonts w:hint="eastAsia" w:ascii="黑体" w:hAnsi="黑体" w:eastAsia="黑体" w:cs="黑体"/>
                <w:b w:val="0"/>
                <w:i w:val="0"/>
                <w:kern w:val="2"/>
                <w:sz w:val="32"/>
                <w:szCs w:val="32"/>
                <w:u w:val="none"/>
                <w:lang w:val="en-US" w:eastAsia="zh-CN" w:bidi="ar-SA"/>
              </w:rPr>
              <w:t>绩效目标表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1870" w:type="dxa"/>
            <w:vMerge w:val="restart"/>
            <w:noWrap/>
            <w:vAlign w:val="center"/>
          </w:tcPr>
          <w:p>
            <w:pPr>
              <w:jc w:val="center"/>
            </w:pPr>
            <w:r>
              <w:rPr>
                <w:rFonts w:ascii="宋体"/>
                <w:sz w:val="22"/>
              </w:rPr>
              <w:t>项目资金（万元）</w:t>
            </w:r>
          </w:p>
        </w:tc>
        <w:tc>
          <w:tcPr>
            <w:tcW w:w="3742" w:type="dxa"/>
            <w:gridSpan w:val="2"/>
            <w:noWrap/>
            <w:vAlign w:val="center"/>
          </w:tcPr>
          <w:p>
            <w:pPr>
              <w:jc w:val="left"/>
            </w:pPr>
            <w:r>
              <w:rPr>
                <w:rFonts w:ascii="宋体"/>
                <w:sz w:val="22"/>
              </w:rPr>
              <w:t>资金总额：</w:t>
            </w:r>
          </w:p>
        </w:tc>
        <w:tc>
          <w:tcPr>
            <w:tcW w:w="3742" w:type="dxa"/>
            <w:gridSpan w:val="2"/>
            <w:noWrap/>
            <w:vAlign w:val="center"/>
          </w:tcPr>
          <w:p>
            <w:pPr>
              <w:jc w:val="center"/>
            </w:pPr>
            <w:r>
              <w:rPr>
                <w:rFonts w:hint="eastAsia" w:ascii="宋体"/>
                <w:sz w:val="22"/>
                <w:lang w:val="en-US" w:eastAsia="zh-CN"/>
              </w:rPr>
              <w:t>25</w:t>
            </w:r>
            <w:r>
              <w:rPr>
                <w:rFonts w:ascii="宋体"/>
                <w:sz w:val="22"/>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1870" w:type="dxa"/>
            <w:vMerge w:val="continue"/>
            <w:noWrap/>
            <w:vAlign w:val="center"/>
          </w:tcPr>
          <w:p>
            <w:pPr>
              <w:jc w:val="center"/>
            </w:pPr>
          </w:p>
        </w:tc>
        <w:tc>
          <w:tcPr>
            <w:tcW w:w="3742" w:type="dxa"/>
            <w:gridSpan w:val="2"/>
            <w:noWrap/>
            <w:vAlign w:val="center"/>
          </w:tcPr>
          <w:p>
            <w:pPr>
              <w:jc w:val="left"/>
            </w:pPr>
            <w:r>
              <w:rPr>
                <w:rFonts w:ascii="宋体"/>
                <w:sz w:val="22"/>
              </w:rPr>
              <w:t>财政拨款：</w:t>
            </w:r>
          </w:p>
        </w:tc>
        <w:tc>
          <w:tcPr>
            <w:tcW w:w="3742" w:type="dxa"/>
            <w:gridSpan w:val="2"/>
            <w:noWrap/>
            <w:vAlign w:val="center"/>
          </w:tcPr>
          <w:p>
            <w:pPr>
              <w:jc w:val="center"/>
            </w:pPr>
            <w:r>
              <w:rPr>
                <w:rFonts w:hint="eastAsia" w:ascii="宋体"/>
                <w:sz w:val="22"/>
                <w:lang w:val="en-US" w:eastAsia="zh-CN"/>
              </w:rPr>
              <w:t>25</w:t>
            </w:r>
            <w:r>
              <w:rPr>
                <w:rFonts w:ascii="宋体"/>
                <w:sz w:val="22"/>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1870" w:type="dxa"/>
            <w:vMerge w:val="continue"/>
            <w:noWrap/>
            <w:vAlign w:val="center"/>
          </w:tcPr>
          <w:p>
            <w:pPr>
              <w:jc w:val="center"/>
            </w:pPr>
          </w:p>
        </w:tc>
        <w:tc>
          <w:tcPr>
            <w:tcW w:w="3742" w:type="dxa"/>
            <w:gridSpan w:val="2"/>
            <w:noWrap/>
            <w:vAlign w:val="center"/>
          </w:tcPr>
          <w:p>
            <w:pPr>
              <w:jc w:val="center"/>
            </w:pPr>
            <w:r>
              <w:rPr>
                <w:rFonts w:ascii="宋体"/>
                <w:sz w:val="22"/>
              </w:rPr>
              <w:t>其中：当年财政拨款：</w:t>
            </w:r>
          </w:p>
        </w:tc>
        <w:tc>
          <w:tcPr>
            <w:tcW w:w="3742" w:type="dxa"/>
            <w:gridSpan w:val="2"/>
            <w:noWrap/>
            <w:vAlign w:val="center"/>
          </w:tcPr>
          <w:p>
            <w:pPr>
              <w:jc w:val="center"/>
            </w:pPr>
            <w:r>
              <w:rPr>
                <w:rFonts w:hint="eastAsia" w:ascii="宋体"/>
                <w:sz w:val="22"/>
                <w:lang w:val="en-US" w:eastAsia="zh-CN"/>
              </w:rPr>
              <w:t>25</w:t>
            </w:r>
            <w:r>
              <w:rPr>
                <w:rFonts w:ascii="宋体"/>
                <w:sz w:val="22"/>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1870" w:type="dxa"/>
            <w:vMerge w:val="continue"/>
            <w:noWrap/>
            <w:vAlign w:val="center"/>
          </w:tcPr>
          <w:p>
            <w:pPr>
              <w:jc w:val="center"/>
            </w:pPr>
          </w:p>
        </w:tc>
        <w:tc>
          <w:tcPr>
            <w:tcW w:w="3742" w:type="dxa"/>
            <w:gridSpan w:val="2"/>
            <w:noWrap/>
            <w:vAlign w:val="center"/>
          </w:tcPr>
          <w:p>
            <w:pPr>
              <w:jc w:val="center"/>
            </w:pPr>
            <w:r>
              <w:rPr>
                <w:rFonts w:ascii="宋体"/>
                <w:sz w:val="22"/>
              </w:rPr>
              <w:t>上年结转结余财政拨款：</w:t>
            </w:r>
          </w:p>
        </w:tc>
        <w:tc>
          <w:tcPr>
            <w:tcW w:w="3742" w:type="dxa"/>
            <w:gridSpan w:val="2"/>
            <w:noWrap/>
            <w:vAlign w:val="center"/>
          </w:tcPr>
          <w:p>
            <w:pPr>
              <w:jc w:val="center"/>
            </w:pPr>
            <w:r>
              <w:rPr>
                <w:rFonts w:ascii="宋体"/>
                <w:sz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1870" w:type="dxa"/>
            <w:vMerge w:val="continue"/>
            <w:noWrap/>
            <w:vAlign w:val="center"/>
          </w:tcPr>
          <w:p>
            <w:pPr>
              <w:jc w:val="center"/>
            </w:pPr>
          </w:p>
        </w:tc>
        <w:tc>
          <w:tcPr>
            <w:tcW w:w="3742" w:type="dxa"/>
            <w:gridSpan w:val="2"/>
            <w:noWrap/>
            <w:vAlign w:val="center"/>
          </w:tcPr>
          <w:p>
            <w:pPr>
              <w:jc w:val="left"/>
            </w:pPr>
            <w:r>
              <w:rPr>
                <w:rFonts w:ascii="宋体"/>
                <w:sz w:val="22"/>
              </w:rPr>
              <w:t>其他资金：</w:t>
            </w:r>
          </w:p>
        </w:tc>
        <w:tc>
          <w:tcPr>
            <w:tcW w:w="3742" w:type="dxa"/>
            <w:gridSpan w:val="2"/>
            <w:noWrap/>
            <w:vAlign w:val="center"/>
          </w:tcPr>
          <w:p>
            <w:pPr>
              <w:jc w:val="center"/>
            </w:pPr>
            <w:r>
              <w:rPr>
                <w:rFonts w:ascii="宋体"/>
                <w:sz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1870" w:type="dxa"/>
            <w:noWrap/>
            <w:vAlign w:val="center"/>
          </w:tcPr>
          <w:p>
            <w:pPr>
              <w:jc w:val="center"/>
            </w:pPr>
            <w:r>
              <w:rPr>
                <w:rFonts w:ascii="宋体"/>
                <w:sz w:val="22"/>
              </w:rPr>
              <w:t>总体目标</w:t>
            </w:r>
          </w:p>
        </w:tc>
        <w:tc>
          <w:tcPr>
            <w:tcW w:w="7484" w:type="dxa"/>
            <w:gridSpan w:val="4"/>
            <w:noWrap/>
            <w:vAlign w:val="center"/>
          </w:tcPr>
          <w:p>
            <w:pPr>
              <w:jc w:val="left"/>
            </w:pPr>
            <w:r>
              <w:rPr>
                <w:rFonts w:hint="eastAsia" w:ascii="宋体" w:hAnsi="宋体" w:eastAsia="宋体" w:cs="宋体"/>
                <w:i w:val="0"/>
                <w:color w:val="000000"/>
                <w:kern w:val="0"/>
                <w:sz w:val="24"/>
                <w:szCs w:val="24"/>
                <w:u w:val="none"/>
                <w:lang w:val="en-US" w:eastAsia="zh-CN" w:bidi="ar"/>
              </w:rPr>
              <w:t>根据上级要求，做好群文十大活动。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1870" w:type="dxa"/>
            <w:vMerge w:val="restart"/>
            <w:noWrap/>
            <w:vAlign w:val="center"/>
          </w:tcPr>
          <w:p>
            <w:r>
              <w:rPr>
                <w:rFonts w:ascii="宋体"/>
                <w:sz w:val="22"/>
              </w:rPr>
              <w:t>绩效目标指标</w:t>
            </w:r>
          </w:p>
        </w:tc>
        <w:tc>
          <w:tcPr>
            <w:tcW w:w="1871" w:type="dxa"/>
            <w:noWrap/>
            <w:vAlign w:val="center"/>
          </w:tcPr>
          <w:p>
            <w:r>
              <w:rPr>
                <w:rFonts w:ascii="宋体"/>
                <w:sz w:val="22"/>
              </w:rPr>
              <w:t>一级指标</w:t>
            </w:r>
          </w:p>
        </w:tc>
        <w:tc>
          <w:tcPr>
            <w:tcW w:w="1871" w:type="dxa"/>
            <w:noWrap/>
            <w:vAlign w:val="center"/>
          </w:tcPr>
          <w:p>
            <w:r>
              <w:rPr>
                <w:rFonts w:ascii="宋体"/>
                <w:sz w:val="22"/>
              </w:rPr>
              <w:t>二级指标</w:t>
            </w:r>
          </w:p>
        </w:tc>
        <w:tc>
          <w:tcPr>
            <w:tcW w:w="1871" w:type="dxa"/>
            <w:noWrap/>
            <w:vAlign w:val="center"/>
          </w:tcPr>
          <w:p>
            <w:r>
              <w:rPr>
                <w:rFonts w:ascii="宋体"/>
                <w:sz w:val="22"/>
              </w:rPr>
              <w:t>三级指标</w:t>
            </w:r>
          </w:p>
        </w:tc>
        <w:tc>
          <w:tcPr>
            <w:tcW w:w="1871" w:type="dxa"/>
            <w:noWrap/>
            <w:vAlign w:val="center"/>
          </w:tcPr>
          <w:p>
            <w:r>
              <w:rPr>
                <w:rFonts w:ascii="宋体"/>
                <w:sz w:val="22"/>
              </w:rPr>
              <w:t>目标值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1870" w:type="dxa"/>
            <w:vMerge w:val="continue"/>
            <w:noWrap/>
            <w:vAlign w:val="center"/>
          </w:tcPr>
          <w:p/>
        </w:tc>
        <w:tc>
          <w:tcPr>
            <w:tcW w:w="1871" w:type="dxa"/>
            <w:noWrap/>
            <w:vAlign w:val="center"/>
          </w:tcPr>
          <w:p>
            <w:r>
              <w:rPr>
                <w:rFonts w:ascii="宋体"/>
                <w:sz w:val="22"/>
              </w:rPr>
              <w:t>成本指标</w:t>
            </w:r>
          </w:p>
        </w:tc>
        <w:tc>
          <w:tcPr>
            <w:tcW w:w="1871" w:type="dxa"/>
            <w:noWrap/>
            <w:vAlign w:val="center"/>
          </w:tcPr>
          <w:p>
            <w:r>
              <w:rPr>
                <w:rFonts w:ascii="宋体"/>
                <w:sz w:val="22"/>
              </w:rPr>
              <w:t>经济成本指标</w:t>
            </w:r>
          </w:p>
        </w:tc>
        <w:tc>
          <w:tcPr>
            <w:tcW w:w="1871" w:type="dxa"/>
            <w:noWrap/>
            <w:vAlign w:val="center"/>
          </w:tcPr>
          <w:p>
            <w:pPr>
              <w:keepNext w:val="0"/>
              <w:keepLines w:val="0"/>
              <w:widowControl/>
              <w:suppressLineNumbers w:val="0"/>
              <w:jc w:val="center"/>
              <w:textAlignment w:val="center"/>
              <w:rPr>
                <w:rFonts w:ascii="宋体" w:hAnsi="宋体" w:cs="宋体"/>
                <w:color w:val="000000"/>
                <w:kern w:val="0"/>
                <w:sz w:val="22"/>
              </w:rPr>
            </w:pPr>
            <w:r>
              <w:rPr>
                <w:rFonts w:hint="eastAsia" w:ascii="宋体" w:hAnsi="宋体" w:eastAsia="宋体" w:cs="宋体"/>
                <w:i w:val="0"/>
                <w:color w:val="000000"/>
                <w:kern w:val="0"/>
                <w:sz w:val="24"/>
                <w:szCs w:val="24"/>
                <w:u w:val="none"/>
                <w:lang w:val="en-US" w:eastAsia="zh-CN" w:bidi="ar"/>
              </w:rPr>
              <w:t>举办活动投入相应成本</w:t>
            </w:r>
          </w:p>
        </w:tc>
        <w:tc>
          <w:tcPr>
            <w:tcW w:w="1871" w:type="dxa"/>
            <w:noWrap/>
            <w:vAlign w:val="center"/>
          </w:tcPr>
          <w:p>
            <w:pPr>
              <w:keepNext w:val="0"/>
              <w:keepLines w:val="0"/>
              <w:widowControl/>
              <w:suppressLineNumbers w:val="0"/>
              <w:jc w:val="center"/>
              <w:textAlignment w:val="center"/>
              <w:rPr>
                <w:rFonts w:ascii="宋体" w:hAnsi="宋体" w:cs="宋体"/>
                <w:color w:val="000000"/>
                <w:kern w:val="0"/>
                <w:sz w:val="22"/>
              </w:rPr>
            </w:pPr>
            <w:r>
              <w:rPr>
                <w:rFonts w:hint="eastAsia" w:ascii="宋体" w:hAnsi="宋体" w:eastAsia="宋体" w:cs="宋体"/>
                <w:i w:val="0"/>
                <w:color w:val="000000"/>
                <w:kern w:val="0"/>
                <w:sz w:val="24"/>
                <w:szCs w:val="24"/>
                <w:u w:val="none"/>
                <w:lang w:val="en-US" w:eastAsia="zh-CN" w:bidi="ar"/>
              </w:rPr>
              <w:t>≥25万元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1870" w:type="dxa"/>
            <w:vMerge w:val="continue"/>
            <w:noWrap/>
            <w:vAlign w:val="center"/>
          </w:tcPr>
          <w:p/>
        </w:tc>
        <w:tc>
          <w:tcPr>
            <w:tcW w:w="1871" w:type="dxa"/>
            <w:vMerge w:val="restart"/>
            <w:noWrap/>
            <w:vAlign w:val="center"/>
          </w:tcPr>
          <w:p>
            <w:r>
              <w:rPr>
                <w:rFonts w:ascii="宋体"/>
                <w:sz w:val="22"/>
              </w:rPr>
              <w:t>产出指标</w:t>
            </w:r>
          </w:p>
        </w:tc>
        <w:tc>
          <w:tcPr>
            <w:tcW w:w="1871" w:type="dxa"/>
            <w:noWrap/>
            <w:vAlign w:val="center"/>
          </w:tcPr>
          <w:p>
            <w:r>
              <w:rPr>
                <w:rFonts w:ascii="宋体"/>
                <w:sz w:val="22"/>
              </w:rPr>
              <w:t>数量指标</w:t>
            </w:r>
          </w:p>
        </w:tc>
        <w:tc>
          <w:tcPr>
            <w:tcW w:w="1871" w:type="dxa"/>
            <w:noWrap/>
            <w:vAlign w:val="center"/>
          </w:tcPr>
          <w:p>
            <w:pPr>
              <w:keepNext w:val="0"/>
              <w:keepLines w:val="0"/>
              <w:widowControl/>
              <w:suppressLineNumbers w:val="0"/>
              <w:jc w:val="center"/>
              <w:textAlignment w:val="center"/>
              <w:rPr>
                <w:rFonts w:ascii="宋体" w:hAnsi="宋体" w:cs="宋体"/>
                <w:color w:val="000000"/>
                <w:kern w:val="0"/>
                <w:sz w:val="22"/>
              </w:rPr>
            </w:pPr>
            <w:r>
              <w:rPr>
                <w:rFonts w:hint="eastAsia" w:ascii="宋体" w:hAnsi="宋体" w:eastAsia="宋体" w:cs="宋体"/>
                <w:i w:val="0"/>
                <w:color w:val="000000"/>
                <w:kern w:val="0"/>
                <w:sz w:val="24"/>
                <w:szCs w:val="24"/>
                <w:u w:val="none"/>
                <w:lang w:val="en-US" w:eastAsia="zh-CN" w:bidi="ar"/>
              </w:rPr>
              <w:t>举办活动项目数</w:t>
            </w:r>
          </w:p>
        </w:tc>
        <w:tc>
          <w:tcPr>
            <w:tcW w:w="1871" w:type="dxa"/>
            <w:noWrap/>
            <w:vAlign w:val="center"/>
          </w:tcPr>
          <w:p>
            <w:pPr>
              <w:keepNext w:val="0"/>
              <w:keepLines w:val="0"/>
              <w:widowControl/>
              <w:suppressLineNumbers w:val="0"/>
              <w:jc w:val="center"/>
              <w:textAlignment w:val="center"/>
              <w:rPr>
                <w:rFonts w:ascii="宋体" w:hAnsi="宋体" w:cs="宋体"/>
                <w:color w:val="000000"/>
                <w:kern w:val="0"/>
                <w:sz w:val="22"/>
              </w:rPr>
            </w:pPr>
            <w:r>
              <w:rPr>
                <w:rFonts w:hint="eastAsia" w:ascii="宋体" w:hAnsi="宋体" w:eastAsia="宋体" w:cs="宋体"/>
                <w:i w:val="0"/>
                <w:color w:val="000000"/>
                <w:kern w:val="0"/>
                <w:sz w:val="24"/>
                <w:szCs w:val="24"/>
                <w:u w:val="none"/>
                <w:lang w:val="en-US" w:eastAsia="zh-CN" w:bidi="ar"/>
              </w:rPr>
              <w:t>≥10项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1870" w:type="dxa"/>
            <w:vMerge w:val="continue"/>
            <w:noWrap/>
            <w:vAlign w:val="center"/>
          </w:tcPr>
          <w:p/>
        </w:tc>
        <w:tc>
          <w:tcPr>
            <w:tcW w:w="1871" w:type="dxa"/>
            <w:vMerge w:val="continue"/>
            <w:noWrap/>
            <w:vAlign w:val="center"/>
          </w:tcPr>
          <w:p/>
        </w:tc>
        <w:tc>
          <w:tcPr>
            <w:tcW w:w="1871" w:type="dxa"/>
            <w:noWrap/>
            <w:vAlign w:val="center"/>
          </w:tcPr>
          <w:p>
            <w:r>
              <w:rPr>
                <w:rFonts w:ascii="宋体"/>
                <w:sz w:val="22"/>
              </w:rPr>
              <w:t>质量指标</w:t>
            </w:r>
          </w:p>
        </w:tc>
        <w:tc>
          <w:tcPr>
            <w:tcW w:w="1871" w:type="dxa"/>
            <w:noWrap/>
            <w:vAlign w:val="center"/>
          </w:tcPr>
          <w:p>
            <w:pPr>
              <w:keepNext w:val="0"/>
              <w:keepLines w:val="0"/>
              <w:widowControl/>
              <w:suppressLineNumbers w:val="0"/>
              <w:jc w:val="center"/>
              <w:textAlignment w:val="center"/>
              <w:rPr>
                <w:rFonts w:ascii="宋体" w:hAnsi="宋体" w:cs="宋体"/>
                <w:color w:val="000000"/>
                <w:kern w:val="0"/>
                <w:sz w:val="22"/>
              </w:rPr>
            </w:pPr>
            <w:r>
              <w:rPr>
                <w:rFonts w:hint="eastAsia" w:ascii="宋体" w:hAnsi="宋体" w:eastAsia="宋体" w:cs="宋体"/>
                <w:i w:val="0"/>
                <w:color w:val="000000"/>
                <w:kern w:val="0"/>
                <w:sz w:val="24"/>
                <w:szCs w:val="24"/>
                <w:u w:val="none"/>
                <w:lang w:val="en-US" w:eastAsia="zh-CN" w:bidi="ar"/>
              </w:rPr>
              <w:t>各项项目任务完成率</w:t>
            </w:r>
          </w:p>
        </w:tc>
        <w:tc>
          <w:tcPr>
            <w:tcW w:w="1871" w:type="dxa"/>
            <w:noWrap/>
            <w:vAlign w:val="center"/>
          </w:tcPr>
          <w:p>
            <w:pPr>
              <w:keepNext w:val="0"/>
              <w:keepLines w:val="0"/>
              <w:widowControl/>
              <w:suppressLineNumbers w:val="0"/>
              <w:jc w:val="center"/>
              <w:textAlignment w:val="center"/>
              <w:rPr>
                <w:rFonts w:ascii="宋体" w:hAnsi="宋体" w:cs="宋体"/>
                <w:color w:val="000000"/>
                <w:kern w:val="0"/>
                <w:sz w:val="22"/>
              </w:rPr>
            </w:pPr>
            <w:r>
              <w:rPr>
                <w:rFonts w:hint="eastAsia" w:ascii="宋体" w:hAnsi="宋体" w:eastAsia="宋体" w:cs="宋体"/>
                <w:i w:val="0"/>
                <w:color w:val="000000"/>
                <w:kern w:val="0"/>
                <w:sz w:val="24"/>
                <w:szCs w:val="24"/>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1870" w:type="dxa"/>
            <w:vMerge w:val="continue"/>
            <w:noWrap/>
            <w:vAlign w:val="center"/>
          </w:tcPr>
          <w:p/>
        </w:tc>
        <w:tc>
          <w:tcPr>
            <w:tcW w:w="1871" w:type="dxa"/>
            <w:vMerge w:val="continue"/>
            <w:noWrap/>
            <w:vAlign w:val="center"/>
          </w:tcPr>
          <w:p/>
        </w:tc>
        <w:tc>
          <w:tcPr>
            <w:tcW w:w="1871" w:type="dxa"/>
            <w:noWrap/>
            <w:vAlign w:val="center"/>
          </w:tcPr>
          <w:p>
            <w:r>
              <w:rPr>
                <w:rFonts w:ascii="宋体"/>
                <w:sz w:val="22"/>
              </w:rPr>
              <w:t>时效指标</w:t>
            </w:r>
          </w:p>
        </w:tc>
        <w:tc>
          <w:tcPr>
            <w:tcW w:w="1871" w:type="dxa"/>
            <w:noWrap/>
            <w:vAlign w:val="center"/>
          </w:tcPr>
          <w:p>
            <w:pPr>
              <w:keepNext w:val="0"/>
              <w:keepLines w:val="0"/>
              <w:widowControl/>
              <w:suppressLineNumbers w:val="0"/>
              <w:jc w:val="center"/>
              <w:textAlignment w:val="center"/>
              <w:rPr>
                <w:rFonts w:ascii="宋体" w:hAnsi="宋体" w:cs="宋体"/>
                <w:color w:val="000000"/>
                <w:kern w:val="0"/>
                <w:sz w:val="22"/>
              </w:rPr>
            </w:pPr>
            <w:r>
              <w:rPr>
                <w:rFonts w:hint="eastAsia" w:ascii="宋体" w:hAnsi="宋体" w:eastAsia="宋体" w:cs="宋体"/>
                <w:i w:val="0"/>
                <w:color w:val="000000"/>
                <w:kern w:val="0"/>
                <w:sz w:val="24"/>
                <w:szCs w:val="24"/>
                <w:u w:val="none"/>
                <w:lang w:val="en-US" w:eastAsia="zh-CN" w:bidi="ar"/>
              </w:rPr>
              <w:t>举办活动资金下达率</w:t>
            </w:r>
          </w:p>
        </w:tc>
        <w:tc>
          <w:tcPr>
            <w:tcW w:w="1871" w:type="dxa"/>
            <w:noWrap/>
            <w:vAlign w:val="center"/>
          </w:tcPr>
          <w:p>
            <w:pPr>
              <w:keepNext w:val="0"/>
              <w:keepLines w:val="0"/>
              <w:widowControl/>
              <w:suppressLineNumbers w:val="0"/>
              <w:jc w:val="center"/>
              <w:textAlignment w:val="center"/>
              <w:rPr>
                <w:rFonts w:ascii="宋体" w:hAnsi="宋体" w:cs="宋体"/>
                <w:color w:val="000000"/>
                <w:kern w:val="0"/>
                <w:sz w:val="22"/>
              </w:rPr>
            </w:pPr>
            <w:r>
              <w:rPr>
                <w:rFonts w:hint="eastAsia" w:ascii="宋体" w:hAnsi="宋体" w:eastAsia="宋体" w:cs="宋体"/>
                <w:i w:val="0"/>
                <w:color w:val="000000"/>
                <w:kern w:val="0"/>
                <w:sz w:val="24"/>
                <w:szCs w:val="24"/>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1870" w:type="dxa"/>
            <w:vMerge w:val="continue"/>
            <w:noWrap/>
            <w:vAlign w:val="center"/>
          </w:tcPr>
          <w:p/>
        </w:tc>
        <w:tc>
          <w:tcPr>
            <w:tcW w:w="1871" w:type="dxa"/>
            <w:noWrap/>
            <w:vAlign w:val="center"/>
          </w:tcPr>
          <w:p>
            <w:r>
              <w:rPr>
                <w:rFonts w:ascii="宋体"/>
                <w:sz w:val="22"/>
              </w:rPr>
              <w:t>效益指标</w:t>
            </w:r>
          </w:p>
        </w:tc>
        <w:tc>
          <w:tcPr>
            <w:tcW w:w="1871" w:type="dxa"/>
            <w:noWrap/>
            <w:vAlign w:val="center"/>
          </w:tcPr>
          <w:p>
            <w:r>
              <w:rPr>
                <w:rFonts w:ascii="宋体"/>
                <w:sz w:val="22"/>
              </w:rPr>
              <w:t>社会效益指标</w:t>
            </w:r>
          </w:p>
        </w:tc>
        <w:tc>
          <w:tcPr>
            <w:tcW w:w="1871" w:type="dxa"/>
            <w:noWrap/>
            <w:vAlign w:val="center"/>
          </w:tcPr>
          <w:p>
            <w:pPr>
              <w:keepNext w:val="0"/>
              <w:keepLines w:val="0"/>
              <w:widowControl/>
              <w:suppressLineNumbers w:val="0"/>
              <w:jc w:val="center"/>
              <w:textAlignment w:val="center"/>
              <w:rPr>
                <w:rFonts w:ascii="宋体" w:hAnsi="宋体" w:cs="宋体"/>
                <w:color w:val="000000"/>
                <w:kern w:val="0"/>
                <w:sz w:val="22"/>
              </w:rPr>
            </w:pPr>
            <w:r>
              <w:rPr>
                <w:rFonts w:hint="eastAsia" w:ascii="宋体" w:hAnsi="宋体" w:eastAsia="宋体" w:cs="宋体"/>
                <w:i w:val="0"/>
                <w:color w:val="000000"/>
                <w:kern w:val="0"/>
                <w:sz w:val="24"/>
                <w:szCs w:val="24"/>
                <w:u w:val="none"/>
                <w:lang w:val="en-US" w:eastAsia="zh-CN" w:bidi="ar"/>
              </w:rPr>
              <w:t>提升上杭县群文活动文化品牌</w:t>
            </w:r>
          </w:p>
        </w:tc>
        <w:tc>
          <w:tcPr>
            <w:tcW w:w="1871" w:type="dxa"/>
            <w:noWrap/>
            <w:vAlign w:val="center"/>
          </w:tcPr>
          <w:p>
            <w:pPr>
              <w:keepNext w:val="0"/>
              <w:keepLines w:val="0"/>
              <w:widowControl/>
              <w:suppressLineNumbers w:val="0"/>
              <w:jc w:val="center"/>
              <w:textAlignment w:val="center"/>
              <w:rPr>
                <w:rFonts w:ascii="宋体" w:hAnsi="宋体" w:cs="宋体"/>
                <w:color w:val="000000"/>
                <w:kern w:val="0"/>
                <w:sz w:val="22"/>
              </w:rPr>
            </w:pPr>
            <w:r>
              <w:rPr>
                <w:rFonts w:hint="eastAsia" w:ascii="宋体" w:hAnsi="宋体" w:eastAsia="宋体" w:cs="宋体"/>
                <w:i w:val="0"/>
                <w:color w:val="000000"/>
                <w:kern w:val="0"/>
                <w:sz w:val="24"/>
                <w:szCs w:val="24"/>
                <w:u w:val="none"/>
                <w:lang w:val="en-US" w:eastAsia="zh-CN" w:bidi="ar"/>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1870" w:type="dxa"/>
            <w:vMerge w:val="continue"/>
            <w:noWrap/>
            <w:vAlign w:val="center"/>
          </w:tcPr>
          <w:p/>
        </w:tc>
        <w:tc>
          <w:tcPr>
            <w:tcW w:w="1871" w:type="dxa"/>
            <w:noWrap/>
            <w:vAlign w:val="center"/>
          </w:tcPr>
          <w:p>
            <w:r>
              <w:rPr>
                <w:rFonts w:ascii="宋体"/>
                <w:sz w:val="22"/>
              </w:rPr>
              <w:t>满意度指标</w:t>
            </w:r>
          </w:p>
        </w:tc>
        <w:tc>
          <w:tcPr>
            <w:tcW w:w="1871" w:type="dxa"/>
            <w:noWrap/>
            <w:vAlign w:val="center"/>
          </w:tcPr>
          <w:p>
            <w:r>
              <w:rPr>
                <w:rFonts w:ascii="宋体"/>
                <w:sz w:val="22"/>
              </w:rPr>
              <w:t>服务对象满意度指标</w:t>
            </w:r>
          </w:p>
        </w:tc>
        <w:tc>
          <w:tcPr>
            <w:tcW w:w="1871" w:type="dxa"/>
            <w:noWrap/>
            <w:vAlign w:val="center"/>
          </w:tcPr>
          <w:p>
            <w:pPr>
              <w:keepNext w:val="0"/>
              <w:keepLines w:val="0"/>
              <w:widowControl/>
              <w:suppressLineNumbers w:val="0"/>
              <w:jc w:val="center"/>
              <w:textAlignment w:val="center"/>
              <w:rPr>
                <w:rFonts w:ascii="宋体" w:hAnsi="宋体" w:cs="宋体"/>
                <w:color w:val="000000"/>
                <w:kern w:val="0"/>
                <w:sz w:val="22"/>
              </w:rPr>
            </w:pPr>
            <w:r>
              <w:rPr>
                <w:rFonts w:hint="eastAsia" w:ascii="宋体" w:hAnsi="宋体" w:eastAsia="宋体" w:cs="宋体"/>
                <w:i w:val="0"/>
                <w:color w:val="000000"/>
                <w:kern w:val="0"/>
                <w:sz w:val="24"/>
                <w:szCs w:val="24"/>
                <w:u w:val="none"/>
                <w:lang w:val="en-US" w:eastAsia="zh-CN" w:bidi="ar"/>
              </w:rPr>
              <w:t>社会公众满意度</w:t>
            </w:r>
          </w:p>
        </w:tc>
        <w:tc>
          <w:tcPr>
            <w:tcW w:w="1871" w:type="dxa"/>
            <w:noWrap/>
            <w:vAlign w:val="center"/>
          </w:tcPr>
          <w:p>
            <w:pPr>
              <w:keepNext w:val="0"/>
              <w:keepLines w:val="0"/>
              <w:widowControl/>
              <w:suppressLineNumbers w:val="0"/>
              <w:jc w:val="center"/>
              <w:textAlignment w:val="center"/>
              <w:rPr>
                <w:rFonts w:ascii="宋体" w:hAnsi="宋体" w:cs="宋体"/>
                <w:color w:val="000000"/>
                <w:kern w:val="0"/>
                <w:sz w:val="22"/>
              </w:rPr>
            </w:pPr>
            <w:r>
              <w:rPr>
                <w:rFonts w:hint="eastAsia" w:ascii="宋体" w:hAnsi="宋体" w:eastAsia="宋体" w:cs="宋体"/>
                <w:i w:val="0"/>
                <w:color w:val="000000"/>
                <w:kern w:val="0"/>
                <w:sz w:val="24"/>
                <w:szCs w:val="24"/>
                <w:u w:val="none"/>
                <w:lang w:val="en-US" w:eastAsia="zh-CN" w:bidi="ar"/>
              </w:rPr>
              <w:t>≥90%</w:t>
            </w:r>
          </w:p>
        </w:tc>
      </w:tr>
    </w:tbl>
    <w:p>
      <w:pPr>
        <w:ind w:firstLine="420"/>
        <w:rPr>
          <w:rFonts w:hint="eastAsia" w:ascii="仿宋" w:hAnsi="仿宋" w:eastAsia="仿宋" w:cs="仿宋"/>
          <w:b/>
          <w:bCs/>
          <w:sz w:val="32"/>
          <w:szCs w:val="32"/>
        </w:rPr>
      </w:pPr>
    </w:p>
    <w:p>
      <w:pPr>
        <w:ind w:firstLine="420"/>
      </w:pPr>
      <w:bookmarkStart w:id="31" w:name="_GoBack"/>
      <w:bookmarkEnd w:id="31"/>
      <w:r>
        <w:rPr>
          <w:rFonts w:hint="eastAsia" w:ascii="仿宋" w:hAnsi="仿宋" w:eastAsia="仿宋" w:cs="仿宋"/>
          <w:b/>
          <w:bCs/>
          <w:sz w:val="32"/>
          <w:szCs w:val="32"/>
        </w:rPr>
        <w:t>2.部门整体支出绩效目标表</w:t>
      </w:r>
    </w:p>
    <w:p>
      <w:pPr>
        <w:spacing w:line="59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本</w:t>
      </w:r>
      <w:r>
        <w:rPr>
          <w:rFonts w:hint="eastAsia" w:ascii="仿宋" w:hAnsi="仿宋" w:eastAsia="仿宋" w:cs="仿宋"/>
          <w:kern w:val="0"/>
          <w:sz w:val="32"/>
          <w:szCs w:val="32"/>
          <w:lang w:eastAsia="zh-CN"/>
        </w:rPr>
        <w:t>单位</w:t>
      </w:r>
      <w:r>
        <w:rPr>
          <w:rFonts w:hint="eastAsia" w:ascii="仿宋" w:hAnsi="仿宋" w:eastAsia="仿宋" w:cs="仿宋"/>
          <w:kern w:val="0"/>
          <w:sz w:val="32"/>
          <w:szCs w:val="32"/>
        </w:rPr>
        <w:t>无部门整体支出绩效目标表。</w:t>
      </w:r>
    </w:p>
    <w:p>
      <w:pPr>
        <w:spacing w:line="590" w:lineRule="exact"/>
        <w:ind w:firstLine="640" w:firstLineChars="200"/>
        <w:rPr>
          <w:rFonts w:hint="eastAsia" w:ascii="仿宋" w:hAnsi="仿宋" w:eastAsia="仿宋" w:cs="仿宋"/>
          <w:kern w:val="0"/>
          <w:sz w:val="32"/>
          <w:szCs w:val="32"/>
        </w:rPr>
      </w:pPr>
    </w:p>
    <w:p>
      <w:pPr>
        <w:ind w:firstLine="420"/>
      </w:pPr>
      <w:r>
        <w:rPr>
          <w:rFonts w:hint="eastAsia" w:ascii="仿宋" w:hAnsi="仿宋" w:eastAsia="仿宋" w:cs="仿宋"/>
          <w:b/>
          <w:bCs/>
          <w:sz w:val="32"/>
          <w:szCs w:val="32"/>
        </w:rPr>
        <w:t>3.有关情况说明</w:t>
      </w:r>
    </w:p>
    <w:p>
      <w:pPr>
        <w:spacing w:line="590" w:lineRule="exact"/>
        <w:ind w:firstLine="640" w:firstLineChars="200"/>
        <w:rPr>
          <w:rFonts w:hint="default" w:ascii="仿宋" w:hAnsi="仿宋" w:eastAsia="仿宋" w:cs="仿宋"/>
          <w:sz w:val="32"/>
          <w:szCs w:val="32"/>
          <w:lang w:val="en-US" w:eastAsia="zh-CN"/>
        </w:rPr>
      </w:pPr>
      <w:r>
        <w:rPr>
          <w:rFonts w:hint="eastAsia" w:ascii="仿宋" w:hAnsi="仿宋" w:eastAsia="仿宋" w:cs="仿宋"/>
          <w:kern w:val="0"/>
          <w:sz w:val="32"/>
          <w:szCs w:val="32"/>
        </w:rPr>
        <w:t>本</w:t>
      </w:r>
      <w:r>
        <w:rPr>
          <w:rFonts w:hint="eastAsia" w:ascii="仿宋" w:hAnsi="仿宋" w:eastAsia="仿宋" w:cs="仿宋"/>
          <w:kern w:val="0"/>
          <w:sz w:val="32"/>
          <w:szCs w:val="32"/>
          <w:lang w:eastAsia="zh-CN"/>
        </w:rPr>
        <w:t>单位</w:t>
      </w:r>
      <w:r>
        <w:rPr>
          <w:rFonts w:hint="eastAsia" w:ascii="仿宋" w:hAnsi="仿宋" w:eastAsia="仿宋" w:cs="仿宋"/>
          <w:kern w:val="0"/>
          <w:sz w:val="32"/>
          <w:szCs w:val="32"/>
        </w:rPr>
        <w:t>无其他需要说明的绩效目标情况</w:t>
      </w:r>
      <w:r>
        <w:rPr>
          <w:rFonts w:hint="eastAsia" w:ascii="仿宋" w:hAnsi="仿宋" w:eastAsia="仿宋" w:cs="仿宋"/>
          <w:sz w:val="32"/>
          <w:szCs w:val="32"/>
        </w:rPr>
        <w:t>。</w:t>
      </w:r>
      <w:bookmarkEnd w:id="0"/>
    </w:p>
    <w:p>
      <w:pPr>
        <w:spacing w:line="590" w:lineRule="exact"/>
        <w:ind w:firstLine="640" w:firstLineChars="200"/>
        <w:rPr>
          <w:rFonts w:ascii="仿宋" w:hAnsi="仿宋" w:eastAsia="仿宋" w:cs="仿宋"/>
          <w:sz w:val="32"/>
        </w:rPr>
        <w:sectPr>
          <w:pgSz w:w="11906" w:h="16838"/>
          <w:pgMar w:top="1440" w:right="1803" w:bottom="1440" w:left="1803" w:header="851" w:footer="992" w:gutter="0"/>
          <w:pgNumType w:fmt="decimal"/>
          <w:cols w:space="720"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黑体" w:hAnsi="黑体" w:eastAsia="黑体" w:cs="黑体"/>
          <w:b/>
          <w:sz w:val="28"/>
          <w:szCs w:val="28"/>
        </w:rPr>
      </w:pPr>
      <w:bookmarkStart w:id="27" w:name="_Toc28244"/>
      <w:r>
        <w:rPr>
          <w:rFonts w:hint="eastAsia"/>
          <w:b w:val="0"/>
          <w:bCs/>
        </w:rPr>
        <w:t>八、其他重要事项说明</w:t>
      </w:r>
      <w:bookmarkEnd w:id="27"/>
    </w:p>
    <w:p>
      <w:pPr>
        <w:spacing w:line="600" w:lineRule="exact"/>
        <w:ind w:firstLine="420" w:firstLineChars="0"/>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（一）机关运行经费</w:t>
      </w:r>
    </w:p>
    <w:p>
      <w:pPr>
        <w:spacing w:line="600" w:lineRule="exact"/>
        <w:ind w:firstLine="420" w:firstLineChars="0"/>
        <w:rPr>
          <w:rFonts w:hint="eastAsia" w:ascii="仿宋" w:hAnsi="仿宋" w:eastAsia="仿宋" w:cs="仿宋"/>
          <w:sz w:val="32"/>
          <w:lang w:eastAsia="zh-CN"/>
        </w:rPr>
      </w:pPr>
      <w:r>
        <w:rPr>
          <w:rFonts w:hint="eastAsia" w:ascii="仿宋" w:hAnsi="仿宋" w:eastAsia="仿宋" w:cs="仿宋"/>
          <w:b w:val="0"/>
          <w:bCs/>
          <w:sz w:val="32"/>
          <w:szCs w:val="32"/>
          <w:lang w:val="en-US" w:eastAsia="zh-CN"/>
        </w:rPr>
        <w:t>本单位没有机关运行经费。</w:t>
      </w:r>
    </w:p>
    <w:p>
      <w:pPr>
        <w:spacing w:line="600" w:lineRule="exact"/>
        <w:ind w:firstLine="420" w:firstLineChars="0"/>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（二）政府采购情况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kern w:val="0"/>
          <w:sz w:val="32"/>
          <w:szCs w:val="32"/>
        </w:rPr>
      </w:pPr>
      <w:r>
        <w:rPr>
          <w:rFonts w:ascii="仿宋" w:hAnsi="仿宋" w:eastAsia="仿宋" w:cs="仿宋"/>
          <w:sz w:val="32"/>
          <w:u w:color="auto"/>
        </w:rPr>
        <w:t>2026</w:t>
      </w:r>
      <w:r>
        <w:rPr>
          <w:rFonts w:hint="eastAsia" w:ascii="仿宋" w:hAnsi="仿宋" w:eastAsia="仿宋"/>
          <w:kern w:val="0"/>
          <w:sz w:val="32"/>
          <w:szCs w:val="32"/>
        </w:rPr>
        <w:t>年，</w:t>
      </w:r>
      <w:r>
        <w:rPr>
          <w:rFonts w:hint="eastAsia" w:ascii="仿宋" w:hAnsi="仿宋" w:eastAsia="仿宋"/>
          <w:sz w:val="32"/>
          <w:szCs w:val="32"/>
          <w:lang w:val="en-US" w:eastAsia="zh-CN"/>
        </w:rPr>
        <w:t>上杭县文化馆</w:t>
      </w:r>
      <w:r>
        <w:rPr>
          <w:rFonts w:ascii="仿宋" w:hAnsi="仿宋" w:eastAsia="仿宋"/>
          <w:sz w:val="32"/>
          <w:u w:color="auto"/>
        </w:rPr>
        <w:t>单位</w:t>
      </w:r>
      <w:r>
        <w:rPr>
          <w:rFonts w:hint="eastAsia" w:ascii="仿宋" w:hAnsi="仿宋" w:eastAsia="仿宋"/>
          <w:kern w:val="0"/>
          <w:sz w:val="32"/>
          <w:szCs w:val="32"/>
        </w:rPr>
        <w:t>政府采购预算总额</w:t>
      </w:r>
      <w:r>
        <w:rPr>
          <w:rFonts w:hint="eastAsia" w:ascii="仿宋" w:hAnsi="仿宋" w:eastAsia="仿宋" w:cs="仿宋"/>
          <w:sz w:val="32"/>
          <w:lang w:eastAsia="zh-CN"/>
        </w:rPr>
        <w:t>0.30</w:t>
      </w:r>
      <w:r>
        <w:rPr>
          <w:rFonts w:hint="eastAsia" w:ascii="仿宋" w:hAnsi="仿宋" w:eastAsia="仿宋"/>
          <w:kern w:val="0"/>
          <w:sz w:val="32"/>
          <w:szCs w:val="32"/>
        </w:rPr>
        <w:t>万元，其中：政府采购货物预算</w:t>
      </w:r>
      <w:r>
        <w:rPr>
          <w:rFonts w:hint="eastAsia" w:ascii="仿宋" w:hAnsi="仿宋" w:eastAsia="仿宋" w:cs="仿宋"/>
          <w:sz w:val="32"/>
          <w:lang w:eastAsia="zh-CN"/>
        </w:rPr>
        <w:t>0.3</w:t>
      </w:r>
      <w:r>
        <w:rPr>
          <w:rFonts w:hint="eastAsia" w:ascii="仿宋" w:hAnsi="仿宋" w:eastAsia="仿宋"/>
          <w:kern w:val="0"/>
          <w:sz w:val="32"/>
          <w:szCs w:val="32"/>
        </w:rPr>
        <w:t>万元、政府采购工程预算</w:t>
      </w:r>
      <w:r>
        <w:rPr>
          <w:rFonts w:hint="eastAsia" w:ascii="仿宋" w:hAnsi="仿宋" w:eastAsia="仿宋" w:cs="仿宋"/>
          <w:sz w:val="32"/>
          <w:lang w:eastAsia="zh-CN"/>
        </w:rPr>
        <w:t>0</w:t>
      </w:r>
      <w:r>
        <w:rPr>
          <w:rFonts w:hint="eastAsia" w:ascii="仿宋" w:hAnsi="仿宋" w:eastAsia="仿宋"/>
          <w:kern w:val="0"/>
          <w:sz w:val="32"/>
          <w:szCs w:val="32"/>
        </w:rPr>
        <w:t>万元、政府采购服务预算</w:t>
      </w:r>
      <w:r>
        <w:rPr>
          <w:rFonts w:hint="eastAsia" w:ascii="仿宋" w:hAnsi="仿宋" w:eastAsia="仿宋" w:cs="仿宋"/>
          <w:sz w:val="32"/>
          <w:lang w:eastAsia="zh-CN"/>
        </w:rPr>
        <w:t>0</w:t>
      </w:r>
      <w:r>
        <w:rPr>
          <w:rFonts w:hint="eastAsia" w:ascii="仿宋" w:hAnsi="仿宋" w:eastAsia="仿宋"/>
          <w:kern w:val="0"/>
          <w:sz w:val="32"/>
          <w:szCs w:val="32"/>
        </w:rPr>
        <w:t>万元。</w:t>
      </w:r>
    </w:p>
    <w:p>
      <w:pPr>
        <w:spacing w:line="600" w:lineRule="exact"/>
        <w:ind w:firstLine="420" w:firstLineChars="0"/>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（三）国有资产占用使用情况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
          <w:sz w:val="32"/>
          <w:lang w:eastAsia="zh-CN"/>
        </w:rPr>
        <w:t>2025</w:t>
      </w:r>
      <w:r>
        <w:rPr>
          <w:rFonts w:hint="eastAsia" w:ascii="仿宋" w:hAnsi="仿宋" w:eastAsia="仿宋" w:cs="仿宋_GB2312"/>
          <w:kern w:val="0"/>
          <w:sz w:val="32"/>
          <w:szCs w:val="32"/>
        </w:rPr>
        <w:t>年12月31日，</w:t>
      </w:r>
      <w:r>
        <w:rPr>
          <w:rFonts w:hint="eastAsia" w:ascii="仿宋" w:hAnsi="仿宋" w:eastAsia="仿宋"/>
          <w:sz w:val="32"/>
          <w:szCs w:val="32"/>
          <w:lang w:val="en-US" w:eastAsia="zh-CN"/>
        </w:rPr>
        <w:t>上杭县文化馆</w:t>
      </w:r>
      <w:r>
        <w:rPr>
          <w:rFonts w:ascii="仿宋" w:hAnsi="仿宋" w:eastAsia="仿宋"/>
          <w:sz w:val="32"/>
          <w:u w:color="auto"/>
        </w:rPr>
        <w:t>单位</w:t>
      </w:r>
      <w:r>
        <w:rPr>
          <w:rFonts w:hint="eastAsia" w:ascii="仿宋" w:hAnsi="仿宋" w:eastAsia="仿宋"/>
          <w:sz w:val="32"/>
          <w:szCs w:val="32"/>
        </w:rPr>
        <w:t>共有车辆</w:t>
      </w:r>
      <w:r>
        <w:rPr>
          <w:rFonts w:hint="eastAsia" w:ascii="仿宋" w:hAnsi="仿宋" w:eastAsia="仿宋"/>
          <w:sz w:val="32"/>
          <w:szCs w:val="32"/>
          <w:lang w:val="en-US" w:eastAsia="zh-CN"/>
        </w:rPr>
        <w:t>0</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0</w:t>
      </w:r>
      <w:r>
        <w:rPr>
          <w:rFonts w:hint="eastAsia" w:ascii="仿宋" w:hAnsi="仿宋" w:eastAsia="仿宋"/>
          <w:sz w:val="32"/>
          <w:szCs w:val="32"/>
        </w:rPr>
        <w:t>辆、特种专业技术用车</w:t>
      </w:r>
      <w:r>
        <w:rPr>
          <w:rFonts w:hint="eastAsia" w:ascii="仿宋" w:hAnsi="仿宋" w:eastAsia="仿宋"/>
          <w:sz w:val="32"/>
          <w:szCs w:val="32"/>
          <w:lang w:val="en-US" w:eastAsia="zh-CN"/>
        </w:rPr>
        <w:t>0</w:t>
      </w:r>
      <w:r>
        <w:rPr>
          <w:rFonts w:hint="eastAsia" w:ascii="仿宋" w:hAnsi="仿宋" w:eastAsia="仿宋"/>
          <w:sz w:val="32"/>
          <w:szCs w:val="32"/>
        </w:rPr>
        <w:t>辆、离退休干部用车</w:t>
      </w:r>
      <w:r>
        <w:rPr>
          <w:rFonts w:hint="eastAsia" w:ascii="仿宋" w:hAnsi="仿宋" w:eastAsia="仿宋"/>
          <w:sz w:val="32"/>
          <w:szCs w:val="32"/>
          <w:lang w:val="en-US" w:eastAsia="zh-CN"/>
        </w:rPr>
        <w:t>0</w:t>
      </w:r>
      <w:r>
        <w:rPr>
          <w:rFonts w:hint="eastAsia" w:ascii="仿宋" w:hAnsi="仿宋" w:eastAsia="仿宋"/>
          <w:sz w:val="32"/>
          <w:szCs w:val="32"/>
        </w:rPr>
        <w:t>辆、其他用车</w:t>
      </w:r>
      <w:r>
        <w:rPr>
          <w:rFonts w:hint="eastAsia" w:ascii="仿宋" w:hAnsi="仿宋" w:eastAsia="仿宋"/>
          <w:sz w:val="32"/>
          <w:szCs w:val="32"/>
          <w:lang w:val="en-US" w:eastAsia="zh-CN"/>
        </w:rPr>
        <w:t>0</w:t>
      </w:r>
      <w:r>
        <w:rPr>
          <w:rFonts w:hint="eastAsia" w:ascii="仿宋" w:hAnsi="仿宋" w:eastAsia="仿宋"/>
          <w:sz w:val="32"/>
          <w:szCs w:val="32"/>
        </w:rPr>
        <w:t>辆。单位价值100万元（含）以上设备</w:t>
      </w:r>
      <w:r>
        <w:rPr>
          <w:rFonts w:hint="eastAsia" w:ascii="仿宋" w:hAnsi="仿宋" w:eastAsia="仿宋"/>
          <w:sz w:val="32"/>
          <w:szCs w:val="32"/>
          <w:lang w:val="en-US" w:eastAsia="zh-CN"/>
        </w:rPr>
        <w:t>0</w:t>
      </w:r>
      <w:r>
        <w:rPr>
          <w:rFonts w:hint="eastAsia" w:ascii="仿宋" w:hAnsi="仿宋" w:eastAsia="仿宋" w:cs="仿宋_GB2312"/>
          <w:kern w:val="0"/>
          <w:sz w:val="32"/>
          <w:szCs w:val="32"/>
        </w:rPr>
        <w:t>台（套）。</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kern w:val="0"/>
          <w:sz w:val="32"/>
          <w:szCs w:val="32"/>
          <w:lang w:eastAsia="zh-CN"/>
        </w:rPr>
        <w:t>2026</w:t>
      </w:r>
      <w:r>
        <w:rPr>
          <w:rFonts w:hint="eastAsia" w:ascii="仿宋" w:hAnsi="仿宋" w:eastAsia="仿宋" w:cs="楷体"/>
          <w:kern w:val="0"/>
          <w:sz w:val="32"/>
          <w:szCs w:val="32"/>
        </w:rPr>
        <w:t>年</w:t>
      </w:r>
      <w:r>
        <w:rPr>
          <w:rFonts w:hint="eastAsia" w:ascii="仿宋" w:hAnsi="仿宋" w:eastAsia="仿宋" w:cs="楷体"/>
          <w:kern w:val="0"/>
          <w:sz w:val="32"/>
          <w:szCs w:val="32"/>
          <w:lang w:eastAsia="zh-CN"/>
        </w:rPr>
        <w:t>单位</w:t>
      </w:r>
      <w:r>
        <w:rPr>
          <w:rFonts w:hint="eastAsia" w:ascii="仿宋" w:hAnsi="仿宋" w:eastAsia="仿宋" w:cs="楷体"/>
          <w:kern w:val="0"/>
          <w:sz w:val="32"/>
          <w:szCs w:val="32"/>
        </w:rPr>
        <w:t>预算安排购置车辆</w:t>
      </w:r>
      <w:r>
        <w:rPr>
          <w:rFonts w:hint="eastAsia" w:ascii="仿宋" w:hAnsi="仿宋" w:eastAsia="仿宋"/>
          <w:sz w:val="32"/>
          <w:szCs w:val="32"/>
          <w:lang w:val="en-US" w:eastAsia="zh-CN"/>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辆、主要领导干部用车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辆、机要通信用车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辆、应急保障用车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辆、执法执勤用车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辆、特种专业技术用车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辆、离退休干部用车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辆、其他用车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w:t>
      </w:r>
      <w:r>
        <w:rPr>
          <w:rFonts w:hint="eastAsia" w:ascii="仿宋" w:hAnsi="仿宋" w:eastAsia="仿宋"/>
          <w:sz w:val="32"/>
          <w:szCs w:val="32"/>
        </w:rPr>
        <w:t>单位价值100万元（含）以上设备</w:t>
      </w:r>
      <w:r>
        <w:rPr>
          <w:rFonts w:hint="eastAsia" w:ascii="仿宋" w:hAnsi="仿宋" w:eastAsia="仿宋"/>
          <w:sz w:val="32"/>
          <w:szCs w:val="32"/>
          <w:lang w:val="en-US" w:eastAsia="zh-CN"/>
        </w:rPr>
        <w:t>0</w:t>
      </w:r>
      <w:r>
        <w:rPr>
          <w:rFonts w:hint="eastAsia" w:ascii="仿宋" w:hAnsi="仿宋" w:eastAsia="仿宋" w:cs="仿宋_GB2312"/>
          <w:kern w:val="0"/>
          <w:sz w:val="32"/>
          <w:szCs w:val="32"/>
        </w:rPr>
        <w:t>台（套）。</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ascii="仿宋" w:hAnsi="仿宋" w:eastAsia="仿宋" w:cs="仿宋"/>
          <w:sz w:val="32"/>
        </w:rPr>
        <w:sectPr>
          <w:pgSz w:w="11906" w:h="16838"/>
          <w:pgMar w:top="1440" w:right="1803" w:bottom="1440" w:left="1803" w:header="851" w:footer="992" w:gutter="0"/>
          <w:pgNumType w:fmt="decimal"/>
          <w:cols w:space="720" w:num="1"/>
          <w:docGrid w:type="lines" w:linePitch="312" w:charSpace="0"/>
        </w:sectPr>
      </w:pPr>
    </w:p>
    <w:p>
      <w:pPr>
        <w:spacing w:line="600" w:lineRule="exact"/>
        <w:jc w:val="left"/>
        <w:rPr>
          <w:rFonts w:ascii="仿宋" w:hAnsi="仿宋" w:eastAsia="仿宋"/>
          <w:kern w:val="0"/>
          <w:sz w:val="32"/>
          <w:szCs w:val="32"/>
        </w:rPr>
      </w:pPr>
    </w:p>
    <w:p>
      <w:pPr>
        <w:jc w:val="center"/>
        <w:rPr>
          <w:rFonts w:ascii="黑体" w:hAnsi="黑体" w:eastAsia="黑体"/>
          <w:sz w:val="56"/>
        </w:rPr>
      </w:pPr>
    </w:p>
    <w:p>
      <w:pPr>
        <w:jc w:val="center"/>
        <w:rPr>
          <w:rFonts w:ascii="黑体" w:hAnsi="黑体" w:eastAsia="黑体"/>
          <w:sz w:val="56"/>
        </w:rPr>
      </w:pPr>
    </w:p>
    <w:p>
      <w:pPr>
        <w:jc w:val="center"/>
        <w:rPr>
          <w:rFonts w:ascii="黑体" w:hAnsi="黑体" w:eastAsia="黑体"/>
          <w:sz w:val="56"/>
        </w:rPr>
      </w:pPr>
    </w:p>
    <w:p>
      <w:pPr>
        <w:jc w:val="center"/>
        <w:rPr>
          <w:rFonts w:ascii="黑体" w:hAnsi="黑体" w:eastAsia="黑体"/>
          <w:sz w:val="56"/>
        </w:rPr>
      </w:pPr>
    </w:p>
    <w:p>
      <w:pPr>
        <w:jc w:val="center"/>
        <w:rPr>
          <w:rFonts w:ascii="黑体" w:hAnsi="黑体" w:eastAsia="黑体"/>
          <w:sz w:val="56"/>
        </w:rPr>
      </w:pPr>
    </w:p>
    <w:p>
      <w:pPr>
        <w:pStyle w:val="2"/>
        <w:keepNext/>
        <w:keepLines/>
        <w:pageBreakBefore w:val="0"/>
        <w:widowControl w:val="0"/>
        <w:kinsoku/>
        <w:wordWrap/>
        <w:overflowPunct/>
        <w:topLinePunct w:val="0"/>
        <w:autoSpaceDE/>
        <w:autoSpaceDN/>
        <w:bidi w:val="0"/>
        <w:adjustRightInd/>
        <w:snapToGrid/>
        <w:spacing w:line="276" w:lineRule="auto"/>
        <w:textAlignment w:val="auto"/>
        <w:rPr>
          <w:b w:val="0"/>
          <w:bCs/>
          <w:sz w:val="56"/>
          <w:szCs w:val="56"/>
        </w:rPr>
      </w:pPr>
      <w:bookmarkStart w:id="28" w:name="_Toc14348"/>
      <w:r>
        <w:rPr>
          <w:rFonts w:hint="eastAsia"/>
          <w:b w:val="0"/>
          <w:bCs/>
          <w:sz w:val="56"/>
          <w:szCs w:val="56"/>
        </w:rPr>
        <w:t>第四部分</w:t>
      </w:r>
      <w:bookmarkEnd w:id="28"/>
    </w:p>
    <w:p>
      <w:pPr>
        <w:pStyle w:val="2"/>
        <w:pageBreakBefore w:val="0"/>
        <w:widowControl w:val="0"/>
        <w:kinsoku/>
        <w:wordWrap/>
        <w:overflowPunct/>
        <w:topLinePunct w:val="0"/>
        <w:autoSpaceDE/>
        <w:autoSpaceDN/>
        <w:bidi w:val="0"/>
        <w:adjustRightInd/>
        <w:snapToGrid/>
        <w:spacing w:after="320" w:line="240" w:lineRule="auto"/>
        <w:jc w:val="center"/>
        <w:textAlignment w:val="auto"/>
        <w:rPr>
          <w:rFonts w:hint="eastAsia" w:ascii="黑体" w:hAnsi="黑体" w:eastAsia="黑体" w:cs="黑体"/>
          <w:b w:val="0"/>
          <w:bCs/>
          <w:sz w:val="56"/>
          <w:szCs w:val="56"/>
          <w:lang w:eastAsia="zh-CN"/>
        </w:rPr>
      </w:pPr>
      <w:bookmarkStart w:id="29" w:name="_Toc256000027"/>
      <w:bookmarkStart w:id="30" w:name="_Toc30858"/>
      <w:r>
        <w:rPr>
          <w:rFonts w:hint="eastAsia" w:ascii="黑体" w:hAnsi="黑体" w:eastAsia="黑体" w:cs="黑体"/>
          <w:b w:val="0"/>
          <w:bCs/>
          <w:sz w:val="56"/>
          <w:szCs w:val="56"/>
          <w:lang w:eastAsia="zh-CN"/>
        </w:rPr>
        <w:t>名词解释</w:t>
      </w:r>
      <w:bookmarkEnd w:id="29"/>
      <w:bookmarkEnd w:id="30"/>
    </w:p>
    <w:p>
      <w:pPr>
        <w:adjustRightInd w:val="0"/>
        <w:snapToGrid w:val="0"/>
        <w:spacing w:line="600" w:lineRule="exact"/>
        <w:jc w:val="left"/>
        <w:rPr>
          <w:rFonts w:ascii="宋体" w:hAnsi="宋体" w:eastAsia="宋体"/>
          <w:b/>
          <w:sz w:val="40"/>
        </w:rPr>
      </w:pPr>
    </w:p>
    <w:p>
      <w:pPr>
        <w:adjustRightInd w:val="0"/>
        <w:snapToGrid w:val="0"/>
        <w:spacing w:line="600" w:lineRule="exact"/>
        <w:jc w:val="left"/>
        <w:rPr>
          <w:rFonts w:ascii="仿宋" w:hAnsi="仿宋" w:eastAsia="仿宋" w:cs="仿宋_GB2312"/>
          <w:kern w:val="0"/>
          <w:sz w:val="32"/>
          <w:szCs w:val="32"/>
        </w:rPr>
        <w:sectPr>
          <w:pgSz w:w="11906" w:h="16838"/>
          <w:pgMar w:top="1440" w:right="1803" w:bottom="1440" w:left="1803" w:header="851" w:footer="992" w:gutter="0"/>
          <w:pgNumType w:fmt="decimal"/>
          <w:cols w:space="720" w:num="1"/>
          <w:docGrid w:type="lines" w:linePitch="312" w:charSpace="0"/>
        </w:sectPr>
      </w:pPr>
    </w:p>
    <w:p>
      <w:pPr>
        <w:pStyle w:val="18"/>
        <w:spacing w:line="600" w:lineRule="exact"/>
        <w:ind w:firstLine="640"/>
        <w:rPr>
          <w:rFonts w:hint="eastAsia" w:hAnsi="仿宋"/>
          <w:sz w:val="32"/>
          <w:szCs w:val="32"/>
        </w:rPr>
      </w:pPr>
      <w:r>
        <w:rPr>
          <w:rFonts w:hint="eastAsia" w:hAnsi="仿宋"/>
          <w:b/>
          <w:sz w:val="32"/>
          <w:szCs w:val="32"/>
        </w:rPr>
        <w:t>一、财政拨款收入：</w:t>
      </w:r>
      <w:r>
        <w:rPr>
          <w:rFonts w:hint="eastAsia" w:hAnsi="仿宋"/>
          <w:sz w:val="32"/>
          <w:szCs w:val="32"/>
        </w:rPr>
        <w:t>指财政当年拨付的资金，包括一般公共预算拨款收入、政府性基金预算拨款收入、国有资本经营预算拨款收入。</w:t>
      </w:r>
    </w:p>
    <w:p>
      <w:pPr>
        <w:pStyle w:val="18"/>
        <w:spacing w:line="600" w:lineRule="exact"/>
        <w:ind w:firstLine="640"/>
        <w:rPr>
          <w:rFonts w:hint="eastAsia" w:hAnsi="仿宋"/>
          <w:sz w:val="32"/>
          <w:szCs w:val="32"/>
        </w:rPr>
      </w:pPr>
      <w:r>
        <w:rPr>
          <w:rFonts w:hint="eastAsia" w:hAnsi="仿宋"/>
          <w:b/>
          <w:sz w:val="32"/>
          <w:szCs w:val="32"/>
        </w:rPr>
        <w:t>二、事业收入：</w:t>
      </w:r>
      <w:r>
        <w:rPr>
          <w:rFonts w:hint="eastAsia" w:hAnsi="仿宋"/>
          <w:sz w:val="32"/>
          <w:szCs w:val="32"/>
        </w:rPr>
        <w:t>指事业单位开展专业业务活动及辅助活动所取得的收入。</w:t>
      </w:r>
    </w:p>
    <w:p>
      <w:pPr>
        <w:pStyle w:val="18"/>
        <w:spacing w:line="600" w:lineRule="exact"/>
        <w:ind w:firstLine="640"/>
        <w:rPr>
          <w:rFonts w:hint="eastAsia" w:hAnsi="仿宋"/>
          <w:sz w:val="32"/>
          <w:szCs w:val="32"/>
        </w:rPr>
      </w:pPr>
      <w:r>
        <w:rPr>
          <w:rFonts w:hint="eastAsia" w:hAnsi="仿宋"/>
          <w:b/>
          <w:sz w:val="32"/>
          <w:szCs w:val="32"/>
        </w:rPr>
        <w:t>三、事业单位经营收入：</w:t>
      </w:r>
      <w:r>
        <w:rPr>
          <w:rFonts w:hint="eastAsia" w:hAnsi="仿宋"/>
          <w:sz w:val="32"/>
          <w:szCs w:val="32"/>
        </w:rPr>
        <w:t>指事业单位在专业业务活动及其辅助活动之外开展非独立核算经营活动取得的收入。</w:t>
      </w:r>
    </w:p>
    <w:p>
      <w:pPr>
        <w:pStyle w:val="18"/>
        <w:spacing w:line="600" w:lineRule="exact"/>
        <w:ind w:firstLine="640"/>
        <w:rPr>
          <w:rFonts w:hint="eastAsia" w:hAnsi="仿宋"/>
          <w:sz w:val="32"/>
          <w:szCs w:val="32"/>
        </w:rPr>
      </w:pPr>
      <w:r>
        <w:rPr>
          <w:rFonts w:hint="eastAsia" w:hAnsi="仿宋"/>
          <w:b/>
          <w:sz w:val="32"/>
          <w:szCs w:val="32"/>
        </w:rPr>
        <w:t>四、其他收入：</w:t>
      </w:r>
      <w:r>
        <w:rPr>
          <w:rFonts w:hint="eastAsia" w:hAnsi="仿宋"/>
          <w:sz w:val="32"/>
          <w:szCs w:val="32"/>
        </w:rPr>
        <w:t>指除上述“财政拨款收入”、“事业收入”、“事业单位经营收入”等以外的收入。主要是事业单位固定资产出租收入、存款利息收入等。</w:t>
      </w:r>
    </w:p>
    <w:p>
      <w:pPr>
        <w:pStyle w:val="18"/>
        <w:spacing w:line="600" w:lineRule="exact"/>
        <w:ind w:firstLine="640"/>
        <w:rPr>
          <w:rFonts w:hint="eastAsia" w:hAnsi="仿宋"/>
          <w:sz w:val="32"/>
          <w:szCs w:val="32"/>
        </w:rPr>
      </w:pPr>
      <w:r>
        <w:rPr>
          <w:rFonts w:hint="eastAsia" w:hAnsi="仿宋"/>
          <w:b/>
          <w:sz w:val="32"/>
          <w:szCs w:val="32"/>
        </w:rPr>
        <w:t>五、结转结余资金：</w:t>
      </w:r>
      <w:r>
        <w:rPr>
          <w:rFonts w:hint="eastAsia" w:hAnsi="仿宋"/>
          <w:sz w:val="32"/>
          <w:szCs w:val="32"/>
        </w:rPr>
        <w:t>指以前年度尚未完成、结转到本年仍按原规定用途继续使用的资金，或项目已完成等产生的结余资金。</w:t>
      </w:r>
    </w:p>
    <w:p>
      <w:pPr>
        <w:pStyle w:val="18"/>
        <w:spacing w:line="600" w:lineRule="exact"/>
        <w:ind w:firstLine="640"/>
        <w:rPr>
          <w:rFonts w:hint="eastAsia"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p>
    <w:p>
      <w:pPr>
        <w:pStyle w:val="18"/>
        <w:spacing w:line="600" w:lineRule="exact"/>
        <w:ind w:firstLine="640"/>
        <w:rPr>
          <w:rFonts w:hint="eastAsia"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p>
    <w:p>
      <w:pPr>
        <w:pStyle w:val="18"/>
        <w:spacing w:line="600" w:lineRule="exact"/>
        <w:ind w:firstLine="640"/>
        <w:rPr>
          <w:rFonts w:hint="eastAsia"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p>
    <w:p>
      <w:pPr>
        <w:pStyle w:val="18"/>
        <w:spacing w:line="600" w:lineRule="exact"/>
        <w:ind w:firstLine="640"/>
        <w:rPr>
          <w:rFonts w:hint="eastAsia" w:hAnsi="仿宋"/>
          <w:sz w:val="32"/>
          <w:szCs w:val="32"/>
        </w:rPr>
      </w:pPr>
      <w:r>
        <w:rPr>
          <w:rFonts w:hint="eastAsia" w:hAnsi="仿宋"/>
          <w:b/>
          <w:sz w:val="32"/>
          <w:szCs w:val="32"/>
        </w:rPr>
        <w:t>九、上缴上级支出：</w:t>
      </w:r>
      <w:r>
        <w:rPr>
          <w:rFonts w:hint="eastAsia" w:hAnsi="仿宋"/>
          <w:sz w:val="32"/>
          <w:szCs w:val="32"/>
        </w:rPr>
        <w:t>指下级单位上缴上级的支出。</w:t>
      </w:r>
    </w:p>
    <w:p>
      <w:pPr>
        <w:pStyle w:val="18"/>
        <w:spacing w:line="600" w:lineRule="exact"/>
        <w:ind w:firstLine="640"/>
        <w:rPr>
          <w:rFonts w:hint="eastAsia" w:hAnsi="仿宋"/>
          <w:sz w:val="32"/>
          <w:szCs w:val="32"/>
        </w:rPr>
      </w:pPr>
      <w:r>
        <w:rPr>
          <w:rFonts w:hint="eastAsia" w:hAnsi="仿宋"/>
          <w:b/>
          <w:sz w:val="32"/>
          <w:szCs w:val="32"/>
        </w:rPr>
        <w:t>十、对附属单位补助支出：</w:t>
      </w:r>
      <w:r>
        <w:rPr>
          <w:rFonts w:hint="eastAsia" w:hAnsi="仿宋"/>
          <w:sz w:val="32"/>
          <w:szCs w:val="32"/>
        </w:rPr>
        <w:t>指对下级单位补助</w:t>
      </w:r>
      <w:r>
        <w:rPr>
          <w:rFonts w:hint="eastAsia" w:hAnsi="仿宋"/>
          <w:sz w:val="32"/>
          <w:szCs w:val="32"/>
          <w:lang w:val="en-US" w:eastAsia="zh-CN"/>
        </w:rPr>
        <w:t>发生</w:t>
      </w:r>
      <w:r>
        <w:rPr>
          <w:rFonts w:hint="eastAsia" w:hAnsi="仿宋"/>
          <w:sz w:val="32"/>
          <w:szCs w:val="32"/>
        </w:rPr>
        <w:t>的支出。</w:t>
      </w:r>
    </w:p>
    <w:p>
      <w:pPr>
        <w:pStyle w:val="18"/>
        <w:spacing w:line="600" w:lineRule="exact"/>
        <w:ind w:firstLine="640"/>
        <w:rPr>
          <w:rFonts w:hint="eastAsia"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含车辆购置税、牌照费）及燃料费、维修费、过桥过路费、保险费、安全奖励费用等支出；公务接待费反映单位按规定开支的各类公务接待（含外宾接待）支出。</w:t>
      </w:r>
    </w:p>
    <w:p>
      <w:pPr>
        <w:pStyle w:val="18"/>
        <w:spacing w:line="600" w:lineRule="exact"/>
        <w:ind w:firstLine="640"/>
        <w:rPr>
          <w:rFonts w:hint="eastAsia" w:hAnsi="仿宋"/>
          <w:sz w:val="32"/>
          <w:szCs w:val="32"/>
        </w:rPr>
      </w:pPr>
      <w:r>
        <w:rPr>
          <w:rFonts w:hint="eastAsia" w:hAnsi="仿宋"/>
          <w:b/>
          <w:sz w:val="32"/>
          <w:szCs w:val="32"/>
        </w:rPr>
        <w:t>十二、机关运行经费：</w:t>
      </w:r>
      <w:r>
        <w:rPr>
          <w:rFonts w:hint="eastAsia" w:hAnsi="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8"/>
        <w:spacing w:line="600" w:lineRule="exact"/>
        <w:ind w:firstLine="640"/>
        <w:rPr>
          <w:rFonts w:ascii="宋体" w:hAnsi="宋体" w:eastAsia="宋体"/>
          <w:b/>
          <w:sz w:val="32"/>
          <w:szCs w:val="32"/>
        </w:rPr>
      </w:pPr>
    </w:p>
    <w:sectPr>
      <w:pgSz w:w="11906" w:h="16838"/>
      <w:pgMar w:top="1440" w:right="1803" w:bottom="1440" w:left="1803"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5"/>
                            <w:jc w:val="center"/>
                            <w:rPr>
                              <w:rFonts w:ascii="宋体" w:hAnsi="宋体"/>
                              <w:sz w:val="20"/>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25</w:t>
                          </w:r>
                          <w:r>
                            <w:rPr>
                              <w:rFonts w:hint="eastAsia" w:asciiTheme="minorEastAsia" w:hAnsiTheme="minorEastAsia" w:eastAsiaTheme="minorEastAsia" w:cstheme="minorEastAsia"/>
                              <w:sz w:val="28"/>
                              <w:szCs w:val="28"/>
                            </w:rPr>
                            <w:fldChar w:fldCharType="end"/>
                          </w:r>
                        </w:p>
                      </w:txbxContent>
                    </wps:txbx>
                    <wps:bodyPr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s0lY7tAAAAAFAQAADwAAAAAAAAABACAAAAAiAAAAZHJzL2Rvd25yZXYueG1sUEsB&#10;AhQAFAAAAAgAh07iQNf+psHEAQAAbQMAAA4AAAAAAAAAAQAgAAAAHwEAAGRycy9lMm9Eb2MueG1s&#10;UEsFBgAAAAAGAAYAWQEAAFUFAAAAAA==&#10;">
              <v:fill on="f" focussize="0,0"/>
              <v:stroke on="f" weight="0.5pt"/>
              <v:imagedata o:title=""/>
              <o:lock v:ext="edit" aspectratio="f"/>
              <v:textbox inset="0mm,0mm,0mm,0mm" style="mso-fit-shape-to-text:t;">
                <w:txbxContent>
                  <w:p>
                    <w:pPr>
                      <w:pStyle w:val="5"/>
                      <w:jc w:val="center"/>
                      <w:rPr>
                        <w:rFonts w:ascii="宋体" w:hAnsi="宋体"/>
                        <w:sz w:val="20"/>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25</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3ZDIwY2UwYjRhMzExMDZhNGYyOTY3MWJkNDY4NGQifQ=="/>
    <w:docVar w:name="KSO_WPS_MARK_KEY" w:val="af23955d-0e39-4c48-9064-fc6f5a35ac2a"/>
  </w:docVars>
  <w:rsids>
    <w:rsidRoot w:val="00276093"/>
    <w:rsid w:val="0000246C"/>
    <w:rsid w:val="000038E2"/>
    <w:rsid w:val="00003DBA"/>
    <w:rsid w:val="00004CE1"/>
    <w:rsid w:val="000058F3"/>
    <w:rsid w:val="00005C0C"/>
    <w:rsid w:val="00011BAB"/>
    <w:rsid w:val="00013CE8"/>
    <w:rsid w:val="000141D9"/>
    <w:rsid w:val="00020C2F"/>
    <w:rsid w:val="0002112A"/>
    <w:rsid w:val="00023374"/>
    <w:rsid w:val="0002379A"/>
    <w:rsid w:val="000260BC"/>
    <w:rsid w:val="000264F0"/>
    <w:rsid w:val="0002698C"/>
    <w:rsid w:val="0003089A"/>
    <w:rsid w:val="0003193F"/>
    <w:rsid w:val="00032190"/>
    <w:rsid w:val="000403E3"/>
    <w:rsid w:val="000417EF"/>
    <w:rsid w:val="00042262"/>
    <w:rsid w:val="00046E11"/>
    <w:rsid w:val="00055873"/>
    <w:rsid w:val="0005676E"/>
    <w:rsid w:val="00056CD4"/>
    <w:rsid w:val="0005716F"/>
    <w:rsid w:val="00060883"/>
    <w:rsid w:val="00060B63"/>
    <w:rsid w:val="0006186A"/>
    <w:rsid w:val="00063D5C"/>
    <w:rsid w:val="000644C5"/>
    <w:rsid w:val="00065049"/>
    <w:rsid w:val="00065622"/>
    <w:rsid w:val="00072DDD"/>
    <w:rsid w:val="00076C7F"/>
    <w:rsid w:val="000779D3"/>
    <w:rsid w:val="00080F13"/>
    <w:rsid w:val="00083310"/>
    <w:rsid w:val="000843A8"/>
    <w:rsid w:val="00093534"/>
    <w:rsid w:val="000958F1"/>
    <w:rsid w:val="00096A6E"/>
    <w:rsid w:val="000A0138"/>
    <w:rsid w:val="000A090F"/>
    <w:rsid w:val="000A2980"/>
    <w:rsid w:val="000A3D22"/>
    <w:rsid w:val="000A3D93"/>
    <w:rsid w:val="000B2223"/>
    <w:rsid w:val="000B557D"/>
    <w:rsid w:val="000B5F12"/>
    <w:rsid w:val="000B6286"/>
    <w:rsid w:val="000B790C"/>
    <w:rsid w:val="000B7BA4"/>
    <w:rsid w:val="000C2EA1"/>
    <w:rsid w:val="000C3250"/>
    <w:rsid w:val="000D1168"/>
    <w:rsid w:val="000D1799"/>
    <w:rsid w:val="000D2672"/>
    <w:rsid w:val="000D48A1"/>
    <w:rsid w:val="000D5C6D"/>
    <w:rsid w:val="000D755B"/>
    <w:rsid w:val="000D79EA"/>
    <w:rsid w:val="000E2E6C"/>
    <w:rsid w:val="000E39D0"/>
    <w:rsid w:val="000E5683"/>
    <w:rsid w:val="000E57C3"/>
    <w:rsid w:val="000E5E7F"/>
    <w:rsid w:val="000F07D8"/>
    <w:rsid w:val="000F16B6"/>
    <w:rsid w:val="000F7E75"/>
    <w:rsid w:val="00102736"/>
    <w:rsid w:val="00104B85"/>
    <w:rsid w:val="0011271A"/>
    <w:rsid w:val="0011286D"/>
    <w:rsid w:val="00114A76"/>
    <w:rsid w:val="00115195"/>
    <w:rsid w:val="00116869"/>
    <w:rsid w:val="00120C36"/>
    <w:rsid w:val="00121977"/>
    <w:rsid w:val="00122671"/>
    <w:rsid w:val="00122F42"/>
    <w:rsid w:val="00124AB1"/>
    <w:rsid w:val="001273B5"/>
    <w:rsid w:val="00127830"/>
    <w:rsid w:val="001430EE"/>
    <w:rsid w:val="001434A6"/>
    <w:rsid w:val="00147652"/>
    <w:rsid w:val="00152866"/>
    <w:rsid w:val="00153C9D"/>
    <w:rsid w:val="0015688E"/>
    <w:rsid w:val="00162FAA"/>
    <w:rsid w:val="001704E6"/>
    <w:rsid w:val="00170AAB"/>
    <w:rsid w:val="0017398D"/>
    <w:rsid w:val="00174307"/>
    <w:rsid w:val="001773A6"/>
    <w:rsid w:val="001816CB"/>
    <w:rsid w:val="001865C1"/>
    <w:rsid w:val="00186F1B"/>
    <w:rsid w:val="00187847"/>
    <w:rsid w:val="001916B0"/>
    <w:rsid w:val="001924E0"/>
    <w:rsid w:val="00192676"/>
    <w:rsid w:val="001926CF"/>
    <w:rsid w:val="00194C64"/>
    <w:rsid w:val="001960BA"/>
    <w:rsid w:val="001962FD"/>
    <w:rsid w:val="00196648"/>
    <w:rsid w:val="00196FF1"/>
    <w:rsid w:val="00197139"/>
    <w:rsid w:val="00197504"/>
    <w:rsid w:val="001A0B13"/>
    <w:rsid w:val="001A2337"/>
    <w:rsid w:val="001A25EF"/>
    <w:rsid w:val="001A28D2"/>
    <w:rsid w:val="001A3C4B"/>
    <w:rsid w:val="001A6BC0"/>
    <w:rsid w:val="001A7BE3"/>
    <w:rsid w:val="001B3282"/>
    <w:rsid w:val="001B4DC1"/>
    <w:rsid w:val="001B4E8D"/>
    <w:rsid w:val="001B6339"/>
    <w:rsid w:val="001B761D"/>
    <w:rsid w:val="001D091C"/>
    <w:rsid w:val="001D0E09"/>
    <w:rsid w:val="001D14D1"/>
    <w:rsid w:val="001D29A1"/>
    <w:rsid w:val="001D5493"/>
    <w:rsid w:val="001D6E07"/>
    <w:rsid w:val="001D7ED0"/>
    <w:rsid w:val="001E156E"/>
    <w:rsid w:val="001E28B6"/>
    <w:rsid w:val="001E504B"/>
    <w:rsid w:val="001E544F"/>
    <w:rsid w:val="00200CE7"/>
    <w:rsid w:val="00204E35"/>
    <w:rsid w:val="00205474"/>
    <w:rsid w:val="0021456E"/>
    <w:rsid w:val="00216DFE"/>
    <w:rsid w:val="00220BD8"/>
    <w:rsid w:val="00221609"/>
    <w:rsid w:val="002239AE"/>
    <w:rsid w:val="00223C92"/>
    <w:rsid w:val="002241B7"/>
    <w:rsid w:val="00224C3C"/>
    <w:rsid w:val="00224C3D"/>
    <w:rsid w:val="00224D53"/>
    <w:rsid w:val="00225240"/>
    <w:rsid w:val="00226966"/>
    <w:rsid w:val="00227FD3"/>
    <w:rsid w:val="002304B9"/>
    <w:rsid w:val="0023295C"/>
    <w:rsid w:val="00232FB6"/>
    <w:rsid w:val="00234278"/>
    <w:rsid w:val="00234319"/>
    <w:rsid w:val="00241666"/>
    <w:rsid w:val="002418C3"/>
    <w:rsid w:val="0024389C"/>
    <w:rsid w:val="00244AF7"/>
    <w:rsid w:val="002474B9"/>
    <w:rsid w:val="00247646"/>
    <w:rsid w:val="00250AE9"/>
    <w:rsid w:val="002522C7"/>
    <w:rsid w:val="002527D2"/>
    <w:rsid w:val="00253171"/>
    <w:rsid w:val="002537AD"/>
    <w:rsid w:val="0026121F"/>
    <w:rsid w:val="00261481"/>
    <w:rsid w:val="0026184D"/>
    <w:rsid w:val="002629D3"/>
    <w:rsid w:val="00264400"/>
    <w:rsid w:val="00264521"/>
    <w:rsid w:val="002648C6"/>
    <w:rsid w:val="00265450"/>
    <w:rsid w:val="00267BF9"/>
    <w:rsid w:val="0027292B"/>
    <w:rsid w:val="002743BC"/>
    <w:rsid w:val="00276093"/>
    <w:rsid w:val="00277CBB"/>
    <w:rsid w:val="002813BD"/>
    <w:rsid w:val="0028324A"/>
    <w:rsid w:val="002840D4"/>
    <w:rsid w:val="00286901"/>
    <w:rsid w:val="00287052"/>
    <w:rsid w:val="002A17BA"/>
    <w:rsid w:val="002A3AD4"/>
    <w:rsid w:val="002A42C4"/>
    <w:rsid w:val="002B0226"/>
    <w:rsid w:val="002B182C"/>
    <w:rsid w:val="002B3EAB"/>
    <w:rsid w:val="002B545D"/>
    <w:rsid w:val="002B59E2"/>
    <w:rsid w:val="002B7750"/>
    <w:rsid w:val="002C0724"/>
    <w:rsid w:val="002C090F"/>
    <w:rsid w:val="002C1707"/>
    <w:rsid w:val="002C3553"/>
    <w:rsid w:val="002C5D6B"/>
    <w:rsid w:val="002C63F7"/>
    <w:rsid w:val="002C76A2"/>
    <w:rsid w:val="002C7F3B"/>
    <w:rsid w:val="002E216D"/>
    <w:rsid w:val="002E22E5"/>
    <w:rsid w:val="002E62F8"/>
    <w:rsid w:val="002E713C"/>
    <w:rsid w:val="002E7D07"/>
    <w:rsid w:val="002F4A56"/>
    <w:rsid w:val="002F6012"/>
    <w:rsid w:val="002F7007"/>
    <w:rsid w:val="00300950"/>
    <w:rsid w:val="0030344D"/>
    <w:rsid w:val="00303D52"/>
    <w:rsid w:val="00304663"/>
    <w:rsid w:val="00304BA5"/>
    <w:rsid w:val="003065BC"/>
    <w:rsid w:val="00314443"/>
    <w:rsid w:val="0031462A"/>
    <w:rsid w:val="00315881"/>
    <w:rsid w:val="00317F97"/>
    <w:rsid w:val="00321072"/>
    <w:rsid w:val="0032331D"/>
    <w:rsid w:val="00323C72"/>
    <w:rsid w:val="0032684B"/>
    <w:rsid w:val="003321C5"/>
    <w:rsid w:val="00333A77"/>
    <w:rsid w:val="00333AA8"/>
    <w:rsid w:val="003378FB"/>
    <w:rsid w:val="003406DC"/>
    <w:rsid w:val="0034316F"/>
    <w:rsid w:val="0034563D"/>
    <w:rsid w:val="00347160"/>
    <w:rsid w:val="00351C04"/>
    <w:rsid w:val="0035499D"/>
    <w:rsid w:val="003570F5"/>
    <w:rsid w:val="0036090F"/>
    <w:rsid w:val="003620CB"/>
    <w:rsid w:val="0036356B"/>
    <w:rsid w:val="0036428D"/>
    <w:rsid w:val="003658A0"/>
    <w:rsid w:val="00366658"/>
    <w:rsid w:val="0037273E"/>
    <w:rsid w:val="00377E84"/>
    <w:rsid w:val="003818A7"/>
    <w:rsid w:val="00381F03"/>
    <w:rsid w:val="003828FD"/>
    <w:rsid w:val="00382B88"/>
    <w:rsid w:val="00385282"/>
    <w:rsid w:val="0038685E"/>
    <w:rsid w:val="00387088"/>
    <w:rsid w:val="00390131"/>
    <w:rsid w:val="003917AB"/>
    <w:rsid w:val="00392C7C"/>
    <w:rsid w:val="003945F5"/>
    <w:rsid w:val="00394892"/>
    <w:rsid w:val="00396215"/>
    <w:rsid w:val="00397933"/>
    <w:rsid w:val="003A3C0C"/>
    <w:rsid w:val="003A510E"/>
    <w:rsid w:val="003A7700"/>
    <w:rsid w:val="003A7ED3"/>
    <w:rsid w:val="003B4247"/>
    <w:rsid w:val="003B48BF"/>
    <w:rsid w:val="003C139A"/>
    <w:rsid w:val="003C1512"/>
    <w:rsid w:val="003C1AE5"/>
    <w:rsid w:val="003C2ACA"/>
    <w:rsid w:val="003D4203"/>
    <w:rsid w:val="003D5627"/>
    <w:rsid w:val="003D6FD0"/>
    <w:rsid w:val="003E1FC4"/>
    <w:rsid w:val="003E268F"/>
    <w:rsid w:val="003E3174"/>
    <w:rsid w:val="003F0880"/>
    <w:rsid w:val="003F46A9"/>
    <w:rsid w:val="00400218"/>
    <w:rsid w:val="00401601"/>
    <w:rsid w:val="00407986"/>
    <w:rsid w:val="00407A13"/>
    <w:rsid w:val="0041005F"/>
    <w:rsid w:val="00410427"/>
    <w:rsid w:val="0041051F"/>
    <w:rsid w:val="004109FC"/>
    <w:rsid w:val="00411B70"/>
    <w:rsid w:val="00417544"/>
    <w:rsid w:val="00420FD3"/>
    <w:rsid w:val="0042162B"/>
    <w:rsid w:val="00422F76"/>
    <w:rsid w:val="0042399D"/>
    <w:rsid w:val="00426392"/>
    <w:rsid w:val="00427631"/>
    <w:rsid w:val="00430DA6"/>
    <w:rsid w:val="0043363C"/>
    <w:rsid w:val="00442B8D"/>
    <w:rsid w:val="00446091"/>
    <w:rsid w:val="004463D0"/>
    <w:rsid w:val="0044641E"/>
    <w:rsid w:val="00451672"/>
    <w:rsid w:val="00451C12"/>
    <w:rsid w:val="004534EC"/>
    <w:rsid w:val="00455343"/>
    <w:rsid w:val="00457983"/>
    <w:rsid w:val="0046492F"/>
    <w:rsid w:val="00466775"/>
    <w:rsid w:val="00471762"/>
    <w:rsid w:val="0047245A"/>
    <w:rsid w:val="00473741"/>
    <w:rsid w:val="00473B30"/>
    <w:rsid w:val="00474939"/>
    <w:rsid w:val="00477558"/>
    <w:rsid w:val="004778D4"/>
    <w:rsid w:val="00480120"/>
    <w:rsid w:val="00480AC6"/>
    <w:rsid w:val="00483949"/>
    <w:rsid w:val="004879B8"/>
    <w:rsid w:val="004904E5"/>
    <w:rsid w:val="00491BFE"/>
    <w:rsid w:val="004930B7"/>
    <w:rsid w:val="00495993"/>
    <w:rsid w:val="004A4089"/>
    <w:rsid w:val="004A46E3"/>
    <w:rsid w:val="004A7B84"/>
    <w:rsid w:val="004B3BE4"/>
    <w:rsid w:val="004B4C02"/>
    <w:rsid w:val="004B6176"/>
    <w:rsid w:val="004B7555"/>
    <w:rsid w:val="004B78B9"/>
    <w:rsid w:val="004B7A98"/>
    <w:rsid w:val="004C3553"/>
    <w:rsid w:val="004C6612"/>
    <w:rsid w:val="004C6A1A"/>
    <w:rsid w:val="004C7373"/>
    <w:rsid w:val="004D0824"/>
    <w:rsid w:val="004D11F1"/>
    <w:rsid w:val="004D303F"/>
    <w:rsid w:val="004D4054"/>
    <w:rsid w:val="004D49E5"/>
    <w:rsid w:val="004E090C"/>
    <w:rsid w:val="004E1C4A"/>
    <w:rsid w:val="004E2C43"/>
    <w:rsid w:val="004E464B"/>
    <w:rsid w:val="004E58ED"/>
    <w:rsid w:val="004E7411"/>
    <w:rsid w:val="004F54AD"/>
    <w:rsid w:val="004F591C"/>
    <w:rsid w:val="00503010"/>
    <w:rsid w:val="00505293"/>
    <w:rsid w:val="00507D4B"/>
    <w:rsid w:val="00510577"/>
    <w:rsid w:val="00512E01"/>
    <w:rsid w:val="0051696D"/>
    <w:rsid w:val="00517C69"/>
    <w:rsid w:val="005222A7"/>
    <w:rsid w:val="0052410C"/>
    <w:rsid w:val="00526DC6"/>
    <w:rsid w:val="005272D0"/>
    <w:rsid w:val="0052746D"/>
    <w:rsid w:val="00527C8C"/>
    <w:rsid w:val="005305B1"/>
    <w:rsid w:val="00530D51"/>
    <w:rsid w:val="005319B6"/>
    <w:rsid w:val="00532DB1"/>
    <w:rsid w:val="0053339F"/>
    <w:rsid w:val="00537860"/>
    <w:rsid w:val="005401E2"/>
    <w:rsid w:val="00540D65"/>
    <w:rsid w:val="0054537E"/>
    <w:rsid w:val="00551636"/>
    <w:rsid w:val="005538DA"/>
    <w:rsid w:val="00556815"/>
    <w:rsid w:val="00560E2D"/>
    <w:rsid w:val="005643E0"/>
    <w:rsid w:val="00565BC8"/>
    <w:rsid w:val="00567E9F"/>
    <w:rsid w:val="00570A86"/>
    <w:rsid w:val="0057164B"/>
    <w:rsid w:val="00574328"/>
    <w:rsid w:val="005755DC"/>
    <w:rsid w:val="005767A2"/>
    <w:rsid w:val="00584FA1"/>
    <w:rsid w:val="00585359"/>
    <w:rsid w:val="00586552"/>
    <w:rsid w:val="00587A3A"/>
    <w:rsid w:val="005918E0"/>
    <w:rsid w:val="00592592"/>
    <w:rsid w:val="005A0A1A"/>
    <w:rsid w:val="005A2C17"/>
    <w:rsid w:val="005B3A36"/>
    <w:rsid w:val="005B3FA8"/>
    <w:rsid w:val="005B5765"/>
    <w:rsid w:val="005B5902"/>
    <w:rsid w:val="005B6D02"/>
    <w:rsid w:val="005C09E1"/>
    <w:rsid w:val="005C19A8"/>
    <w:rsid w:val="005C2DA8"/>
    <w:rsid w:val="005C47C1"/>
    <w:rsid w:val="005C6C70"/>
    <w:rsid w:val="005D46C5"/>
    <w:rsid w:val="005D65EC"/>
    <w:rsid w:val="005D694F"/>
    <w:rsid w:val="005D764E"/>
    <w:rsid w:val="005D7DB1"/>
    <w:rsid w:val="005E1995"/>
    <w:rsid w:val="005E24AB"/>
    <w:rsid w:val="005E2925"/>
    <w:rsid w:val="005E2A8C"/>
    <w:rsid w:val="005E60F8"/>
    <w:rsid w:val="005E7A0C"/>
    <w:rsid w:val="005F095A"/>
    <w:rsid w:val="005F1080"/>
    <w:rsid w:val="005F16EB"/>
    <w:rsid w:val="005F3696"/>
    <w:rsid w:val="005F4A72"/>
    <w:rsid w:val="005F5C08"/>
    <w:rsid w:val="005F6EF2"/>
    <w:rsid w:val="005F71C0"/>
    <w:rsid w:val="006030B9"/>
    <w:rsid w:val="00603B51"/>
    <w:rsid w:val="006042DE"/>
    <w:rsid w:val="00605CFB"/>
    <w:rsid w:val="00606596"/>
    <w:rsid w:val="00606A02"/>
    <w:rsid w:val="00606E3F"/>
    <w:rsid w:val="006074B6"/>
    <w:rsid w:val="00607762"/>
    <w:rsid w:val="0061215A"/>
    <w:rsid w:val="0061771C"/>
    <w:rsid w:val="0062516A"/>
    <w:rsid w:val="00626D0D"/>
    <w:rsid w:val="00634B91"/>
    <w:rsid w:val="006371D3"/>
    <w:rsid w:val="006403ED"/>
    <w:rsid w:val="006453F7"/>
    <w:rsid w:val="00646201"/>
    <w:rsid w:val="00647B13"/>
    <w:rsid w:val="00650641"/>
    <w:rsid w:val="0065068B"/>
    <w:rsid w:val="006513C4"/>
    <w:rsid w:val="00653FA3"/>
    <w:rsid w:val="0065447D"/>
    <w:rsid w:val="00660766"/>
    <w:rsid w:val="00661D91"/>
    <w:rsid w:val="00661F1A"/>
    <w:rsid w:val="006621E1"/>
    <w:rsid w:val="006644A8"/>
    <w:rsid w:val="00673B8E"/>
    <w:rsid w:val="0067407C"/>
    <w:rsid w:val="00674149"/>
    <w:rsid w:val="00675146"/>
    <w:rsid w:val="00675576"/>
    <w:rsid w:val="006768F2"/>
    <w:rsid w:val="00682767"/>
    <w:rsid w:val="00684C5B"/>
    <w:rsid w:val="006863AE"/>
    <w:rsid w:val="00686696"/>
    <w:rsid w:val="00690379"/>
    <w:rsid w:val="006912F5"/>
    <w:rsid w:val="00691D26"/>
    <w:rsid w:val="00693C62"/>
    <w:rsid w:val="00694F03"/>
    <w:rsid w:val="006A147D"/>
    <w:rsid w:val="006A491B"/>
    <w:rsid w:val="006A4D6B"/>
    <w:rsid w:val="006A5A04"/>
    <w:rsid w:val="006A5B5E"/>
    <w:rsid w:val="006A5E02"/>
    <w:rsid w:val="006A611A"/>
    <w:rsid w:val="006A69A9"/>
    <w:rsid w:val="006A7E8C"/>
    <w:rsid w:val="006B0297"/>
    <w:rsid w:val="006B2801"/>
    <w:rsid w:val="006B49E4"/>
    <w:rsid w:val="006B6DD3"/>
    <w:rsid w:val="006B741D"/>
    <w:rsid w:val="006C3A79"/>
    <w:rsid w:val="006C42C2"/>
    <w:rsid w:val="006C7431"/>
    <w:rsid w:val="006C7C4F"/>
    <w:rsid w:val="006D0A0F"/>
    <w:rsid w:val="006D15C2"/>
    <w:rsid w:val="006D1EB2"/>
    <w:rsid w:val="006D2C92"/>
    <w:rsid w:val="006D4724"/>
    <w:rsid w:val="006D56F8"/>
    <w:rsid w:val="006D6606"/>
    <w:rsid w:val="006D6708"/>
    <w:rsid w:val="006D6E8C"/>
    <w:rsid w:val="006E1754"/>
    <w:rsid w:val="006E3B0B"/>
    <w:rsid w:val="006E5F28"/>
    <w:rsid w:val="006F447A"/>
    <w:rsid w:val="006F5A86"/>
    <w:rsid w:val="006F7F3A"/>
    <w:rsid w:val="00700FAA"/>
    <w:rsid w:val="00702298"/>
    <w:rsid w:val="007053F6"/>
    <w:rsid w:val="00706DD1"/>
    <w:rsid w:val="0070719B"/>
    <w:rsid w:val="007101EC"/>
    <w:rsid w:val="00714236"/>
    <w:rsid w:val="00714D31"/>
    <w:rsid w:val="007208CD"/>
    <w:rsid w:val="00720921"/>
    <w:rsid w:val="00723DFA"/>
    <w:rsid w:val="00724C7E"/>
    <w:rsid w:val="00725B30"/>
    <w:rsid w:val="0072715D"/>
    <w:rsid w:val="007276CB"/>
    <w:rsid w:val="007300BB"/>
    <w:rsid w:val="00730A8D"/>
    <w:rsid w:val="00731D3B"/>
    <w:rsid w:val="00733D10"/>
    <w:rsid w:val="00734802"/>
    <w:rsid w:val="00734B9C"/>
    <w:rsid w:val="00735D27"/>
    <w:rsid w:val="00741E5D"/>
    <w:rsid w:val="007424C3"/>
    <w:rsid w:val="007439D1"/>
    <w:rsid w:val="00745E21"/>
    <w:rsid w:val="00751BFD"/>
    <w:rsid w:val="00753AF6"/>
    <w:rsid w:val="007549EB"/>
    <w:rsid w:val="00755123"/>
    <w:rsid w:val="00755EE9"/>
    <w:rsid w:val="00756B66"/>
    <w:rsid w:val="007576F1"/>
    <w:rsid w:val="0076015A"/>
    <w:rsid w:val="00761809"/>
    <w:rsid w:val="0076391C"/>
    <w:rsid w:val="00764129"/>
    <w:rsid w:val="00764169"/>
    <w:rsid w:val="007648F0"/>
    <w:rsid w:val="00766890"/>
    <w:rsid w:val="00771E22"/>
    <w:rsid w:val="00774CED"/>
    <w:rsid w:val="00775742"/>
    <w:rsid w:val="00783255"/>
    <w:rsid w:val="007850F0"/>
    <w:rsid w:val="0078623B"/>
    <w:rsid w:val="00791B1E"/>
    <w:rsid w:val="00793880"/>
    <w:rsid w:val="00793DF9"/>
    <w:rsid w:val="007962BC"/>
    <w:rsid w:val="00796F65"/>
    <w:rsid w:val="007A2C46"/>
    <w:rsid w:val="007A3226"/>
    <w:rsid w:val="007A487A"/>
    <w:rsid w:val="007B0133"/>
    <w:rsid w:val="007B2DAD"/>
    <w:rsid w:val="007B323A"/>
    <w:rsid w:val="007B3EF0"/>
    <w:rsid w:val="007B6576"/>
    <w:rsid w:val="007C066D"/>
    <w:rsid w:val="007D09AC"/>
    <w:rsid w:val="007D0C9C"/>
    <w:rsid w:val="007D1D55"/>
    <w:rsid w:val="007D5097"/>
    <w:rsid w:val="007D551F"/>
    <w:rsid w:val="007E0E4B"/>
    <w:rsid w:val="007E4D04"/>
    <w:rsid w:val="007E576F"/>
    <w:rsid w:val="007E6443"/>
    <w:rsid w:val="007E7CC2"/>
    <w:rsid w:val="007F135A"/>
    <w:rsid w:val="007F27A9"/>
    <w:rsid w:val="007F6629"/>
    <w:rsid w:val="008005BC"/>
    <w:rsid w:val="00800F66"/>
    <w:rsid w:val="00811BA4"/>
    <w:rsid w:val="00812272"/>
    <w:rsid w:val="00812D18"/>
    <w:rsid w:val="00813825"/>
    <w:rsid w:val="0082234D"/>
    <w:rsid w:val="00823597"/>
    <w:rsid w:val="00824702"/>
    <w:rsid w:val="008347A4"/>
    <w:rsid w:val="00836461"/>
    <w:rsid w:val="008364A9"/>
    <w:rsid w:val="00836A64"/>
    <w:rsid w:val="00843210"/>
    <w:rsid w:val="00843685"/>
    <w:rsid w:val="00843827"/>
    <w:rsid w:val="00843CC0"/>
    <w:rsid w:val="00845174"/>
    <w:rsid w:val="00845928"/>
    <w:rsid w:val="00846C9A"/>
    <w:rsid w:val="008471C6"/>
    <w:rsid w:val="00847E41"/>
    <w:rsid w:val="00847E94"/>
    <w:rsid w:val="00847E97"/>
    <w:rsid w:val="0085367A"/>
    <w:rsid w:val="0086327B"/>
    <w:rsid w:val="008638BB"/>
    <w:rsid w:val="008645F9"/>
    <w:rsid w:val="00864657"/>
    <w:rsid w:val="0086502B"/>
    <w:rsid w:val="0086552C"/>
    <w:rsid w:val="00867C8E"/>
    <w:rsid w:val="00874190"/>
    <w:rsid w:val="0087442E"/>
    <w:rsid w:val="00876E8F"/>
    <w:rsid w:val="008777B8"/>
    <w:rsid w:val="008814D7"/>
    <w:rsid w:val="008835F0"/>
    <w:rsid w:val="00890632"/>
    <w:rsid w:val="00896B59"/>
    <w:rsid w:val="008A3BC9"/>
    <w:rsid w:val="008C0CB6"/>
    <w:rsid w:val="008C4AF9"/>
    <w:rsid w:val="008D254E"/>
    <w:rsid w:val="008D3E77"/>
    <w:rsid w:val="008D4B0E"/>
    <w:rsid w:val="008D5263"/>
    <w:rsid w:val="008E14FF"/>
    <w:rsid w:val="008E19F6"/>
    <w:rsid w:val="008E527D"/>
    <w:rsid w:val="008E63B2"/>
    <w:rsid w:val="008F1590"/>
    <w:rsid w:val="008F2B57"/>
    <w:rsid w:val="008F391C"/>
    <w:rsid w:val="008F453D"/>
    <w:rsid w:val="00902D9B"/>
    <w:rsid w:val="00905D85"/>
    <w:rsid w:val="00911BAB"/>
    <w:rsid w:val="00911C63"/>
    <w:rsid w:val="0091308C"/>
    <w:rsid w:val="009205C2"/>
    <w:rsid w:val="00922BFE"/>
    <w:rsid w:val="00923DF7"/>
    <w:rsid w:val="009246ED"/>
    <w:rsid w:val="00924A2B"/>
    <w:rsid w:val="00925B95"/>
    <w:rsid w:val="00926543"/>
    <w:rsid w:val="009272A8"/>
    <w:rsid w:val="00932FB5"/>
    <w:rsid w:val="009366F0"/>
    <w:rsid w:val="009370BB"/>
    <w:rsid w:val="00951E5D"/>
    <w:rsid w:val="00952EDB"/>
    <w:rsid w:val="00953D9C"/>
    <w:rsid w:val="00961818"/>
    <w:rsid w:val="00963687"/>
    <w:rsid w:val="00963E58"/>
    <w:rsid w:val="009644B3"/>
    <w:rsid w:val="00965744"/>
    <w:rsid w:val="009662F7"/>
    <w:rsid w:val="009678D1"/>
    <w:rsid w:val="0097008B"/>
    <w:rsid w:val="00970CC2"/>
    <w:rsid w:val="00971A4A"/>
    <w:rsid w:val="00972C61"/>
    <w:rsid w:val="00996792"/>
    <w:rsid w:val="009A2424"/>
    <w:rsid w:val="009A2BBE"/>
    <w:rsid w:val="009A6AD3"/>
    <w:rsid w:val="009A72F4"/>
    <w:rsid w:val="009B161A"/>
    <w:rsid w:val="009B2BA8"/>
    <w:rsid w:val="009B7D91"/>
    <w:rsid w:val="009C1049"/>
    <w:rsid w:val="009C1357"/>
    <w:rsid w:val="009C1F77"/>
    <w:rsid w:val="009C2191"/>
    <w:rsid w:val="009C2DD2"/>
    <w:rsid w:val="009D212B"/>
    <w:rsid w:val="009D6205"/>
    <w:rsid w:val="009D6582"/>
    <w:rsid w:val="009F0E90"/>
    <w:rsid w:val="009F16E5"/>
    <w:rsid w:val="009F4ED1"/>
    <w:rsid w:val="009F5DF7"/>
    <w:rsid w:val="009F70F4"/>
    <w:rsid w:val="009F7169"/>
    <w:rsid w:val="00A003D5"/>
    <w:rsid w:val="00A04961"/>
    <w:rsid w:val="00A052C9"/>
    <w:rsid w:val="00A0738E"/>
    <w:rsid w:val="00A11396"/>
    <w:rsid w:val="00A12CAC"/>
    <w:rsid w:val="00A1404A"/>
    <w:rsid w:val="00A1409A"/>
    <w:rsid w:val="00A17CEA"/>
    <w:rsid w:val="00A20436"/>
    <w:rsid w:val="00A247EE"/>
    <w:rsid w:val="00A2605D"/>
    <w:rsid w:val="00A35560"/>
    <w:rsid w:val="00A37A0F"/>
    <w:rsid w:val="00A40A8D"/>
    <w:rsid w:val="00A44252"/>
    <w:rsid w:val="00A449F3"/>
    <w:rsid w:val="00A455BC"/>
    <w:rsid w:val="00A52184"/>
    <w:rsid w:val="00A529CE"/>
    <w:rsid w:val="00A550D4"/>
    <w:rsid w:val="00A55374"/>
    <w:rsid w:val="00A5548A"/>
    <w:rsid w:val="00A56DAF"/>
    <w:rsid w:val="00A60C00"/>
    <w:rsid w:val="00A70B2D"/>
    <w:rsid w:val="00A70FF8"/>
    <w:rsid w:val="00A73CB6"/>
    <w:rsid w:val="00A74BFA"/>
    <w:rsid w:val="00A74F87"/>
    <w:rsid w:val="00A752E5"/>
    <w:rsid w:val="00A77A70"/>
    <w:rsid w:val="00A77BC9"/>
    <w:rsid w:val="00A81100"/>
    <w:rsid w:val="00A8174D"/>
    <w:rsid w:val="00A83437"/>
    <w:rsid w:val="00A848A0"/>
    <w:rsid w:val="00A8497F"/>
    <w:rsid w:val="00A85CCD"/>
    <w:rsid w:val="00A879E3"/>
    <w:rsid w:val="00A90114"/>
    <w:rsid w:val="00A90C82"/>
    <w:rsid w:val="00A9291D"/>
    <w:rsid w:val="00A941CF"/>
    <w:rsid w:val="00A949F9"/>
    <w:rsid w:val="00A9542A"/>
    <w:rsid w:val="00AA384C"/>
    <w:rsid w:val="00AA4ACB"/>
    <w:rsid w:val="00AA5168"/>
    <w:rsid w:val="00AA6E2B"/>
    <w:rsid w:val="00AB0AA2"/>
    <w:rsid w:val="00AB28C2"/>
    <w:rsid w:val="00AB4A70"/>
    <w:rsid w:val="00AB4E70"/>
    <w:rsid w:val="00AB6B9E"/>
    <w:rsid w:val="00AB7B4B"/>
    <w:rsid w:val="00AB7FE8"/>
    <w:rsid w:val="00AC6712"/>
    <w:rsid w:val="00AC7322"/>
    <w:rsid w:val="00AD0F49"/>
    <w:rsid w:val="00AD4C5E"/>
    <w:rsid w:val="00AD749B"/>
    <w:rsid w:val="00AE033B"/>
    <w:rsid w:val="00AE0616"/>
    <w:rsid w:val="00AE10E6"/>
    <w:rsid w:val="00AE1259"/>
    <w:rsid w:val="00AE59CC"/>
    <w:rsid w:val="00AE67D8"/>
    <w:rsid w:val="00AF47F3"/>
    <w:rsid w:val="00AF7490"/>
    <w:rsid w:val="00B01C1F"/>
    <w:rsid w:val="00B01DFF"/>
    <w:rsid w:val="00B0341B"/>
    <w:rsid w:val="00B0489B"/>
    <w:rsid w:val="00B05EC1"/>
    <w:rsid w:val="00B07FAD"/>
    <w:rsid w:val="00B14104"/>
    <w:rsid w:val="00B144A8"/>
    <w:rsid w:val="00B14A66"/>
    <w:rsid w:val="00B16458"/>
    <w:rsid w:val="00B16CEA"/>
    <w:rsid w:val="00B17523"/>
    <w:rsid w:val="00B17B8A"/>
    <w:rsid w:val="00B2140D"/>
    <w:rsid w:val="00B21D20"/>
    <w:rsid w:val="00B21FCB"/>
    <w:rsid w:val="00B22209"/>
    <w:rsid w:val="00B234AD"/>
    <w:rsid w:val="00B24620"/>
    <w:rsid w:val="00B24DAC"/>
    <w:rsid w:val="00B330D4"/>
    <w:rsid w:val="00B33E2C"/>
    <w:rsid w:val="00B33F24"/>
    <w:rsid w:val="00B4209D"/>
    <w:rsid w:val="00B42539"/>
    <w:rsid w:val="00B47E5F"/>
    <w:rsid w:val="00B50D7C"/>
    <w:rsid w:val="00B5323E"/>
    <w:rsid w:val="00B54A31"/>
    <w:rsid w:val="00B62714"/>
    <w:rsid w:val="00B659DF"/>
    <w:rsid w:val="00B662CC"/>
    <w:rsid w:val="00B72EB0"/>
    <w:rsid w:val="00B74668"/>
    <w:rsid w:val="00B749BD"/>
    <w:rsid w:val="00B768A1"/>
    <w:rsid w:val="00B77AA3"/>
    <w:rsid w:val="00B85D3D"/>
    <w:rsid w:val="00B90E61"/>
    <w:rsid w:val="00B9479A"/>
    <w:rsid w:val="00B9550E"/>
    <w:rsid w:val="00B96044"/>
    <w:rsid w:val="00B97FB4"/>
    <w:rsid w:val="00BA2A21"/>
    <w:rsid w:val="00BA3F6B"/>
    <w:rsid w:val="00BA5140"/>
    <w:rsid w:val="00BA6A9A"/>
    <w:rsid w:val="00BB4757"/>
    <w:rsid w:val="00BB7094"/>
    <w:rsid w:val="00BB7AED"/>
    <w:rsid w:val="00BC2957"/>
    <w:rsid w:val="00BC323D"/>
    <w:rsid w:val="00BC4451"/>
    <w:rsid w:val="00BC5F9C"/>
    <w:rsid w:val="00BD4DDE"/>
    <w:rsid w:val="00BE01EA"/>
    <w:rsid w:val="00BE2A86"/>
    <w:rsid w:val="00BE4744"/>
    <w:rsid w:val="00BE69E2"/>
    <w:rsid w:val="00BF05BA"/>
    <w:rsid w:val="00BF3BC6"/>
    <w:rsid w:val="00BF539F"/>
    <w:rsid w:val="00BF658B"/>
    <w:rsid w:val="00C01F11"/>
    <w:rsid w:val="00C0377C"/>
    <w:rsid w:val="00C03A0C"/>
    <w:rsid w:val="00C042AF"/>
    <w:rsid w:val="00C04708"/>
    <w:rsid w:val="00C04EB6"/>
    <w:rsid w:val="00C0606C"/>
    <w:rsid w:val="00C07005"/>
    <w:rsid w:val="00C07D67"/>
    <w:rsid w:val="00C14024"/>
    <w:rsid w:val="00C16913"/>
    <w:rsid w:val="00C17C69"/>
    <w:rsid w:val="00C17ECE"/>
    <w:rsid w:val="00C2002F"/>
    <w:rsid w:val="00C21029"/>
    <w:rsid w:val="00C23875"/>
    <w:rsid w:val="00C26D42"/>
    <w:rsid w:val="00C27455"/>
    <w:rsid w:val="00C34CAA"/>
    <w:rsid w:val="00C35944"/>
    <w:rsid w:val="00C37728"/>
    <w:rsid w:val="00C4303A"/>
    <w:rsid w:val="00C436B1"/>
    <w:rsid w:val="00C47FCB"/>
    <w:rsid w:val="00C56AC4"/>
    <w:rsid w:val="00C579CB"/>
    <w:rsid w:val="00C60F94"/>
    <w:rsid w:val="00C61585"/>
    <w:rsid w:val="00C61CD0"/>
    <w:rsid w:val="00C64488"/>
    <w:rsid w:val="00C660B7"/>
    <w:rsid w:val="00C74157"/>
    <w:rsid w:val="00C7415F"/>
    <w:rsid w:val="00C76BBB"/>
    <w:rsid w:val="00C7740F"/>
    <w:rsid w:val="00C77637"/>
    <w:rsid w:val="00C8350D"/>
    <w:rsid w:val="00C845BC"/>
    <w:rsid w:val="00C85600"/>
    <w:rsid w:val="00C90CC5"/>
    <w:rsid w:val="00C92E64"/>
    <w:rsid w:val="00C962D8"/>
    <w:rsid w:val="00C97B52"/>
    <w:rsid w:val="00CB1150"/>
    <w:rsid w:val="00CB1FDD"/>
    <w:rsid w:val="00CB595F"/>
    <w:rsid w:val="00CB5E08"/>
    <w:rsid w:val="00CB6146"/>
    <w:rsid w:val="00CB721B"/>
    <w:rsid w:val="00CC0AFE"/>
    <w:rsid w:val="00CD36B6"/>
    <w:rsid w:val="00CD5267"/>
    <w:rsid w:val="00CD5429"/>
    <w:rsid w:val="00CD68AB"/>
    <w:rsid w:val="00CD6F7A"/>
    <w:rsid w:val="00CE0C0B"/>
    <w:rsid w:val="00CE29FF"/>
    <w:rsid w:val="00CE3B2E"/>
    <w:rsid w:val="00CE4334"/>
    <w:rsid w:val="00CF23F4"/>
    <w:rsid w:val="00CF493F"/>
    <w:rsid w:val="00CF4F84"/>
    <w:rsid w:val="00CF53C6"/>
    <w:rsid w:val="00CF5C9F"/>
    <w:rsid w:val="00CF782B"/>
    <w:rsid w:val="00D029A4"/>
    <w:rsid w:val="00D029FF"/>
    <w:rsid w:val="00D03F92"/>
    <w:rsid w:val="00D043B9"/>
    <w:rsid w:val="00D0440B"/>
    <w:rsid w:val="00D04976"/>
    <w:rsid w:val="00D05589"/>
    <w:rsid w:val="00D12696"/>
    <w:rsid w:val="00D15B7E"/>
    <w:rsid w:val="00D15E04"/>
    <w:rsid w:val="00D20A1A"/>
    <w:rsid w:val="00D230F3"/>
    <w:rsid w:val="00D24869"/>
    <w:rsid w:val="00D26485"/>
    <w:rsid w:val="00D27094"/>
    <w:rsid w:val="00D31C41"/>
    <w:rsid w:val="00D325F5"/>
    <w:rsid w:val="00D3269D"/>
    <w:rsid w:val="00D34475"/>
    <w:rsid w:val="00D34705"/>
    <w:rsid w:val="00D359A3"/>
    <w:rsid w:val="00D371C1"/>
    <w:rsid w:val="00D40602"/>
    <w:rsid w:val="00D42174"/>
    <w:rsid w:val="00D42FCA"/>
    <w:rsid w:val="00D442D3"/>
    <w:rsid w:val="00D44A55"/>
    <w:rsid w:val="00D47D64"/>
    <w:rsid w:val="00D5071D"/>
    <w:rsid w:val="00D50D15"/>
    <w:rsid w:val="00D51ABD"/>
    <w:rsid w:val="00D548BA"/>
    <w:rsid w:val="00D60025"/>
    <w:rsid w:val="00D65469"/>
    <w:rsid w:val="00D70487"/>
    <w:rsid w:val="00D73DE3"/>
    <w:rsid w:val="00D74BD7"/>
    <w:rsid w:val="00D75217"/>
    <w:rsid w:val="00D81A87"/>
    <w:rsid w:val="00D82140"/>
    <w:rsid w:val="00D82721"/>
    <w:rsid w:val="00D832B5"/>
    <w:rsid w:val="00D85912"/>
    <w:rsid w:val="00D86E85"/>
    <w:rsid w:val="00D86EB9"/>
    <w:rsid w:val="00D90D50"/>
    <w:rsid w:val="00D91E32"/>
    <w:rsid w:val="00D93DF4"/>
    <w:rsid w:val="00DA2563"/>
    <w:rsid w:val="00DA2FC1"/>
    <w:rsid w:val="00DA76AE"/>
    <w:rsid w:val="00DB1E6C"/>
    <w:rsid w:val="00DB2A5F"/>
    <w:rsid w:val="00DB5540"/>
    <w:rsid w:val="00DC11E4"/>
    <w:rsid w:val="00DC2ACC"/>
    <w:rsid w:val="00DC2B63"/>
    <w:rsid w:val="00DC55C3"/>
    <w:rsid w:val="00DD2226"/>
    <w:rsid w:val="00DD242D"/>
    <w:rsid w:val="00DD40A9"/>
    <w:rsid w:val="00DD4554"/>
    <w:rsid w:val="00DD5322"/>
    <w:rsid w:val="00DE0D65"/>
    <w:rsid w:val="00DE28D4"/>
    <w:rsid w:val="00DE29EA"/>
    <w:rsid w:val="00DE5A70"/>
    <w:rsid w:val="00DF1E4B"/>
    <w:rsid w:val="00DF3E95"/>
    <w:rsid w:val="00DF3EA5"/>
    <w:rsid w:val="00DF5788"/>
    <w:rsid w:val="00DF5EC8"/>
    <w:rsid w:val="00DF6DB7"/>
    <w:rsid w:val="00E0107C"/>
    <w:rsid w:val="00E01936"/>
    <w:rsid w:val="00E02388"/>
    <w:rsid w:val="00E053F6"/>
    <w:rsid w:val="00E1124B"/>
    <w:rsid w:val="00E120CF"/>
    <w:rsid w:val="00E123AC"/>
    <w:rsid w:val="00E147D2"/>
    <w:rsid w:val="00E1743B"/>
    <w:rsid w:val="00E174E1"/>
    <w:rsid w:val="00E178A7"/>
    <w:rsid w:val="00E235CC"/>
    <w:rsid w:val="00E23A7E"/>
    <w:rsid w:val="00E26C20"/>
    <w:rsid w:val="00E2724B"/>
    <w:rsid w:val="00E31A1A"/>
    <w:rsid w:val="00E42BF8"/>
    <w:rsid w:val="00E42E5A"/>
    <w:rsid w:val="00E4446C"/>
    <w:rsid w:val="00E44573"/>
    <w:rsid w:val="00E51A1F"/>
    <w:rsid w:val="00E5334D"/>
    <w:rsid w:val="00E57A44"/>
    <w:rsid w:val="00E61E5B"/>
    <w:rsid w:val="00E6396D"/>
    <w:rsid w:val="00E63B61"/>
    <w:rsid w:val="00E64948"/>
    <w:rsid w:val="00E64F1A"/>
    <w:rsid w:val="00E6552D"/>
    <w:rsid w:val="00E74031"/>
    <w:rsid w:val="00E74760"/>
    <w:rsid w:val="00E77D61"/>
    <w:rsid w:val="00E80C7F"/>
    <w:rsid w:val="00E82C21"/>
    <w:rsid w:val="00E84228"/>
    <w:rsid w:val="00E8718A"/>
    <w:rsid w:val="00E907C3"/>
    <w:rsid w:val="00E90F2D"/>
    <w:rsid w:val="00E93255"/>
    <w:rsid w:val="00E963F7"/>
    <w:rsid w:val="00EA0735"/>
    <w:rsid w:val="00EA2058"/>
    <w:rsid w:val="00EA4DC4"/>
    <w:rsid w:val="00EB07CB"/>
    <w:rsid w:val="00EB0DC9"/>
    <w:rsid w:val="00EC0966"/>
    <w:rsid w:val="00EC2553"/>
    <w:rsid w:val="00EC3C4B"/>
    <w:rsid w:val="00EC72C6"/>
    <w:rsid w:val="00EC72EF"/>
    <w:rsid w:val="00EC7542"/>
    <w:rsid w:val="00ED056C"/>
    <w:rsid w:val="00ED119B"/>
    <w:rsid w:val="00EE0C46"/>
    <w:rsid w:val="00EE291F"/>
    <w:rsid w:val="00EE6CF6"/>
    <w:rsid w:val="00EE7F25"/>
    <w:rsid w:val="00EF0850"/>
    <w:rsid w:val="00EF254D"/>
    <w:rsid w:val="00EF28C0"/>
    <w:rsid w:val="00EF34E1"/>
    <w:rsid w:val="00EF35CC"/>
    <w:rsid w:val="00EF5F19"/>
    <w:rsid w:val="00F019DC"/>
    <w:rsid w:val="00F0328C"/>
    <w:rsid w:val="00F04270"/>
    <w:rsid w:val="00F048A3"/>
    <w:rsid w:val="00F052A8"/>
    <w:rsid w:val="00F05F90"/>
    <w:rsid w:val="00F13B89"/>
    <w:rsid w:val="00F17A8E"/>
    <w:rsid w:val="00F206E5"/>
    <w:rsid w:val="00F222A6"/>
    <w:rsid w:val="00F22614"/>
    <w:rsid w:val="00F22807"/>
    <w:rsid w:val="00F2499A"/>
    <w:rsid w:val="00F279E8"/>
    <w:rsid w:val="00F336D2"/>
    <w:rsid w:val="00F4125B"/>
    <w:rsid w:val="00F415DC"/>
    <w:rsid w:val="00F41D09"/>
    <w:rsid w:val="00F42635"/>
    <w:rsid w:val="00F437E3"/>
    <w:rsid w:val="00F46254"/>
    <w:rsid w:val="00F50599"/>
    <w:rsid w:val="00F5082C"/>
    <w:rsid w:val="00F51778"/>
    <w:rsid w:val="00F545DC"/>
    <w:rsid w:val="00F55027"/>
    <w:rsid w:val="00F5572A"/>
    <w:rsid w:val="00F57787"/>
    <w:rsid w:val="00F61282"/>
    <w:rsid w:val="00F67AEF"/>
    <w:rsid w:val="00F67FBC"/>
    <w:rsid w:val="00F74112"/>
    <w:rsid w:val="00F74CB0"/>
    <w:rsid w:val="00F751EA"/>
    <w:rsid w:val="00F817BB"/>
    <w:rsid w:val="00F84F07"/>
    <w:rsid w:val="00F85650"/>
    <w:rsid w:val="00F872E5"/>
    <w:rsid w:val="00F903BE"/>
    <w:rsid w:val="00F90C7D"/>
    <w:rsid w:val="00F91671"/>
    <w:rsid w:val="00F94067"/>
    <w:rsid w:val="00F96936"/>
    <w:rsid w:val="00FA03BA"/>
    <w:rsid w:val="00FA170B"/>
    <w:rsid w:val="00FA4C5D"/>
    <w:rsid w:val="00FB33D3"/>
    <w:rsid w:val="00FB42A7"/>
    <w:rsid w:val="00FC4B22"/>
    <w:rsid w:val="00FC5EC0"/>
    <w:rsid w:val="00FC6C60"/>
    <w:rsid w:val="00FD0F55"/>
    <w:rsid w:val="00FD20E6"/>
    <w:rsid w:val="00FD5814"/>
    <w:rsid w:val="00FD7899"/>
    <w:rsid w:val="00FE4F6C"/>
    <w:rsid w:val="00FE50F9"/>
    <w:rsid w:val="00FE5F72"/>
    <w:rsid w:val="00FE6651"/>
    <w:rsid w:val="00FE6731"/>
    <w:rsid w:val="00FF053B"/>
    <w:rsid w:val="00FF1D60"/>
    <w:rsid w:val="00FF42A1"/>
    <w:rsid w:val="00FF5FE0"/>
    <w:rsid w:val="01205D5C"/>
    <w:rsid w:val="01270854"/>
    <w:rsid w:val="01586F89"/>
    <w:rsid w:val="017A61F7"/>
    <w:rsid w:val="017D33CF"/>
    <w:rsid w:val="01853498"/>
    <w:rsid w:val="01C901A1"/>
    <w:rsid w:val="01E4674A"/>
    <w:rsid w:val="020A1737"/>
    <w:rsid w:val="0225536F"/>
    <w:rsid w:val="02AD1871"/>
    <w:rsid w:val="02C2228F"/>
    <w:rsid w:val="02CE17E8"/>
    <w:rsid w:val="02E01C88"/>
    <w:rsid w:val="032A52B1"/>
    <w:rsid w:val="033A29CA"/>
    <w:rsid w:val="03914CEF"/>
    <w:rsid w:val="03AD6239"/>
    <w:rsid w:val="03BA0B89"/>
    <w:rsid w:val="03FD4168"/>
    <w:rsid w:val="04025387"/>
    <w:rsid w:val="0406477E"/>
    <w:rsid w:val="04072E49"/>
    <w:rsid w:val="042C6D2F"/>
    <w:rsid w:val="042F78E2"/>
    <w:rsid w:val="043D6C25"/>
    <w:rsid w:val="04F27A0F"/>
    <w:rsid w:val="04FB7299"/>
    <w:rsid w:val="051D51DF"/>
    <w:rsid w:val="05230CD1"/>
    <w:rsid w:val="056703FD"/>
    <w:rsid w:val="05926A54"/>
    <w:rsid w:val="05A36F5B"/>
    <w:rsid w:val="05CF4E25"/>
    <w:rsid w:val="06345E06"/>
    <w:rsid w:val="067F3DDE"/>
    <w:rsid w:val="06AA70EB"/>
    <w:rsid w:val="06DF3840"/>
    <w:rsid w:val="06F276B3"/>
    <w:rsid w:val="06FC31AA"/>
    <w:rsid w:val="07046D8D"/>
    <w:rsid w:val="071D4AEC"/>
    <w:rsid w:val="07347FFB"/>
    <w:rsid w:val="074A3B33"/>
    <w:rsid w:val="07B74F40"/>
    <w:rsid w:val="0828143A"/>
    <w:rsid w:val="08346591"/>
    <w:rsid w:val="08CE42EF"/>
    <w:rsid w:val="08F33D56"/>
    <w:rsid w:val="09062803"/>
    <w:rsid w:val="090F1C87"/>
    <w:rsid w:val="09992EFE"/>
    <w:rsid w:val="09E86505"/>
    <w:rsid w:val="0A167CBC"/>
    <w:rsid w:val="0A342878"/>
    <w:rsid w:val="0A430F51"/>
    <w:rsid w:val="0A4C0979"/>
    <w:rsid w:val="0A60366D"/>
    <w:rsid w:val="0A6071C9"/>
    <w:rsid w:val="0AA13B51"/>
    <w:rsid w:val="0AA90B70"/>
    <w:rsid w:val="0AAF1EFF"/>
    <w:rsid w:val="0ABE0ED6"/>
    <w:rsid w:val="0AD007F3"/>
    <w:rsid w:val="0AD6392F"/>
    <w:rsid w:val="0B3C1019"/>
    <w:rsid w:val="0B626F71"/>
    <w:rsid w:val="0B7102DF"/>
    <w:rsid w:val="0B9C2483"/>
    <w:rsid w:val="0BA77B54"/>
    <w:rsid w:val="0BA80E28"/>
    <w:rsid w:val="0BAB0918"/>
    <w:rsid w:val="0BB27EF8"/>
    <w:rsid w:val="0BBE485C"/>
    <w:rsid w:val="0BFC73C5"/>
    <w:rsid w:val="0C0C0229"/>
    <w:rsid w:val="0C1E74E2"/>
    <w:rsid w:val="0C2709E2"/>
    <w:rsid w:val="0C364685"/>
    <w:rsid w:val="0C51353F"/>
    <w:rsid w:val="0C7D492C"/>
    <w:rsid w:val="0C87314F"/>
    <w:rsid w:val="0C8D4217"/>
    <w:rsid w:val="0C9462C4"/>
    <w:rsid w:val="0CA75583"/>
    <w:rsid w:val="0CD36378"/>
    <w:rsid w:val="0D074274"/>
    <w:rsid w:val="0D0D0332"/>
    <w:rsid w:val="0D243D8A"/>
    <w:rsid w:val="0D273B66"/>
    <w:rsid w:val="0D291423"/>
    <w:rsid w:val="0DC61A39"/>
    <w:rsid w:val="0DD51C7C"/>
    <w:rsid w:val="0DDA54E4"/>
    <w:rsid w:val="0DE13CE3"/>
    <w:rsid w:val="0DEF2DBD"/>
    <w:rsid w:val="0E184239"/>
    <w:rsid w:val="0E1D7BE7"/>
    <w:rsid w:val="0E356072"/>
    <w:rsid w:val="0E356BBF"/>
    <w:rsid w:val="0E3966AF"/>
    <w:rsid w:val="0E6F20D1"/>
    <w:rsid w:val="0E7864D9"/>
    <w:rsid w:val="0E8325FF"/>
    <w:rsid w:val="0E8B67DF"/>
    <w:rsid w:val="0E8F6873"/>
    <w:rsid w:val="0E910299"/>
    <w:rsid w:val="0E971AE4"/>
    <w:rsid w:val="0E9733D5"/>
    <w:rsid w:val="0EAC741F"/>
    <w:rsid w:val="0EB14497"/>
    <w:rsid w:val="0EB75826"/>
    <w:rsid w:val="0EB9159E"/>
    <w:rsid w:val="0ECA33B2"/>
    <w:rsid w:val="0ED83C14"/>
    <w:rsid w:val="0EF00AD8"/>
    <w:rsid w:val="0F087E2F"/>
    <w:rsid w:val="0F0A004B"/>
    <w:rsid w:val="0F492922"/>
    <w:rsid w:val="0F7D6A03"/>
    <w:rsid w:val="0FA36690"/>
    <w:rsid w:val="0FC44D9A"/>
    <w:rsid w:val="10DC1574"/>
    <w:rsid w:val="110F1949"/>
    <w:rsid w:val="11307940"/>
    <w:rsid w:val="1131366D"/>
    <w:rsid w:val="1133418C"/>
    <w:rsid w:val="1143294E"/>
    <w:rsid w:val="114F75E6"/>
    <w:rsid w:val="11553800"/>
    <w:rsid w:val="11913845"/>
    <w:rsid w:val="11AE5258"/>
    <w:rsid w:val="11B06C88"/>
    <w:rsid w:val="11F1104F"/>
    <w:rsid w:val="11FD79F3"/>
    <w:rsid w:val="122D652B"/>
    <w:rsid w:val="12307DC9"/>
    <w:rsid w:val="12521AED"/>
    <w:rsid w:val="12723B30"/>
    <w:rsid w:val="127A7296"/>
    <w:rsid w:val="128D6FC9"/>
    <w:rsid w:val="128F377D"/>
    <w:rsid w:val="12B74046"/>
    <w:rsid w:val="12C25C6B"/>
    <w:rsid w:val="12C30C3D"/>
    <w:rsid w:val="12C43900"/>
    <w:rsid w:val="12FB08C3"/>
    <w:rsid w:val="13253BB0"/>
    <w:rsid w:val="13423688"/>
    <w:rsid w:val="13525ABF"/>
    <w:rsid w:val="13767A5D"/>
    <w:rsid w:val="13CB74DA"/>
    <w:rsid w:val="14302302"/>
    <w:rsid w:val="145F6743"/>
    <w:rsid w:val="14A423A8"/>
    <w:rsid w:val="14C50C9C"/>
    <w:rsid w:val="14CF1B1B"/>
    <w:rsid w:val="14E37374"/>
    <w:rsid w:val="15211C4B"/>
    <w:rsid w:val="15334487"/>
    <w:rsid w:val="15602773"/>
    <w:rsid w:val="156C2EC6"/>
    <w:rsid w:val="159D26C2"/>
    <w:rsid w:val="15A5462A"/>
    <w:rsid w:val="15C427BF"/>
    <w:rsid w:val="15D44A2E"/>
    <w:rsid w:val="16132863"/>
    <w:rsid w:val="164437DD"/>
    <w:rsid w:val="165102AA"/>
    <w:rsid w:val="166811C8"/>
    <w:rsid w:val="166B7621"/>
    <w:rsid w:val="169F551D"/>
    <w:rsid w:val="16AC5780"/>
    <w:rsid w:val="174A36DB"/>
    <w:rsid w:val="17722F85"/>
    <w:rsid w:val="17BF54E2"/>
    <w:rsid w:val="17C64F6E"/>
    <w:rsid w:val="17E56C0B"/>
    <w:rsid w:val="17EB6A33"/>
    <w:rsid w:val="180C0E06"/>
    <w:rsid w:val="1814606E"/>
    <w:rsid w:val="181B6E25"/>
    <w:rsid w:val="1842710A"/>
    <w:rsid w:val="184F33D6"/>
    <w:rsid w:val="18956BD8"/>
    <w:rsid w:val="18AB01A9"/>
    <w:rsid w:val="18C213AC"/>
    <w:rsid w:val="18D21BDA"/>
    <w:rsid w:val="18FB615B"/>
    <w:rsid w:val="194910F0"/>
    <w:rsid w:val="195645B9"/>
    <w:rsid w:val="197832BB"/>
    <w:rsid w:val="19A96D61"/>
    <w:rsid w:val="19AE61A3"/>
    <w:rsid w:val="19B2356A"/>
    <w:rsid w:val="19B31AA9"/>
    <w:rsid w:val="19C77265"/>
    <w:rsid w:val="1A1C18A7"/>
    <w:rsid w:val="1A2C0418"/>
    <w:rsid w:val="1A383CBF"/>
    <w:rsid w:val="1A5635E6"/>
    <w:rsid w:val="1AFD2812"/>
    <w:rsid w:val="1B041DF3"/>
    <w:rsid w:val="1B1458F5"/>
    <w:rsid w:val="1B421B68"/>
    <w:rsid w:val="1B5F12B0"/>
    <w:rsid w:val="1B8D003A"/>
    <w:rsid w:val="1B9211AC"/>
    <w:rsid w:val="1BA15893"/>
    <w:rsid w:val="1BC31CAE"/>
    <w:rsid w:val="1C24719B"/>
    <w:rsid w:val="1C6D3D2D"/>
    <w:rsid w:val="1C7F75A6"/>
    <w:rsid w:val="1C8B457A"/>
    <w:rsid w:val="1CAC0D1A"/>
    <w:rsid w:val="1CCC6940"/>
    <w:rsid w:val="1CD04682"/>
    <w:rsid w:val="1CE14B92"/>
    <w:rsid w:val="1D0E3B88"/>
    <w:rsid w:val="1D28001A"/>
    <w:rsid w:val="1D954F84"/>
    <w:rsid w:val="1DE429ED"/>
    <w:rsid w:val="1E346727"/>
    <w:rsid w:val="1E545854"/>
    <w:rsid w:val="1EB37810"/>
    <w:rsid w:val="1EC028CD"/>
    <w:rsid w:val="1EDF295B"/>
    <w:rsid w:val="1EE35AC6"/>
    <w:rsid w:val="1EEB59CF"/>
    <w:rsid w:val="1F1F7435"/>
    <w:rsid w:val="1F6711E3"/>
    <w:rsid w:val="1F705168"/>
    <w:rsid w:val="1F770DE5"/>
    <w:rsid w:val="1FD07B9A"/>
    <w:rsid w:val="2032136E"/>
    <w:rsid w:val="20615610"/>
    <w:rsid w:val="20713A86"/>
    <w:rsid w:val="20AB72FF"/>
    <w:rsid w:val="20B0637C"/>
    <w:rsid w:val="20BE5BD1"/>
    <w:rsid w:val="20C84600"/>
    <w:rsid w:val="20E71F9A"/>
    <w:rsid w:val="213B08E1"/>
    <w:rsid w:val="213D1BBA"/>
    <w:rsid w:val="216A2189"/>
    <w:rsid w:val="218B0B78"/>
    <w:rsid w:val="21A51481"/>
    <w:rsid w:val="21A60641"/>
    <w:rsid w:val="21D50340"/>
    <w:rsid w:val="21D93944"/>
    <w:rsid w:val="21E806E9"/>
    <w:rsid w:val="2223659D"/>
    <w:rsid w:val="222F59A7"/>
    <w:rsid w:val="2237485C"/>
    <w:rsid w:val="2264640B"/>
    <w:rsid w:val="229D285B"/>
    <w:rsid w:val="22B365D8"/>
    <w:rsid w:val="237D2742"/>
    <w:rsid w:val="239B7444"/>
    <w:rsid w:val="23C6058D"/>
    <w:rsid w:val="23DF20A4"/>
    <w:rsid w:val="247C6BAC"/>
    <w:rsid w:val="24B85237"/>
    <w:rsid w:val="24B95CA2"/>
    <w:rsid w:val="24C30629"/>
    <w:rsid w:val="24C56B1E"/>
    <w:rsid w:val="24C90335"/>
    <w:rsid w:val="25251116"/>
    <w:rsid w:val="259F425C"/>
    <w:rsid w:val="25BF3725"/>
    <w:rsid w:val="25CD5C03"/>
    <w:rsid w:val="25E305D9"/>
    <w:rsid w:val="25F50CB6"/>
    <w:rsid w:val="2606448B"/>
    <w:rsid w:val="261E19ED"/>
    <w:rsid w:val="26263A75"/>
    <w:rsid w:val="263121A9"/>
    <w:rsid w:val="26347A30"/>
    <w:rsid w:val="263C1196"/>
    <w:rsid w:val="266B71CA"/>
    <w:rsid w:val="26F92A28"/>
    <w:rsid w:val="27082C6B"/>
    <w:rsid w:val="270D43CE"/>
    <w:rsid w:val="272479DB"/>
    <w:rsid w:val="274C6FFB"/>
    <w:rsid w:val="280E42B1"/>
    <w:rsid w:val="28285372"/>
    <w:rsid w:val="2863070C"/>
    <w:rsid w:val="286F545C"/>
    <w:rsid w:val="28DA4193"/>
    <w:rsid w:val="28E95C91"/>
    <w:rsid w:val="296E563B"/>
    <w:rsid w:val="29787C34"/>
    <w:rsid w:val="29B6075C"/>
    <w:rsid w:val="29B81F73"/>
    <w:rsid w:val="29E21935"/>
    <w:rsid w:val="2A24600D"/>
    <w:rsid w:val="2A5A558B"/>
    <w:rsid w:val="2A7277D4"/>
    <w:rsid w:val="2A894EA8"/>
    <w:rsid w:val="2AC46EA9"/>
    <w:rsid w:val="2AE92110"/>
    <w:rsid w:val="2B255B99"/>
    <w:rsid w:val="2B3B74A1"/>
    <w:rsid w:val="2BBB474F"/>
    <w:rsid w:val="2BF33EE9"/>
    <w:rsid w:val="2C970D19"/>
    <w:rsid w:val="2CBB6F02"/>
    <w:rsid w:val="2CBC069A"/>
    <w:rsid w:val="2CCA6938"/>
    <w:rsid w:val="2CFC7029"/>
    <w:rsid w:val="2D0677AA"/>
    <w:rsid w:val="2D095047"/>
    <w:rsid w:val="2D4F15F3"/>
    <w:rsid w:val="2D6D2063"/>
    <w:rsid w:val="2D76092E"/>
    <w:rsid w:val="2D7C3A6A"/>
    <w:rsid w:val="2D7C5689"/>
    <w:rsid w:val="2DA03BFD"/>
    <w:rsid w:val="2DCD1F1E"/>
    <w:rsid w:val="2E1B5BCA"/>
    <w:rsid w:val="2E5F13C2"/>
    <w:rsid w:val="2E6C11DA"/>
    <w:rsid w:val="2E7D525B"/>
    <w:rsid w:val="2EA15E7F"/>
    <w:rsid w:val="2EC35DCA"/>
    <w:rsid w:val="2EF064BE"/>
    <w:rsid w:val="2EF835C5"/>
    <w:rsid w:val="2F1523C9"/>
    <w:rsid w:val="2F1831D3"/>
    <w:rsid w:val="2F367189"/>
    <w:rsid w:val="2F43412C"/>
    <w:rsid w:val="2F48451B"/>
    <w:rsid w:val="2F7E55F1"/>
    <w:rsid w:val="2FA95BB6"/>
    <w:rsid w:val="2FC516F9"/>
    <w:rsid w:val="2FDE12AE"/>
    <w:rsid w:val="2FE4232C"/>
    <w:rsid w:val="2FFA144F"/>
    <w:rsid w:val="30083B8E"/>
    <w:rsid w:val="300A3308"/>
    <w:rsid w:val="3015345B"/>
    <w:rsid w:val="30224D9D"/>
    <w:rsid w:val="307F5D4C"/>
    <w:rsid w:val="308E41E1"/>
    <w:rsid w:val="30CA5CD0"/>
    <w:rsid w:val="30E71600"/>
    <w:rsid w:val="311E5564"/>
    <w:rsid w:val="312468F3"/>
    <w:rsid w:val="31523460"/>
    <w:rsid w:val="31B61461"/>
    <w:rsid w:val="31B662C8"/>
    <w:rsid w:val="320A5AE9"/>
    <w:rsid w:val="321C581F"/>
    <w:rsid w:val="322C3CB1"/>
    <w:rsid w:val="322E4F1A"/>
    <w:rsid w:val="32327209"/>
    <w:rsid w:val="32713375"/>
    <w:rsid w:val="328E3BC4"/>
    <w:rsid w:val="32934C0E"/>
    <w:rsid w:val="32DE2D20"/>
    <w:rsid w:val="32EC3440"/>
    <w:rsid w:val="32F1316C"/>
    <w:rsid w:val="330864CC"/>
    <w:rsid w:val="338D077F"/>
    <w:rsid w:val="33BE37BC"/>
    <w:rsid w:val="33EF143A"/>
    <w:rsid w:val="33F60CE0"/>
    <w:rsid w:val="340B5FBB"/>
    <w:rsid w:val="341D5FA7"/>
    <w:rsid w:val="341D6657"/>
    <w:rsid w:val="342E0945"/>
    <w:rsid w:val="343E7CCC"/>
    <w:rsid w:val="345C0152"/>
    <w:rsid w:val="34757B91"/>
    <w:rsid w:val="348C0A37"/>
    <w:rsid w:val="34930A12"/>
    <w:rsid w:val="34B45D01"/>
    <w:rsid w:val="350453CB"/>
    <w:rsid w:val="351115DB"/>
    <w:rsid w:val="3518688A"/>
    <w:rsid w:val="352549E8"/>
    <w:rsid w:val="353A7E23"/>
    <w:rsid w:val="354958E3"/>
    <w:rsid w:val="359009FB"/>
    <w:rsid w:val="3592207D"/>
    <w:rsid w:val="359F69FF"/>
    <w:rsid w:val="35DE1766"/>
    <w:rsid w:val="36127662"/>
    <w:rsid w:val="36266C69"/>
    <w:rsid w:val="36325B4D"/>
    <w:rsid w:val="36557EB3"/>
    <w:rsid w:val="368D09BB"/>
    <w:rsid w:val="36963088"/>
    <w:rsid w:val="36A108E4"/>
    <w:rsid w:val="36BB1AA7"/>
    <w:rsid w:val="36CA5847"/>
    <w:rsid w:val="36E17903"/>
    <w:rsid w:val="36EE59D9"/>
    <w:rsid w:val="3720190B"/>
    <w:rsid w:val="374607EA"/>
    <w:rsid w:val="374E63E7"/>
    <w:rsid w:val="375910D5"/>
    <w:rsid w:val="37A92C8C"/>
    <w:rsid w:val="37D810B0"/>
    <w:rsid w:val="381551E7"/>
    <w:rsid w:val="3882287D"/>
    <w:rsid w:val="388A1666"/>
    <w:rsid w:val="3898045B"/>
    <w:rsid w:val="38AF58A5"/>
    <w:rsid w:val="38C40167"/>
    <w:rsid w:val="38EA415C"/>
    <w:rsid w:val="3913797D"/>
    <w:rsid w:val="39A22AAB"/>
    <w:rsid w:val="39A96F8E"/>
    <w:rsid w:val="39B55676"/>
    <w:rsid w:val="39BF365D"/>
    <w:rsid w:val="39F33306"/>
    <w:rsid w:val="3A156272"/>
    <w:rsid w:val="3A25026D"/>
    <w:rsid w:val="3A4122C4"/>
    <w:rsid w:val="3A7A77C8"/>
    <w:rsid w:val="3A8F50D0"/>
    <w:rsid w:val="3A9A748F"/>
    <w:rsid w:val="3AA86A54"/>
    <w:rsid w:val="3AF9494C"/>
    <w:rsid w:val="3B003F2D"/>
    <w:rsid w:val="3B131EB2"/>
    <w:rsid w:val="3B6A15BB"/>
    <w:rsid w:val="3B8E3833"/>
    <w:rsid w:val="3B955086"/>
    <w:rsid w:val="3B981668"/>
    <w:rsid w:val="3BA77CCD"/>
    <w:rsid w:val="3BAF03A5"/>
    <w:rsid w:val="3BBC42F8"/>
    <w:rsid w:val="3C2F320D"/>
    <w:rsid w:val="3C3D4BF2"/>
    <w:rsid w:val="3C99235D"/>
    <w:rsid w:val="3D0C5168"/>
    <w:rsid w:val="3D235CB1"/>
    <w:rsid w:val="3D780336"/>
    <w:rsid w:val="3D9D1F07"/>
    <w:rsid w:val="3D9E0548"/>
    <w:rsid w:val="3DBE7352"/>
    <w:rsid w:val="3DED3F89"/>
    <w:rsid w:val="3E0A65B6"/>
    <w:rsid w:val="3E2A573D"/>
    <w:rsid w:val="3E4D4B98"/>
    <w:rsid w:val="3E5D1C81"/>
    <w:rsid w:val="3E6F5651"/>
    <w:rsid w:val="3F2D1069"/>
    <w:rsid w:val="3FB63A51"/>
    <w:rsid w:val="3FB84DD6"/>
    <w:rsid w:val="3FB928FC"/>
    <w:rsid w:val="3FCF2120"/>
    <w:rsid w:val="3FD3598D"/>
    <w:rsid w:val="3FE80F3F"/>
    <w:rsid w:val="40041DC9"/>
    <w:rsid w:val="40160E46"/>
    <w:rsid w:val="40185875"/>
    <w:rsid w:val="40321FEF"/>
    <w:rsid w:val="4075586D"/>
    <w:rsid w:val="4081166C"/>
    <w:rsid w:val="40CB28E7"/>
    <w:rsid w:val="411E335F"/>
    <w:rsid w:val="41387338"/>
    <w:rsid w:val="415723CD"/>
    <w:rsid w:val="417074C5"/>
    <w:rsid w:val="418103E9"/>
    <w:rsid w:val="418B7876"/>
    <w:rsid w:val="419929E5"/>
    <w:rsid w:val="419F3B6E"/>
    <w:rsid w:val="41B415CD"/>
    <w:rsid w:val="41F8595E"/>
    <w:rsid w:val="423E2C0A"/>
    <w:rsid w:val="424F14BB"/>
    <w:rsid w:val="42AB29D0"/>
    <w:rsid w:val="42B42DF9"/>
    <w:rsid w:val="42EA0036"/>
    <w:rsid w:val="43031913"/>
    <w:rsid w:val="430640AA"/>
    <w:rsid w:val="43177A73"/>
    <w:rsid w:val="43324E9F"/>
    <w:rsid w:val="43384B87"/>
    <w:rsid w:val="433C57F6"/>
    <w:rsid w:val="4355386A"/>
    <w:rsid w:val="435B7B93"/>
    <w:rsid w:val="43617CE6"/>
    <w:rsid w:val="43801F1D"/>
    <w:rsid w:val="43A11430"/>
    <w:rsid w:val="43A259D0"/>
    <w:rsid w:val="43A616E8"/>
    <w:rsid w:val="43B6162D"/>
    <w:rsid w:val="43F03558"/>
    <w:rsid w:val="440C3942"/>
    <w:rsid w:val="44960181"/>
    <w:rsid w:val="44BD69EB"/>
    <w:rsid w:val="44CE0BF8"/>
    <w:rsid w:val="44DC3315"/>
    <w:rsid w:val="4517131B"/>
    <w:rsid w:val="45BE673C"/>
    <w:rsid w:val="45E068B0"/>
    <w:rsid w:val="45E93B4B"/>
    <w:rsid w:val="45EE7D8D"/>
    <w:rsid w:val="46015357"/>
    <w:rsid w:val="4646138E"/>
    <w:rsid w:val="465C3164"/>
    <w:rsid w:val="467C6091"/>
    <w:rsid w:val="46E14C12"/>
    <w:rsid w:val="47046B53"/>
    <w:rsid w:val="471A6376"/>
    <w:rsid w:val="47492F5C"/>
    <w:rsid w:val="475345C1"/>
    <w:rsid w:val="476E08C4"/>
    <w:rsid w:val="47925F0D"/>
    <w:rsid w:val="47990E08"/>
    <w:rsid w:val="47C50090"/>
    <w:rsid w:val="47C87B80"/>
    <w:rsid w:val="480627F2"/>
    <w:rsid w:val="481A347D"/>
    <w:rsid w:val="482A09DD"/>
    <w:rsid w:val="48376AB4"/>
    <w:rsid w:val="484F2050"/>
    <w:rsid w:val="48A00AFD"/>
    <w:rsid w:val="48A96722"/>
    <w:rsid w:val="48B27CA9"/>
    <w:rsid w:val="48D53595"/>
    <w:rsid w:val="49011FF5"/>
    <w:rsid w:val="493E77EE"/>
    <w:rsid w:val="4968786D"/>
    <w:rsid w:val="497F7765"/>
    <w:rsid w:val="49A07715"/>
    <w:rsid w:val="49B04D70"/>
    <w:rsid w:val="49C01457"/>
    <w:rsid w:val="49D97E23"/>
    <w:rsid w:val="49DF52A1"/>
    <w:rsid w:val="4A3D4856"/>
    <w:rsid w:val="4A5C2802"/>
    <w:rsid w:val="4A834233"/>
    <w:rsid w:val="4ABD24B3"/>
    <w:rsid w:val="4AF60EA8"/>
    <w:rsid w:val="4B7F49FA"/>
    <w:rsid w:val="4BDC009E"/>
    <w:rsid w:val="4BEE2184"/>
    <w:rsid w:val="4C03562B"/>
    <w:rsid w:val="4C0B15B2"/>
    <w:rsid w:val="4C51283A"/>
    <w:rsid w:val="4C601EC0"/>
    <w:rsid w:val="4CA74B4B"/>
    <w:rsid w:val="4CA94424"/>
    <w:rsid w:val="4CBD7ED0"/>
    <w:rsid w:val="4CEC0A5C"/>
    <w:rsid w:val="4D094EC3"/>
    <w:rsid w:val="4D31744A"/>
    <w:rsid w:val="4D6B16DA"/>
    <w:rsid w:val="4D6E468F"/>
    <w:rsid w:val="4DD70FFB"/>
    <w:rsid w:val="4E5403C0"/>
    <w:rsid w:val="4E896CF3"/>
    <w:rsid w:val="4EAD5D22"/>
    <w:rsid w:val="4EB42C0C"/>
    <w:rsid w:val="4F0C47F7"/>
    <w:rsid w:val="4F9738AB"/>
    <w:rsid w:val="4FAE1D52"/>
    <w:rsid w:val="5060049E"/>
    <w:rsid w:val="508575C8"/>
    <w:rsid w:val="50FE3B5D"/>
    <w:rsid w:val="511D682A"/>
    <w:rsid w:val="51255DA0"/>
    <w:rsid w:val="5135267A"/>
    <w:rsid w:val="517900DB"/>
    <w:rsid w:val="51796D1B"/>
    <w:rsid w:val="51A03B11"/>
    <w:rsid w:val="51EA65FC"/>
    <w:rsid w:val="51F6353C"/>
    <w:rsid w:val="5248023B"/>
    <w:rsid w:val="53376831"/>
    <w:rsid w:val="534704F3"/>
    <w:rsid w:val="54092EF7"/>
    <w:rsid w:val="54485B16"/>
    <w:rsid w:val="544A332E"/>
    <w:rsid w:val="544B5532"/>
    <w:rsid w:val="547838F0"/>
    <w:rsid w:val="54BF2B99"/>
    <w:rsid w:val="54CF7175"/>
    <w:rsid w:val="54DD775A"/>
    <w:rsid w:val="54DF33AD"/>
    <w:rsid w:val="54EB1352"/>
    <w:rsid w:val="552933F5"/>
    <w:rsid w:val="559E17AC"/>
    <w:rsid w:val="55B24892"/>
    <w:rsid w:val="55BE25C3"/>
    <w:rsid w:val="55C0633B"/>
    <w:rsid w:val="55D013C0"/>
    <w:rsid w:val="55E4027B"/>
    <w:rsid w:val="55EC5382"/>
    <w:rsid w:val="55F83D27"/>
    <w:rsid w:val="562A65F6"/>
    <w:rsid w:val="56356E4F"/>
    <w:rsid w:val="56A15984"/>
    <w:rsid w:val="56B41E25"/>
    <w:rsid w:val="56E85F15"/>
    <w:rsid w:val="57016EBA"/>
    <w:rsid w:val="572648C3"/>
    <w:rsid w:val="57325016"/>
    <w:rsid w:val="575D64CC"/>
    <w:rsid w:val="57AE79CC"/>
    <w:rsid w:val="57E97DCB"/>
    <w:rsid w:val="5803460F"/>
    <w:rsid w:val="582768C9"/>
    <w:rsid w:val="584165B2"/>
    <w:rsid w:val="584F18E4"/>
    <w:rsid w:val="586E26D1"/>
    <w:rsid w:val="58801DB1"/>
    <w:rsid w:val="58AB32D2"/>
    <w:rsid w:val="58D3205C"/>
    <w:rsid w:val="58EE1813"/>
    <w:rsid w:val="58F406A3"/>
    <w:rsid w:val="591C41D0"/>
    <w:rsid w:val="59211433"/>
    <w:rsid w:val="5931649C"/>
    <w:rsid w:val="593D5DD4"/>
    <w:rsid w:val="594C0103"/>
    <w:rsid w:val="597E59C8"/>
    <w:rsid w:val="59831B59"/>
    <w:rsid w:val="59EA1BD8"/>
    <w:rsid w:val="59FA62BF"/>
    <w:rsid w:val="5A12625C"/>
    <w:rsid w:val="5A225816"/>
    <w:rsid w:val="5A4F7C8D"/>
    <w:rsid w:val="5A730FD5"/>
    <w:rsid w:val="5A7C4D3F"/>
    <w:rsid w:val="5AAE149C"/>
    <w:rsid w:val="5AB75F5E"/>
    <w:rsid w:val="5ABF3065"/>
    <w:rsid w:val="5AE8436A"/>
    <w:rsid w:val="5AFB03F9"/>
    <w:rsid w:val="5B136F0D"/>
    <w:rsid w:val="5B1B7851"/>
    <w:rsid w:val="5B1C04B7"/>
    <w:rsid w:val="5B80134A"/>
    <w:rsid w:val="5BBC3F73"/>
    <w:rsid w:val="5C1B0060"/>
    <w:rsid w:val="5C5E7A60"/>
    <w:rsid w:val="5C8005D2"/>
    <w:rsid w:val="5CC901CB"/>
    <w:rsid w:val="5CDF030F"/>
    <w:rsid w:val="5CE609DA"/>
    <w:rsid w:val="5D333896"/>
    <w:rsid w:val="5D726A93"/>
    <w:rsid w:val="5DA402F0"/>
    <w:rsid w:val="5DCA1F46"/>
    <w:rsid w:val="5E345B18"/>
    <w:rsid w:val="5E4F4700"/>
    <w:rsid w:val="5E5D506F"/>
    <w:rsid w:val="5E7D1355"/>
    <w:rsid w:val="5F0E3623"/>
    <w:rsid w:val="5F1F0E01"/>
    <w:rsid w:val="5F1F7677"/>
    <w:rsid w:val="5F3D717D"/>
    <w:rsid w:val="5F41134C"/>
    <w:rsid w:val="5F571ABE"/>
    <w:rsid w:val="5F5A335C"/>
    <w:rsid w:val="5F6C5C7E"/>
    <w:rsid w:val="5F812FDF"/>
    <w:rsid w:val="5FA6034F"/>
    <w:rsid w:val="5FB97F54"/>
    <w:rsid w:val="601B265B"/>
    <w:rsid w:val="602269F9"/>
    <w:rsid w:val="605E0C2A"/>
    <w:rsid w:val="609E047E"/>
    <w:rsid w:val="60B85FF5"/>
    <w:rsid w:val="60D777F7"/>
    <w:rsid w:val="6102359A"/>
    <w:rsid w:val="610C1869"/>
    <w:rsid w:val="611F660B"/>
    <w:rsid w:val="611F6782"/>
    <w:rsid w:val="61267901"/>
    <w:rsid w:val="612E2CF2"/>
    <w:rsid w:val="615734FE"/>
    <w:rsid w:val="61706E67"/>
    <w:rsid w:val="61912710"/>
    <w:rsid w:val="61FA4982"/>
    <w:rsid w:val="622639C9"/>
    <w:rsid w:val="629372B1"/>
    <w:rsid w:val="62C16D26"/>
    <w:rsid w:val="62C76F5B"/>
    <w:rsid w:val="62F92E8C"/>
    <w:rsid w:val="630C56DC"/>
    <w:rsid w:val="63243CB4"/>
    <w:rsid w:val="636E73D6"/>
    <w:rsid w:val="63892462"/>
    <w:rsid w:val="638B451E"/>
    <w:rsid w:val="64002B70"/>
    <w:rsid w:val="6416019A"/>
    <w:rsid w:val="6429154F"/>
    <w:rsid w:val="64411F4B"/>
    <w:rsid w:val="64721148"/>
    <w:rsid w:val="64807857"/>
    <w:rsid w:val="64A01811"/>
    <w:rsid w:val="652C579B"/>
    <w:rsid w:val="659F7D1B"/>
    <w:rsid w:val="65B23EF2"/>
    <w:rsid w:val="65C95CD8"/>
    <w:rsid w:val="65D8322D"/>
    <w:rsid w:val="65F91959"/>
    <w:rsid w:val="660D2ED6"/>
    <w:rsid w:val="66CA7019"/>
    <w:rsid w:val="66F44382"/>
    <w:rsid w:val="67116334"/>
    <w:rsid w:val="6721634F"/>
    <w:rsid w:val="672F4561"/>
    <w:rsid w:val="67445CEF"/>
    <w:rsid w:val="67642FCA"/>
    <w:rsid w:val="67DC3378"/>
    <w:rsid w:val="67E90086"/>
    <w:rsid w:val="680F591F"/>
    <w:rsid w:val="68232E85"/>
    <w:rsid w:val="6831600D"/>
    <w:rsid w:val="683F0F30"/>
    <w:rsid w:val="689877F1"/>
    <w:rsid w:val="68991C3F"/>
    <w:rsid w:val="68A322CF"/>
    <w:rsid w:val="68A47800"/>
    <w:rsid w:val="68C154C8"/>
    <w:rsid w:val="68DC3767"/>
    <w:rsid w:val="690B3981"/>
    <w:rsid w:val="6942033D"/>
    <w:rsid w:val="694D5CE0"/>
    <w:rsid w:val="699458C2"/>
    <w:rsid w:val="6A30486D"/>
    <w:rsid w:val="6A4425BF"/>
    <w:rsid w:val="6A4964A7"/>
    <w:rsid w:val="6A4F2B14"/>
    <w:rsid w:val="6A555FA0"/>
    <w:rsid w:val="6A7E4421"/>
    <w:rsid w:val="6AA732A6"/>
    <w:rsid w:val="6ACB3360"/>
    <w:rsid w:val="6AD3765D"/>
    <w:rsid w:val="6B07083C"/>
    <w:rsid w:val="6B1D2D38"/>
    <w:rsid w:val="6B2C2051"/>
    <w:rsid w:val="6B9D2F4E"/>
    <w:rsid w:val="6BBB2383"/>
    <w:rsid w:val="6BCD0AFC"/>
    <w:rsid w:val="6BFB1A23"/>
    <w:rsid w:val="6C1207EC"/>
    <w:rsid w:val="6C6C00BA"/>
    <w:rsid w:val="6C924135"/>
    <w:rsid w:val="6CED3A62"/>
    <w:rsid w:val="6D0E33E1"/>
    <w:rsid w:val="6D161E0E"/>
    <w:rsid w:val="6D1D3A10"/>
    <w:rsid w:val="6D2B2A93"/>
    <w:rsid w:val="6D505D9E"/>
    <w:rsid w:val="6D5B09CB"/>
    <w:rsid w:val="6D5F7BD0"/>
    <w:rsid w:val="6D716073"/>
    <w:rsid w:val="6D7B5B8E"/>
    <w:rsid w:val="6D8E2425"/>
    <w:rsid w:val="6DDA2238"/>
    <w:rsid w:val="6DEA7FA1"/>
    <w:rsid w:val="6DF0745F"/>
    <w:rsid w:val="6E4027F5"/>
    <w:rsid w:val="6E597A7A"/>
    <w:rsid w:val="6E8B3D8C"/>
    <w:rsid w:val="6EC32CCC"/>
    <w:rsid w:val="6EF015E7"/>
    <w:rsid w:val="6F0930F8"/>
    <w:rsid w:val="6F295EC6"/>
    <w:rsid w:val="6F3E05A4"/>
    <w:rsid w:val="6F6330AE"/>
    <w:rsid w:val="6F755C7D"/>
    <w:rsid w:val="6F871F4B"/>
    <w:rsid w:val="6FAA5C3A"/>
    <w:rsid w:val="6FC50568"/>
    <w:rsid w:val="6FD4753D"/>
    <w:rsid w:val="6FFB3825"/>
    <w:rsid w:val="6FFB46E7"/>
    <w:rsid w:val="70052E70"/>
    <w:rsid w:val="701521C2"/>
    <w:rsid w:val="70223C3E"/>
    <w:rsid w:val="704B11CB"/>
    <w:rsid w:val="704B3438"/>
    <w:rsid w:val="70B328CC"/>
    <w:rsid w:val="70C80666"/>
    <w:rsid w:val="70D32F6E"/>
    <w:rsid w:val="70DA254F"/>
    <w:rsid w:val="70EF2197"/>
    <w:rsid w:val="71552E50"/>
    <w:rsid w:val="71601FDB"/>
    <w:rsid w:val="719C5987"/>
    <w:rsid w:val="71D46DD7"/>
    <w:rsid w:val="71D53F0D"/>
    <w:rsid w:val="71DB032D"/>
    <w:rsid w:val="71DE1BCB"/>
    <w:rsid w:val="71F542A1"/>
    <w:rsid w:val="71FE729A"/>
    <w:rsid w:val="725325B9"/>
    <w:rsid w:val="725F0F5E"/>
    <w:rsid w:val="7267415F"/>
    <w:rsid w:val="7276222A"/>
    <w:rsid w:val="72D71FDF"/>
    <w:rsid w:val="72EB27F1"/>
    <w:rsid w:val="72FF629D"/>
    <w:rsid w:val="73143404"/>
    <w:rsid w:val="73223197"/>
    <w:rsid w:val="733F060C"/>
    <w:rsid w:val="735C1231"/>
    <w:rsid w:val="736629D1"/>
    <w:rsid w:val="736A35EC"/>
    <w:rsid w:val="73740A39"/>
    <w:rsid w:val="73BE193C"/>
    <w:rsid w:val="73D8572D"/>
    <w:rsid w:val="73E3028B"/>
    <w:rsid w:val="742A7ABE"/>
    <w:rsid w:val="742D494E"/>
    <w:rsid w:val="74454296"/>
    <w:rsid w:val="74534AF2"/>
    <w:rsid w:val="745B7A81"/>
    <w:rsid w:val="7463285B"/>
    <w:rsid w:val="748E78D8"/>
    <w:rsid w:val="74BB4445"/>
    <w:rsid w:val="74FD680C"/>
    <w:rsid w:val="750D5DB3"/>
    <w:rsid w:val="75357D54"/>
    <w:rsid w:val="754B1743"/>
    <w:rsid w:val="75596138"/>
    <w:rsid w:val="75630B78"/>
    <w:rsid w:val="757B54EE"/>
    <w:rsid w:val="75855809"/>
    <w:rsid w:val="758A5319"/>
    <w:rsid w:val="75986535"/>
    <w:rsid w:val="75DA0985"/>
    <w:rsid w:val="761C5F12"/>
    <w:rsid w:val="764C7A4B"/>
    <w:rsid w:val="7650466E"/>
    <w:rsid w:val="766A10B5"/>
    <w:rsid w:val="766E5C13"/>
    <w:rsid w:val="7677439C"/>
    <w:rsid w:val="76A41B15"/>
    <w:rsid w:val="77356731"/>
    <w:rsid w:val="77381774"/>
    <w:rsid w:val="773C7ABF"/>
    <w:rsid w:val="77AE57C8"/>
    <w:rsid w:val="77C27899"/>
    <w:rsid w:val="77FA1FE6"/>
    <w:rsid w:val="78112CFA"/>
    <w:rsid w:val="781A76D5"/>
    <w:rsid w:val="784C4C20"/>
    <w:rsid w:val="7859644F"/>
    <w:rsid w:val="78721C9A"/>
    <w:rsid w:val="787B4617"/>
    <w:rsid w:val="7883527A"/>
    <w:rsid w:val="788355FA"/>
    <w:rsid w:val="78BE2756"/>
    <w:rsid w:val="78CA4586"/>
    <w:rsid w:val="78D33B40"/>
    <w:rsid w:val="790C526F"/>
    <w:rsid w:val="79196F61"/>
    <w:rsid w:val="791B1956"/>
    <w:rsid w:val="79314BC4"/>
    <w:rsid w:val="795A5FDB"/>
    <w:rsid w:val="797A1FA2"/>
    <w:rsid w:val="797E663F"/>
    <w:rsid w:val="79943C50"/>
    <w:rsid w:val="79D331BC"/>
    <w:rsid w:val="7A154214"/>
    <w:rsid w:val="7A541141"/>
    <w:rsid w:val="7A715CD2"/>
    <w:rsid w:val="7A807CC3"/>
    <w:rsid w:val="7AB95E09"/>
    <w:rsid w:val="7AF32EBB"/>
    <w:rsid w:val="7B4231CA"/>
    <w:rsid w:val="7B4C4049"/>
    <w:rsid w:val="7B5449DA"/>
    <w:rsid w:val="7B807355"/>
    <w:rsid w:val="7B8A1910"/>
    <w:rsid w:val="7B962D0F"/>
    <w:rsid w:val="7BF24BF0"/>
    <w:rsid w:val="7C380BA0"/>
    <w:rsid w:val="7C772D81"/>
    <w:rsid w:val="7C8E0CE7"/>
    <w:rsid w:val="7CA9476E"/>
    <w:rsid w:val="7CAC2D59"/>
    <w:rsid w:val="7CAC3862"/>
    <w:rsid w:val="7CC6249B"/>
    <w:rsid w:val="7CD2057E"/>
    <w:rsid w:val="7CD6006E"/>
    <w:rsid w:val="7CEE0851"/>
    <w:rsid w:val="7CF93D5D"/>
    <w:rsid w:val="7D4960AF"/>
    <w:rsid w:val="7D52346D"/>
    <w:rsid w:val="7D6D33CF"/>
    <w:rsid w:val="7DBD01ED"/>
    <w:rsid w:val="7DF07DEB"/>
    <w:rsid w:val="7E005BE7"/>
    <w:rsid w:val="7E2453C6"/>
    <w:rsid w:val="7E7C69F3"/>
    <w:rsid w:val="7E8A6150"/>
    <w:rsid w:val="7EC363D0"/>
    <w:rsid w:val="7F0A15FC"/>
    <w:rsid w:val="7F0C2BFC"/>
    <w:rsid w:val="7F2C0C33"/>
    <w:rsid w:val="7F2D4191"/>
    <w:rsid w:val="7F3D66B9"/>
    <w:rsid w:val="7F767868"/>
    <w:rsid w:val="7F844E8C"/>
    <w:rsid w:val="7F9F6E3D"/>
    <w:rsid w:val="7FA75CF2"/>
    <w:rsid w:val="7FE75214"/>
    <w:rsid w:val="7FF12F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rPr>
  </w:style>
  <w:style w:type="paragraph" w:styleId="2">
    <w:name w:val="heading 1"/>
    <w:basedOn w:val="1"/>
    <w:next w:val="1"/>
    <w:link w:val="12"/>
    <w:qFormat/>
    <w:uiPriority w:val="9"/>
    <w:pPr>
      <w:keepNext/>
      <w:keepLines/>
      <w:spacing w:before="340" w:after="330"/>
      <w:jc w:val="left"/>
      <w:outlineLvl w:val="0"/>
    </w:pPr>
    <w:rPr>
      <w:rFonts w:eastAsia="黑体"/>
      <w:b/>
      <w:kern w:val="44"/>
      <w:sz w:val="32"/>
    </w:rPr>
  </w:style>
  <w:style w:type="character" w:default="1" w:styleId="10">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Body Text"/>
    <w:basedOn w:val="1"/>
    <w:link w:val="13"/>
    <w:qFormat/>
    <w:uiPriority w:val="0"/>
  </w:style>
  <w:style w:type="paragraph" w:styleId="4">
    <w:name w:val="Balloon Text"/>
    <w:basedOn w:val="1"/>
    <w:link w:val="14"/>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link w:val="17"/>
    <w:unhideWhenUsed/>
    <w:qFormat/>
    <w:uiPriority w:val="39"/>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basedOn w:val="10"/>
    <w:unhideWhenUsed/>
    <w:qFormat/>
    <w:uiPriority w:val="99"/>
    <w:rPr>
      <w:color w:val="0000FF"/>
      <w:u w:val="single"/>
    </w:rPr>
  </w:style>
  <w:style w:type="character" w:customStyle="1" w:styleId="12">
    <w:name w:val="标题 1 Char"/>
    <w:link w:val="2"/>
    <w:qFormat/>
    <w:uiPriority w:val="9"/>
    <w:rPr>
      <w:rFonts w:eastAsia="黑体"/>
      <w:b/>
      <w:kern w:val="44"/>
      <w:sz w:val="32"/>
    </w:rPr>
  </w:style>
  <w:style w:type="character" w:customStyle="1" w:styleId="13">
    <w:name w:val="正文文本 字符"/>
    <w:basedOn w:val="10"/>
    <w:link w:val="3"/>
    <w:qFormat/>
    <w:uiPriority w:val="1"/>
  </w:style>
  <w:style w:type="character" w:customStyle="1" w:styleId="14">
    <w:name w:val="批注框文本 字符"/>
    <w:basedOn w:val="10"/>
    <w:link w:val="4"/>
    <w:qFormat/>
    <w:uiPriority w:val="99"/>
    <w:rPr>
      <w:sz w:val="18"/>
      <w:szCs w:val="18"/>
    </w:rPr>
  </w:style>
  <w:style w:type="character" w:customStyle="1" w:styleId="15">
    <w:name w:val="页脚 字符"/>
    <w:basedOn w:val="10"/>
    <w:link w:val="5"/>
    <w:qFormat/>
    <w:uiPriority w:val="99"/>
    <w:rPr>
      <w:sz w:val="18"/>
      <w:szCs w:val="18"/>
    </w:rPr>
  </w:style>
  <w:style w:type="character" w:customStyle="1" w:styleId="16">
    <w:name w:val="页眉 字符"/>
    <w:basedOn w:val="10"/>
    <w:link w:val="6"/>
    <w:qFormat/>
    <w:uiPriority w:val="99"/>
    <w:rPr>
      <w:sz w:val="18"/>
      <w:szCs w:val="18"/>
    </w:rPr>
  </w:style>
  <w:style w:type="character" w:customStyle="1" w:styleId="17">
    <w:name w:val="TOC 1 字符"/>
    <w:basedOn w:val="10"/>
    <w:link w:val="7"/>
    <w:qFormat/>
    <w:uiPriority w:val="39"/>
    <w:rPr>
      <w:rFonts w:ascii="Calibri" w:hAnsi="Calibri" w:eastAsia="宋体" w:cs="Times New Roman"/>
      <w:kern w:val="2"/>
      <w:sz w:val="21"/>
      <w:szCs w:val="22"/>
    </w:rPr>
  </w:style>
  <w:style w:type="paragraph" w:customStyle="1" w:styleId="18">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9">
    <w:name w:val="列出段落1"/>
    <w:basedOn w:val="1"/>
    <w:qFormat/>
    <w:uiPriority w:val="34"/>
    <w:pPr>
      <w:spacing w:line="276" w:lineRule="auto"/>
      <w:ind w:firstLine="420" w:firstLineChars="200"/>
    </w:pPr>
  </w:style>
  <w:style w:type="paragraph" w:styleId="20">
    <w:name w:val="List Paragraph"/>
    <w:basedOn w:val="1"/>
    <w:unhideWhenUsed/>
    <w:qFormat/>
    <w:uiPriority w:val="99"/>
    <w:pPr>
      <w:spacing w:line="276" w:lineRule="auto"/>
      <w:ind w:firstLine="420" w:firstLineChars="200"/>
    </w:pPr>
  </w:style>
  <w:style w:type="character" w:customStyle="1" w:styleId="21">
    <w:name w:val="pattern-text"/>
    <w:basedOn w:val="10"/>
    <w:qFormat/>
    <w:uiPriority w:val="0"/>
  </w:style>
  <w:style w:type="character" w:customStyle="1" w:styleId="22">
    <w:name w:val="indent"/>
    <w:basedOn w:val="10"/>
    <w:qFormat/>
    <w:uiPriority w:val="0"/>
  </w:style>
  <w:style w:type="character" w:customStyle="1" w:styleId="23">
    <w:name w:val="font01"/>
    <w:basedOn w:val="10"/>
    <w:qFormat/>
    <w:uiPriority w:val="0"/>
    <w:rPr>
      <w:rFonts w:hint="eastAsia" w:ascii="宋体" w:hAnsi="宋体" w:eastAsia="宋体" w:cs="宋体"/>
      <w:color w:val="000000"/>
      <w:sz w:val="22"/>
      <w:szCs w:val="22"/>
      <w:u w:val="none"/>
    </w:rPr>
  </w:style>
  <w:style w:type="character" w:customStyle="1" w:styleId="24">
    <w:name w:val="font21"/>
    <w:basedOn w:val="10"/>
    <w:qFormat/>
    <w:uiPriority w:val="0"/>
    <w:rPr>
      <w:rFonts w:hint="eastAsia" w:ascii="宋体" w:hAnsi="宋体" w:eastAsia="宋体" w:cs="宋体"/>
      <w:color w:val="000000"/>
      <w:sz w:val="18"/>
      <w:szCs w:val="18"/>
      <w:u w:val="none"/>
    </w:rPr>
  </w:style>
  <w:style w:type="paragraph" w:customStyle="1" w:styleId="25">
    <w:name w:val="TOC11"/>
    <w:basedOn w:val="7"/>
    <w:link w:val="26"/>
    <w:qFormat/>
    <w:uiPriority w:val="0"/>
    <w:pPr>
      <w:tabs>
        <w:tab w:val="right" w:leader="dot" w:pos="8306"/>
      </w:tabs>
    </w:pPr>
    <w:rPr>
      <w:rFonts w:ascii="宋体" w:hAnsi="宋体" w:eastAsia="宋体" w:cs="宋体"/>
      <w:b/>
      <w:bCs/>
      <w:sz w:val="36"/>
      <w:szCs w:val="36"/>
    </w:rPr>
  </w:style>
  <w:style w:type="character" w:customStyle="1" w:styleId="26">
    <w:name w:val="TOC11 字符"/>
    <w:basedOn w:val="17"/>
    <w:link w:val="25"/>
    <w:qFormat/>
    <w:uiPriority w:val="0"/>
    <w:rPr>
      <w:rFonts w:ascii="宋体" w:hAnsi="宋体" w:eastAsia="宋体" w:cs="宋体"/>
      <w:b/>
      <w:bCs/>
      <w:kern w:val="2"/>
      <w:sz w:val="36"/>
      <w:szCs w:val="36"/>
    </w:rPr>
  </w:style>
  <w:style w:type="paragraph" w:customStyle="1" w:styleId="27">
    <w:name w:val="TOC22"/>
    <w:basedOn w:val="7"/>
    <w:link w:val="28"/>
    <w:qFormat/>
    <w:uiPriority w:val="0"/>
    <w:pPr>
      <w:tabs>
        <w:tab w:val="right" w:leader="dot" w:pos="8306"/>
      </w:tabs>
    </w:pPr>
    <w:rPr>
      <w:rFonts w:ascii="宋体" w:hAnsi="宋体" w:eastAsia="宋体" w:cs="宋体"/>
      <w:sz w:val="36"/>
      <w:szCs w:val="36"/>
    </w:rPr>
  </w:style>
  <w:style w:type="character" w:customStyle="1" w:styleId="28">
    <w:name w:val="TOC22 字符"/>
    <w:basedOn w:val="17"/>
    <w:link w:val="27"/>
    <w:qFormat/>
    <w:uiPriority w:val="0"/>
    <w:rPr>
      <w:rFonts w:ascii="宋体" w:hAnsi="宋体" w:eastAsia="宋体" w:cs="宋体"/>
      <w:kern w:val="2"/>
      <w:sz w:val="36"/>
      <w:szCs w:val="36"/>
    </w:rPr>
  </w:style>
  <w:style w:type="paragraph" w:customStyle="1" w:styleId="29">
    <w:name w:val="Normal_0"/>
    <w:qFormat/>
    <w:uiPriority w:val="0"/>
    <w:rPr>
      <w:rFonts w:ascii="Times New Roman" w:hAnsi="Times New Roman" w:eastAsia="宋体" w:cs="Times New Roman"/>
    </w:rPr>
  </w:style>
  <w:style w:type="table" w:customStyle="1" w:styleId="30">
    <w:name w:val="Table Normal"/>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4254</Words>
  <Characters>9264</Characters>
  <Lines>54</Lines>
  <Paragraphs>15</Paragraphs>
  <TotalTime>5</TotalTime>
  <ScaleCrop>false</ScaleCrop>
  <LinksUpToDate>false</LinksUpToDate>
  <CharactersWithSpaces>9304</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2022-01-25T01:58:00Z</dcterms:created>
  <dc:creator>caizhengui</dc:creator>
  <cp:lastModifiedBy>Administrator</cp:lastModifiedBy>
  <dcterms:modified xsi:type="dcterms:W3CDTF">2026-01-20T01:31:55Z</dcterms:modified>
  <cp:revision>2821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F13E57C1C5A64E889F97AFD1163AA31F_13</vt:lpwstr>
  </property>
  <property fmtid="{D5CDD505-2E9C-101B-9397-08002B2CF9AE}" pid="3" name="KSOProductBuildVer">
    <vt:lpwstr>2052-11.1.0.9021</vt:lpwstr>
  </property>
  <property fmtid="{D5CDD505-2E9C-101B-9397-08002B2CF9AE}" pid="4" name="KSOTemplateDocerSaveRecord">
    <vt:lpwstr>eyJoZGlkIjoiZDQxNTc3ZTM3ZmFjY2E1ZmFmMzBiZTY3YmUwM2IyYTkiLCJ1c2VySWQiOiI4NjEzNDc4ODAifQ==</vt:lpwstr>
  </property>
</Properties>
</file>