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rPr>
          <w:sz w:val="32"/>
          <w:szCs w:val="32"/>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上杭县少年儿童业余体校</w:t>
      </w: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rPr>
        <w:t>单位预算</w:t>
      </w:r>
    </w:p>
    <w:p>
      <w:pPr>
        <w:widowControl/>
        <w:spacing w:line="276" w:lineRule="auto"/>
        <w:jc w:val="center"/>
        <w:rPr>
          <w:rFonts w:hint="eastAsia" w:ascii="方正小标宋简体" w:eastAsia="方正小标宋简体"/>
          <w:sz w:val="84"/>
          <w:szCs w:val="84"/>
        </w:rPr>
      </w:pPr>
    </w:p>
    <w:p>
      <w:pPr>
        <w:widowControl/>
        <w:spacing w:line="276" w:lineRule="auto"/>
        <w:rPr>
          <w:rFonts w:ascii="方正小标宋简体" w:eastAsia="方正小标宋简体"/>
          <w:sz w:val="84"/>
          <w:szCs w:val="84"/>
        </w:rPr>
      </w:pPr>
    </w:p>
    <w:p>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pPr>
        <w:autoSpaceDE w:val="0"/>
        <w:autoSpaceDN w:val="0"/>
        <w:jc w:val="left"/>
        <w:rPr>
          <w:rFonts w:hint="eastAsia" w:ascii="方正小标宋简体" w:hAnsi="宋体" w:eastAsia="方正小标宋简体"/>
          <w:b w:val="0"/>
          <w:bCs/>
          <w:sz w:val="44"/>
          <w:szCs w:val="44"/>
        </w:rPr>
      </w:pPr>
    </w:p>
    <w:p>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p>
      <w:pPr>
        <w:pStyle w:val="7"/>
        <w:tabs>
          <w:tab w:val="right" w:leader="dot" w:pos="8306"/>
        </w:tabs>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fldChar w:fldCharType="begin"/>
      </w:r>
      <w:r>
        <w:instrText xml:space="preserve"> HYPERLINK \l "_Toc14214"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"_Toc24360" </w:instrText>
      </w:r>
      <w: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"_Toc27901" </w:instrText>
      </w:r>
      <w:r>
        <w:fldChar w:fldCharType="separate"/>
      </w:r>
      <w:r>
        <w:rPr>
          <w:rFonts w:hint="eastAsia" w:ascii="仿宋" w:hAnsi="仿宋" w:eastAsia="仿宋" w:cs="仿宋"/>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"_Toc11519" </w:instrText>
      </w:r>
      <w:r>
        <w:fldChar w:fldCharType="separate"/>
      </w:r>
      <w:r>
        <w:rPr>
          <w:rFonts w:hint="eastAsia" w:ascii="仿宋" w:hAnsi="仿宋" w:eastAsia="仿宋" w:cs="仿宋"/>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"_Toc2404" </w:instrText>
      </w:r>
      <w:r>
        <w:fldChar w:fldCharType="separate"/>
      </w:r>
      <w:r>
        <w:rPr>
          <w:rFonts w:hint="eastAsia" w:ascii="仿宋" w:hAnsi="仿宋" w:eastAsia="仿宋" w:cs="仿宋"/>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fldChar w:fldCharType="begin"/>
      </w:r>
      <w:r>
        <w:instrText xml:space="preserve"> HYPERLINK \l "_Toc21539"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"_Toc29840"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4</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2"/>
          <w:szCs w:val="32"/>
        </w:rPr>
      </w:pPr>
      <w:r>
        <w:fldChar w:fldCharType="begin"/>
      </w:r>
      <w:r>
        <w:instrText xml:space="preserve"> HYPERLINK \l "_Toc28673" </w:instrText>
      </w:r>
      <w:r>
        <w:fldChar w:fldCharType="separate"/>
      </w:r>
      <w:r>
        <w:rPr>
          <w:rFonts w:hint="eastAsia" w:ascii="仿宋" w:hAnsi="仿宋" w:eastAsia="仿宋" w:cs="仿宋"/>
          <w:sz w:val="32"/>
          <w:szCs w:val="32"/>
        </w:rPr>
        <w:t>一、收支预算总表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_Toc28673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"_Toc2932"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"_Toc25588"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"_Toc7510"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"_Toc7741"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"_Toc29528"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"_Toc4041"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"_Toc15771" </w:instrText>
      </w:r>
      <w: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"_Toc26464"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"_Toc23124"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fldChar w:fldCharType="begin"/>
      </w:r>
      <w:r>
        <w:instrText xml:space="preserve"> HYPERLINK \l "_Toc21214"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"_Toc20090"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17</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"_Toc24491" </w:instrText>
      </w:r>
      <w: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"_Toc17659" </w:instrText>
      </w:r>
      <w: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"_Toc7059" </w:instrText>
      </w:r>
      <w: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"_Toc20641" </w:instrText>
      </w:r>
      <w: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"_Toc24996"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"_Toc19976"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20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"_Toc23234"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"_Toc28244"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fldChar w:fldCharType="begin"/>
      </w:r>
      <w:r>
        <w:instrText xml:space="preserve"> HYPERLINK \l "_Toc14348"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"_Toc30858"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27"/>
        <w:spacing w:line="360" w:lineRule="auto"/>
        <w:rPr>
          <w:rFonts w:ascii="宋体" w:hAnsi="宋体" w:eastAsia="宋体" w:cs="宋体"/>
          <w:kern w:val="0"/>
          <w:sz w:val="36"/>
          <w:szCs w:val="36"/>
        </w:rPr>
      </w:pPr>
      <w:r>
        <w:rPr>
          <w:rFonts w:hint="eastAsia" w:ascii="仿宋" w:hAnsi="仿宋" w:eastAsia="仿宋" w:cs="仿宋"/>
          <w:szCs w:val="36"/>
        </w:rPr>
        <w:fldChar w:fldCharType="end"/>
      </w:r>
    </w:p>
    <w:p>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pPr>
        <w:autoSpaceDE w:val="0"/>
        <w:autoSpaceDN w:val="0"/>
        <w:jc w:val="left"/>
        <w:rPr>
          <w:rFonts w:hint="eastAsia" w:asciiTheme="minorEastAsia" w:hAnsiTheme="minorEastAsia" w:eastAsiaTheme="minorEastAsia" w:cstheme="minorEastAsia"/>
          <w:bCs/>
          <w:sz w:val="21"/>
          <w:szCs w:val="21"/>
          <w:lang w:val="en-US" w:eastAsia="zh-CN"/>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both"/>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left"/>
        <w:rPr>
          <w:rFonts w:ascii="黑体" w:hAnsi="黑体" w:eastAsia="黑体" w:cs="Times New Roman"/>
          <w:kern w:val="0"/>
          <w:sz w:val="36"/>
          <w:szCs w:val="36"/>
        </w:rPr>
      </w:pPr>
    </w:p>
    <w:p>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14214"/>
      <w:r>
        <w:rPr>
          <w:rStyle w:val="12"/>
          <w:rFonts w:hint="eastAsia"/>
          <w:b w:val="0"/>
          <w:bCs/>
          <w:kern w:val="44"/>
          <w:sz w:val="56"/>
          <w:szCs w:val="56"/>
        </w:rPr>
        <w:t>第一部分</w:t>
      </w:r>
    </w:p>
    <w:bookmarkEnd w:id="0"/>
    <w:p>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24360"/>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pPr>
        <w:widowControl/>
        <w:jc w:val="left"/>
        <w:rPr>
          <w:rFonts w:ascii="黑体" w:hAnsi="黑体" w:eastAsia="黑体" w:cs="Times New Roman"/>
          <w:kern w:val="0"/>
          <w:sz w:val="36"/>
          <w:szCs w:val="36"/>
        </w:rPr>
      </w:pPr>
    </w:p>
    <w:p>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pPr>
        <w:pStyle w:val="2"/>
        <w:spacing w:before="0" w:after="0"/>
        <w:rPr>
          <w:rFonts w:hint="eastAsia" w:ascii="黑体" w:hAnsi="黑体" w:eastAsia="黑体" w:cs="黑体"/>
          <w:b w:val="0"/>
          <w:bCs/>
          <w:lang w:val="en-US" w:eastAsia="zh-CN"/>
        </w:rPr>
      </w:pPr>
      <w:bookmarkStart w:id="2" w:name="_Toc27901"/>
      <w:r>
        <w:rPr>
          <w:rFonts w:hint="eastAsia"/>
          <w:b w:val="0"/>
          <w:bCs/>
          <w:lang w:val="en-US" w:eastAsia="zh-CN"/>
        </w:rPr>
        <w:t>一、单位主要职责</w:t>
      </w:r>
      <w:bookmarkEnd w:id="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上杭县少年儿童业余体校</w:t>
      </w:r>
      <w:r>
        <w:rPr>
          <w:rFonts w:ascii="仿宋" w:hAnsi="仿宋" w:eastAsia="仿宋" w:cs="仿宋"/>
          <w:sz w:val="32"/>
        </w:rPr>
        <w:t>的主要职责是：</w:t>
      </w:r>
      <w:r>
        <w:rPr>
          <w:rFonts w:hint="eastAsia" w:ascii="仿宋" w:hAnsi="仿宋" w:eastAsia="仿宋" w:cs="仿宋"/>
          <w:sz w:val="32"/>
          <w:lang w:val="en-US" w:eastAsia="zh-CN"/>
        </w:rPr>
        <w:t>(一）为国家培养优秀后备人才;</w:t>
      </w:r>
      <w:r>
        <w:rPr>
          <w:rFonts w:hint="eastAsia" w:ascii="仿宋" w:hAnsi="仿宋" w:eastAsia="仿宋" w:cs="仿宋"/>
          <w:sz w:val="32"/>
          <w:lang w:val="en-US" w:eastAsia="zh-CN"/>
        </w:rPr>
        <w:cr/>
      </w:r>
      <w:r>
        <w:rPr>
          <w:rFonts w:hint="eastAsia" w:ascii="仿宋" w:hAnsi="仿宋" w:eastAsia="仿宋" w:cs="仿宋"/>
          <w:sz w:val="32"/>
          <w:lang w:val="en-US" w:eastAsia="zh-CN"/>
        </w:rPr>
        <w:t>(二）为社会培养体育技术骨干；</w:t>
      </w:r>
      <w:r>
        <w:rPr>
          <w:rFonts w:hint="eastAsia" w:ascii="仿宋" w:hAnsi="仿宋" w:eastAsia="仿宋" w:cs="仿宋"/>
          <w:sz w:val="32"/>
          <w:lang w:val="en-US" w:eastAsia="zh-CN"/>
        </w:rPr>
        <w:cr/>
      </w:r>
      <w:r>
        <w:rPr>
          <w:rFonts w:hint="eastAsia" w:ascii="仿宋" w:hAnsi="仿宋" w:eastAsia="仿宋" w:cs="仿宋"/>
          <w:sz w:val="32"/>
          <w:lang w:val="en-US" w:eastAsia="zh-CN"/>
        </w:rPr>
        <w:t>(三）辅导我县少年儿童的业余体育训练；</w:t>
      </w:r>
      <w:r>
        <w:rPr>
          <w:rFonts w:hint="eastAsia" w:ascii="仿宋" w:hAnsi="仿宋" w:eastAsia="仿宋" w:cs="仿宋"/>
          <w:sz w:val="32"/>
          <w:lang w:val="en-US" w:eastAsia="zh-CN"/>
        </w:rPr>
        <w:cr/>
      </w:r>
      <w:r>
        <w:rPr>
          <w:rFonts w:hint="eastAsia" w:ascii="仿宋" w:hAnsi="仿宋" w:eastAsia="仿宋" w:cs="仿宋"/>
          <w:sz w:val="32"/>
          <w:lang w:val="en-US" w:eastAsia="zh-CN"/>
        </w:rPr>
        <w:t>(四）完成主管部门交办的其他工作任务。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pPr>
        <w:pStyle w:val="2"/>
        <w:spacing w:before="0" w:after="0"/>
        <w:rPr>
          <w:rFonts w:hint="eastAsia" w:ascii="黑体" w:hAnsi="黑体" w:eastAsia="黑体" w:cs="黑体"/>
          <w:b w:val="0"/>
          <w:bCs/>
          <w:lang w:val="en-US" w:eastAsia="zh-CN"/>
        </w:rPr>
      </w:pPr>
      <w:bookmarkStart w:id="3" w:name="_Toc11519"/>
      <w:r>
        <w:rPr>
          <w:rFonts w:hint="eastAsia"/>
          <w:b w:val="0"/>
          <w:bCs/>
          <w:lang w:val="en-US" w:eastAsia="zh-CN"/>
        </w:rPr>
        <w:t>二、单位预算单位构成</w:t>
      </w:r>
      <w:bookmarkEnd w:id="3"/>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上杭县少年儿童业余体校</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8</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p>
    <w:tbl>
      <w:tblPr>
        <w:tblStyle w:val="8"/>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pPr>
              <w:jc w:val="center"/>
            </w:pPr>
            <w:r>
              <w:rPr>
                <w:rFonts w:ascii="仿宋" w:hAnsi="仿宋" w:eastAsia="仿宋" w:cs="仿宋"/>
                <w:sz w:val="32"/>
              </w:rPr>
              <w:t>1</w:t>
            </w:r>
          </w:p>
        </w:tc>
        <w:tc>
          <w:tcPr>
            <w:tcW w:w="4387"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上杭县少年儿童业余体校</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p>
    <w:p>
      <w:pPr>
        <w:pStyle w:val="2"/>
        <w:spacing w:before="0" w:after="0"/>
        <w:rPr>
          <w:rFonts w:hint="eastAsia"/>
          <w:b w:val="0"/>
          <w:bCs/>
          <w:lang w:val="en-US" w:eastAsia="zh-CN"/>
        </w:rPr>
      </w:pPr>
      <w:bookmarkStart w:id="4" w:name="_Toc2404"/>
      <w:r>
        <w:rPr>
          <w:rFonts w:hint="eastAsia"/>
          <w:b w:val="0"/>
          <w:bCs/>
          <w:lang w:val="en-US" w:eastAsia="zh-CN"/>
        </w:rPr>
        <w:t>三、单位主要工作任务</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上杭县少年儿童业余体校</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一）完成新一轮省运会，市运会周期运动员的招收选材，扩大招生规模、宣传推广、通过多种渠道进行招生宣传，吸引更多有潜力的学员加入。认真抓好选材、育苗、启蒙和基础训练工作，积极开辟运动员的输送渠道。</w:t>
      </w:r>
      <w:r>
        <w:rPr>
          <w:rFonts w:hint="eastAsia" w:ascii="仿宋" w:hAnsi="仿宋" w:eastAsia="仿宋"/>
          <w:sz w:val="32"/>
          <w:szCs w:val="32"/>
          <w:lang w:val="en-US" w:eastAsia="zh-CN"/>
        </w:rPr>
        <w:cr/>
      </w:r>
      <w:r>
        <w:rPr>
          <w:rFonts w:hint="eastAsia" w:ascii="仿宋" w:hAnsi="仿宋" w:eastAsia="仿宋"/>
          <w:sz w:val="32"/>
          <w:szCs w:val="32"/>
          <w:lang w:val="en-US" w:eastAsia="zh-CN"/>
        </w:rPr>
        <w:t>（二）提升教练水平</w:t>
      </w:r>
      <w:r>
        <w:rPr>
          <w:rFonts w:hint="eastAsia" w:ascii="仿宋" w:hAnsi="仿宋" w:eastAsia="仿宋"/>
          <w:sz w:val="32"/>
          <w:szCs w:val="32"/>
          <w:lang w:val="en-US" w:eastAsia="zh-CN"/>
        </w:rPr>
        <w:cr/>
      </w:r>
      <w:r>
        <w:rPr>
          <w:rFonts w:hint="eastAsia" w:ascii="仿宋" w:hAnsi="仿宋" w:eastAsia="仿宋"/>
          <w:sz w:val="32"/>
          <w:szCs w:val="32"/>
          <w:lang w:val="en-US" w:eastAsia="zh-CN"/>
        </w:rPr>
        <w:t>1.继续教育：继续参与教练员培训班，邀请高水平专家进行指导。</w:t>
      </w:r>
      <w:r>
        <w:rPr>
          <w:rFonts w:hint="eastAsia" w:ascii="仿宋" w:hAnsi="仿宋" w:eastAsia="仿宋"/>
          <w:sz w:val="32"/>
          <w:szCs w:val="32"/>
          <w:lang w:val="en-US" w:eastAsia="zh-CN"/>
        </w:rPr>
        <w:cr/>
      </w:r>
      <w:r>
        <w:rPr>
          <w:rFonts w:hint="eastAsia" w:ascii="仿宋" w:hAnsi="仿宋" w:eastAsia="仿宋"/>
          <w:sz w:val="32"/>
          <w:szCs w:val="32"/>
          <w:lang w:val="en-US" w:eastAsia="zh-CN"/>
        </w:rPr>
        <w:t>2.外出学习：安排教练员参加各级各类的体育交流活动，学习先进的训练理念和技术。</w:t>
      </w:r>
      <w:r>
        <w:rPr>
          <w:rFonts w:hint="eastAsia" w:ascii="仿宋" w:hAnsi="仿宋" w:eastAsia="仿宋"/>
          <w:sz w:val="32"/>
          <w:szCs w:val="32"/>
          <w:lang w:val="en-US" w:eastAsia="zh-CN"/>
        </w:rPr>
        <w:cr/>
      </w:r>
      <w:r>
        <w:rPr>
          <w:rFonts w:hint="eastAsia" w:ascii="仿宋" w:hAnsi="仿宋" w:eastAsia="仿宋"/>
          <w:sz w:val="32"/>
          <w:szCs w:val="32"/>
          <w:lang w:val="en-US" w:eastAsia="zh-CN"/>
        </w:rPr>
        <w:t>3.做详做细新年度的竞赛分解工作，积极备战各项大小型赛事。</w:t>
      </w:r>
      <w:r>
        <w:rPr>
          <w:rFonts w:hint="eastAsia" w:ascii="仿宋" w:hAnsi="仿宋" w:eastAsia="仿宋"/>
          <w:sz w:val="32"/>
          <w:szCs w:val="32"/>
          <w:lang w:val="en-US" w:eastAsia="zh-CN"/>
        </w:rPr>
        <w:cr/>
      </w:r>
      <w:r>
        <w:rPr>
          <w:rFonts w:hint="eastAsia" w:ascii="仿宋" w:hAnsi="仿宋" w:eastAsia="仿宋"/>
          <w:sz w:val="32"/>
          <w:szCs w:val="32"/>
          <w:lang w:val="en-US" w:eastAsia="zh-CN"/>
        </w:rPr>
        <w:t>（三）向上争取资金改造宿舍，更换老旧器材。同时为保障我校拳击、散打、摔跤及跆拳道的正常选材及训练，确保运动员有舒适健康的训练环境将申请改造4片场地来满足训练需求。</w:t>
      </w:r>
      <w:r>
        <w:rPr>
          <w:rFonts w:hint="eastAsia" w:ascii="仿宋" w:hAnsi="仿宋" w:eastAsia="仿宋"/>
          <w:sz w:val="32"/>
          <w:szCs w:val="32"/>
          <w:lang w:val="en-US" w:eastAsia="zh-CN"/>
        </w:rPr>
        <w:cr/>
      </w:r>
      <w:r>
        <w:rPr>
          <w:rFonts w:hint="eastAsia" w:ascii="仿宋" w:hAnsi="仿宋" w:eastAsia="仿宋"/>
          <w:sz w:val="32"/>
          <w:szCs w:val="32"/>
          <w:lang w:val="en-US" w:eastAsia="zh-CN"/>
        </w:rPr>
        <w:t>（四）深化家校合作</w:t>
      </w:r>
      <w:r>
        <w:rPr>
          <w:rFonts w:hint="eastAsia" w:ascii="仿宋" w:hAnsi="仿宋" w:eastAsia="仿宋"/>
          <w:sz w:val="32"/>
          <w:szCs w:val="32"/>
          <w:lang w:val="en-US" w:eastAsia="zh-CN"/>
        </w:rPr>
        <w:cr/>
      </w:r>
      <w:r>
        <w:rPr>
          <w:rFonts w:hint="eastAsia" w:ascii="仿宋" w:hAnsi="仿宋" w:eastAsia="仿宋"/>
          <w:sz w:val="32"/>
          <w:szCs w:val="32"/>
          <w:lang w:val="en-US" w:eastAsia="zh-CN"/>
        </w:rPr>
        <w:t>1.定期沟通：保持与家长的密切联系，定期汇报学员的进展情况。</w:t>
      </w:r>
      <w:r>
        <w:rPr>
          <w:rFonts w:hint="eastAsia" w:ascii="仿宋" w:hAnsi="仿宋" w:eastAsia="仿宋"/>
          <w:sz w:val="32"/>
          <w:szCs w:val="32"/>
          <w:lang w:val="en-US" w:eastAsia="zh-CN"/>
        </w:rPr>
        <w:cr/>
      </w:r>
      <w:r>
        <w:rPr>
          <w:rFonts w:hint="eastAsia" w:ascii="仿宋" w:hAnsi="仿宋" w:eastAsia="仿宋"/>
          <w:sz w:val="32"/>
          <w:szCs w:val="32"/>
          <w:lang w:val="en-US" w:eastAsia="zh-CN"/>
        </w:rPr>
        <w:t>2.共同规划：与家长共同制定学员的长期发展计划，确保学员在体育和学业上都能取得优异成绩。</w:t>
      </w:r>
      <w:r>
        <w:cr/>
      </w: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5" w:name="_Toc21539"/>
      <w:r>
        <w:rPr>
          <w:rStyle w:val="12"/>
          <w:rFonts w:hint="eastAsia"/>
          <w:b w:val="0"/>
          <w:bCs/>
          <w:sz w:val="56"/>
          <w:szCs w:val="56"/>
        </w:rPr>
        <w:t>第二部分</w:t>
      </w:r>
    </w:p>
    <w:bookmarkEnd w:id="5"/>
    <w:p>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11189"/>
      <w:bookmarkStart w:id="7" w:name="_Toc29840"/>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bookmarkEnd w:id="7"/>
    </w:p>
    <w:p>
      <w:pPr>
        <w:rPr>
          <w:rFonts w:ascii="黑体" w:hAnsi="黑体" w:eastAsia="黑体"/>
          <w:sz w:val="56"/>
          <w:szCs w:val="36"/>
        </w:rPr>
      </w:pPr>
    </w:p>
    <w:p>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8"/>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386.09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386.09</w:t>
            </w:r>
          </w:p>
        </w:tc>
        <w:tc>
          <w:tcPr>
            <w:tcW w:w="3239"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386.09</w:t>
            </w:r>
          </w:p>
        </w:tc>
      </w:tr>
    </w:tbl>
    <w:p>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90" w:type="dxa"/>
            <w:gridSpan w:val="2"/>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386.09</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386.09</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207</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20701</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2070199</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其他文化和旅游支出</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386.09</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386.09</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386.09</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207</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20701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2070199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其他文化和旅游支出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386.09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lang w:val="en-US" w:eastAsia="zh-CN"/>
        </w:rPr>
      </w:pPr>
    </w:p>
    <w:p>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8"/>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386.09</w:t>
            </w: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386.09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386.09</w:t>
            </w:r>
          </w:p>
        </w:tc>
        <w:tc>
          <w:tcPr>
            <w:tcW w:w="302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386.09</w:t>
            </w:r>
          </w:p>
        </w:tc>
      </w:tr>
    </w:tbl>
    <w:p>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386.09</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386.09</w:t>
            </w:r>
          </w:p>
        </w:tc>
        <w:tc>
          <w:tcPr>
            <w:tcW w:w="1327"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207</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20701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2070199</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其他文化和旅游支出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386.09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bl>
    <w:p>
      <w:pPr>
        <w:tabs>
          <w:tab w:val="left" w:pos="7513"/>
        </w:tabs>
        <w:adjustRightInd w:val="0"/>
        <w:snapToGrid w:val="0"/>
        <w:spacing w:line="600" w:lineRule="exact"/>
        <w:jc w:val="left"/>
        <w:rPr>
          <w:rFonts w:hint="default" w:ascii="仿宋" w:hAnsi="仿宋" w:eastAsia="仿宋" w:cs="仿宋"/>
          <w:sz w:val="32"/>
          <w:lang w:val="en-US" w:eastAsia="zh-CN"/>
        </w:rPr>
      </w:pPr>
    </w:p>
    <w:p>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pPr>
        <w:rPr>
          <w:rFonts w:hint="eastAsia" w:ascii="仿宋" w:hAnsi="仿宋" w:eastAsia="仿宋" w:cs="仿宋"/>
          <w:sz w:val="32"/>
          <w:lang w:val="en-US" w:eastAsia="zh-CN"/>
        </w:rPr>
      </w:pPr>
    </w:p>
    <w:p>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pPr>
        <w:rPr>
          <w:rFonts w:hint="default" w:ascii="仿宋" w:hAnsi="仿宋" w:eastAsia="仿宋"/>
          <w:sz w:val="32"/>
          <w:szCs w:val="32"/>
          <w:lang w:val="en-US" w:eastAsia="zh-CN"/>
        </w:rPr>
      </w:pPr>
    </w:p>
    <w:p>
      <w:pPr>
        <w:pStyle w:val="2"/>
        <w:spacing w:before="0" w:after="0"/>
        <w:rPr>
          <w:rFonts w:hint="eastAsia" w:ascii="黑体" w:hAnsi="黑体" w:eastAsia="黑体" w:cs="黑体"/>
          <w:b w:val="0"/>
          <w:bCs/>
          <w:lang w:val="en-US" w:eastAsia="zh-CN"/>
        </w:rPr>
      </w:pPr>
      <w:bookmarkStart w:id="15" w:name="_Toc15771"/>
      <w:r>
        <w:rPr>
          <w:rFonts w:hint="eastAsia"/>
          <w:b w:val="0"/>
          <w:bCs/>
          <w:lang w:val="en-US" w:eastAsia="zh-CN"/>
        </w:rPr>
        <w:t>八、一般公共预算支出经济分类情况表</w:t>
      </w:r>
      <w:bookmarkEnd w:id="15"/>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386.09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212.28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150.17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307</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310</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399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386.10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150.17</w:t>
            </w:r>
          </w:p>
        </w:tc>
      </w:tr>
      <w:tr>
        <w:tblPrEx>
          <w:tblCellMar>
            <w:top w:w="0" w:type="dxa"/>
            <w:left w:w="108" w:type="dxa"/>
            <w:bottom w:w="0" w:type="dxa"/>
            <w:right w:w="108" w:type="dxa"/>
          </w:tblCellMar>
        </w:tblPrEx>
        <w:trPr>
          <w:trHeight w:val="0" w:hRule="atLeast"/>
        </w:trPr>
        <w:tc>
          <w:tcPr>
            <w:tcW w:w="1961" w:type="dxa"/>
            <w:noWrap w:val="0"/>
            <w:vAlign w:val="center"/>
          </w:tcPr>
          <w:p>
            <w:r>
              <w:t>30201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30240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CellMar>
            <w:top w:w="0" w:type="dxa"/>
            <w:left w:w="108" w:type="dxa"/>
            <w:bottom w:w="0" w:type="dxa"/>
            <w:right w:w="108" w:type="dxa"/>
          </w:tblCellMar>
        </w:tblPrEx>
        <w:trPr>
          <w:trHeight w:val="0" w:hRule="atLeast"/>
        </w:trPr>
        <w:tc>
          <w:tcPr>
            <w:tcW w:w="1961" w:type="dxa"/>
            <w:noWrap w:val="0"/>
            <w:vAlign w:val="center"/>
          </w:tcPr>
          <w:p>
            <w:r>
              <w:t>30309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CellMar>
            <w:top w:w="0" w:type="dxa"/>
            <w:left w:w="108" w:type="dxa"/>
            <w:bottom w:w="0" w:type="dxa"/>
            <w:right w:w="108" w:type="dxa"/>
          </w:tblCellMar>
        </w:tblPrEx>
        <w:trPr>
          <w:trHeight w:val="0" w:hRule="atLeast"/>
        </w:trPr>
        <w:tc>
          <w:tcPr>
            <w:tcW w:w="1961" w:type="dxa"/>
            <w:noWrap w:val="0"/>
            <w:vAlign w:val="center"/>
          </w:tcPr>
          <w:p>
            <w:r>
              <w:t>30702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18" w:name="_Toc21214"/>
      <w:r>
        <w:rPr>
          <w:rStyle w:val="12"/>
          <w:rFonts w:hint="eastAsia"/>
          <w:b w:val="0"/>
          <w:bCs/>
          <w:sz w:val="56"/>
          <w:szCs w:val="56"/>
        </w:rPr>
        <w:t>第三部分</w:t>
      </w:r>
    </w:p>
    <w:bookmarkEnd w:id="18"/>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9" w:name="_Toc20090"/>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9"/>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0" w:name="_Toc24491"/>
      <w:r>
        <w:rPr>
          <w:rFonts w:hint="eastAsia" w:cs="Times New Roman"/>
          <w:b w:val="0"/>
          <w:bCs/>
          <w:kern w:val="44"/>
          <w:sz w:val="32"/>
          <w:szCs w:val="22"/>
          <w:lang w:val="en-US" w:eastAsia="zh-CN" w:bidi="ar-SA"/>
        </w:rPr>
        <w:t>一、预算收支总体情况</w:t>
      </w:r>
      <w:bookmarkEnd w:id="20"/>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上杭县少年儿童业余体校</w:t>
      </w:r>
      <w:r>
        <w:rPr>
          <w:rFonts w:ascii="仿宋" w:hAnsi="仿宋" w:eastAsia="仿宋" w:cs="仿宋"/>
          <w:sz w:val="32"/>
        </w:rPr>
        <w:t>收入预算为</w:t>
      </w:r>
      <w:r>
        <w:rPr>
          <w:rFonts w:hint="eastAsia" w:ascii="仿宋" w:hAnsi="仿宋" w:eastAsia="仿宋" w:cs="仿宋"/>
          <w:sz w:val="32"/>
        </w:rPr>
        <w:t>386.09</w:t>
      </w:r>
      <w:r>
        <w:rPr>
          <w:rFonts w:ascii="仿宋" w:hAnsi="仿宋" w:eastAsia="仿宋" w:cs="仿宋"/>
          <w:sz w:val="32"/>
        </w:rPr>
        <w:t>万元，</w:t>
      </w:r>
      <w:r>
        <w:rPr>
          <w:rFonts w:hint="eastAsia" w:ascii="仿宋" w:hAnsi="仿宋" w:eastAsia="仿宋" w:cs="仿宋_GB2312"/>
          <w:sz w:val="32"/>
          <w:szCs w:val="32"/>
        </w:rPr>
        <w:t>比上年增加2.27万元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人员经费的增加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一般公共预算拨款收入386.09万元。</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386.09</w:t>
      </w:r>
      <w:r>
        <w:rPr>
          <w:rFonts w:ascii="仿宋" w:hAnsi="仿宋" w:eastAsia="仿宋" w:cs="仿宋"/>
          <w:sz w:val="32"/>
        </w:rPr>
        <w:t>万元，</w:t>
      </w:r>
      <w:r>
        <w:rPr>
          <w:rFonts w:hint="eastAsia" w:ascii="仿宋" w:hAnsi="仿宋" w:eastAsia="仿宋" w:cs="仿宋"/>
          <w:sz w:val="32"/>
          <w:lang w:val="en-US" w:eastAsia="zh-CN"/>
        </w:rPr>
        <w:t>比上年增加2.27万元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人员经费的增加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基本支出386.09万元。</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386.09</w:t>
      </w:r>
      <w:r>
        <w:rPr>
          <w:rFonts w:ascii="仿宋" w:hAnsi="仿宋" w:eastAsia="仿宋" w:cs="仿宋"/>
          <w:sz w:val="32"/>
          <w:u w:val="none" w:color="auto"/>
        </w:rPr>
        <w:t>万元，</w:t>
      </w:r>
      <w:r>
        <w:rPr>
          <w:rFonts w:hint="eastAsia" w:ascii="仿宋" w:hAnsi="仿宋" w:eastAsia="仿宋" w:cs="仿宋"/>
          <w:sz w:val="32"/>
          <w:lang w:val="en-US" w:eastAsia="zh-CN"/>
        </w:rPr>
        <w:t>比上年增加2.27万元，增长0.59%</w:t>
      </w:r>
      <w:r>
        <w:rPr>
          <w:rFonts w:ascii="仿宋" w:hAnsi="仿宋" w:eastAsia="仿宋" w:cs="仿宋"/>
          <w:sz w:val="32"/>
          <w:u w:val="none" w:color="auto"/>
        </w:rPr>
        <w:t>，主要原因是：</w:t>
      </w:r>
      <w:r>
        <w:rPr>
          <w:rFonts w:hint="eastAsia" w:ascii="仿宋" w:hAnsi="仿宋" w:eastAsia="仿宋" w:cs="仿宋"/>
          <w:sz w:val="32"/>
          <w:lang w:val="en-US" w:eastAsia="zh-CN"/>
        </w:rPr>
        <w:t>人员经费的增加</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公务接待</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校内日常工作</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ascii="仿宋" w:hAnsi="仿宋" w:eastAsia="仿宋" w:cs="仿宋"/>
          <w:sz w:val="32"/>
        </w:rPr>
        <w:t>(一) 2070199-其他文化和旅游支出386.09万元。主要用于人员工资、绩效、养老保险、住房公积金、医疗、工伤及生育保险费、办公费、电费、邮电费、差旅费、公务接待费、工会等支出。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bookmarkStart w:id="31" w:name="_GoBack"/>
      <w:bookmarkEnd w:id="31"/>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3" w:name="_Toc20641"/>
      <w:r>
        <w:rPr>
          <w:rFonts w:hint="eastAsia" w:cs="Times New Roman"/>
          <w:b w:val="0"/>
          <w:bCs/>
          <w:kern w:val="44"/>
          <w:sz w:val="32"/>
          <w:szCs w:val="22"/>
          <w:lang w:val="en-US" w:eastAsia="zh-CN" w:bidi="ar-SA"/>
        </w:rPr>
        <w:t>四、国有资本经营预算拨款支出情况</w:t>
      </w:r>
      <w:bookmarkEnd w:id="23"/>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24996"/>
      <w:r>
        <w:rPr>
          <w:rFonts w:hint="eastAsia"/>
          <w:b w:val="0"/>
          <w:bCs/>
        </w:rPr>
        <w:t>五、一般公共预算基本支出情况</w:t>
      </w:r>
      <w:bookmarkEnd w:id="24"/>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386.10</w:t>
      </w:r>
      <w:r>
        <w:rPr>
          <w:rFonts w:ascii="仿宋" w:hAnsi="仿宋" w:eastAsia="仿宋" w:cs="仿宋"/>
          <w:sz w:val="32"/>
        </w:rPr>
        <w:t>万元，其中：</w:t>
      </w:r>
    </w:p>
    <w:p>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222.13万元。主要包括：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163.97万元。主要包括：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19976"/>
      <w:r>
        <w:rPr>
          <w:rFonts w:hint="eastAsia"/>
          <w:b w:val="0"/>
          <w:bCs/>
        </w:rPr>
        <w:t>六、一般公共预算“三公”经费支出情况</w:t>
      </w:r>
      <w:bookmarkEnd w:id="25"/>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1</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rPr>
        <w:t>。主要原因是:</w:t>
      </w:r>
      <w:r>
        <w:rPr>
          <w:rFonts w:hint="eastAsia" w:ascii="仿宋" w:hAnsi="仿宋" w:eastAsia="仿宋" w:cs="仿宋"/>
          <w:sz w:val="32"/>
          <w:lang w:val="en-US" w:eastAsia="zh-CN"/>
        </w:rPr>
        <w:t>厉行节约。</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6" w:name="_Toc23234"/>
      <w:r>
        <w:rPr>
          <w:rFonts w:hint="eastAsia"/>
          <w:b w:val="0"/>
          <w:bCs/>
        </w:rPr>
        <w:t>七、预算绩效目标情况</w:t>
      </w:r>
      <w:bookmarkEnd w:id="26"/>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ascii="微软雅黑" w:hAnsi="微软雅黑" w:eastAsia="微软雅黑" w:cs="微软雅黑"/>
          <w:i w:val="0"/>
          <w:caps w:val="0"/>
          <w:color w:val="464C5B"/>
          <w:spacing w:val="0"/>
          <w:sz w:val="14"/>
          <w:szCs w:val="14"/>
        </w:rPr>
      </w:pPr>
      <w:r>
        <w:rPr>
          <w:rFonts w:hint="eastAsia" w:ascii="楷体" w:hAnsi="楷体" w:eastAsia="楷体" w:cs="楷体"/>
          <w:b/>
          <w:i w:val="0"/>
          <w:caps w:val="0"/>
          <w:color w:val="464C5B"/>
          <w:spacing w:val="0"/>
          <w:kern w:val="0"/>
          <w:sz w:val="25"/>
          <w:szCs w:val="25"/>
          <w:shd w:val="clear" w:color="auto" w:fill="FFFFFF"/>
          <w:lang w:val="en-US" w:eastAsia="zh-CN" w:bidi="ar"/>
        </w:rPr>
        <w:t>（</w:t>
      </w:r>
      <w:r>
        <w:rPr>
          <w:rFonts w:ascii="楷体" w:hAnsi="楷体" w:eastAsia="楷体" w:cs="楷体"/>
          <w:b/>
          <w:i w:val="0"/>
          <w:caps w:val="0"/>
          <w:color w:val="464C5B"/>
          <w:spacing w:val="0"/>
          <w:kern w:val="0"/>
          <w:sz w:val="25"/>
          <w:szCs w:val="25"/>
          <w:shd w:val="clear" w:color="auto" w:fill="FFFFFF"/>
          <w:lang w:val="en-US" w:eastAsia="zh-CN" w:bidi="ar"/>
        </w:rPr>
        <w:t>一）绩效目标设置情况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ascii="仿宋" w:hAnsi="仿宋" w:eastAsia="仿宋" w:cs="仿宋"/>
          <w:i w:val="0"/>
          <w:caps w:val="0"/>
          <w:color w:val="464C5B"/>
          <w:spacing w:val="0"/>
          <w:kern w:val="0"/>
          <w:sz w:val="25"/>
          <w:szCs w:val="25"/>
          <w:shd w:val="clear" w:color="auto" w:fill="FFFFFF"/>
          <w:lang w:val="en-US" w:eastAsia="zh-CN" w:bidi="ar"/>
        </w:rPr>
        <w:t>2026</w:t>
      </w:r>
      <w:r>
        <w:rPr>
          <w:rFonts w:hint="eastAsia" w:ascii="仿宋" w:hAnsi="仿宋" w:eastAsia="仿宋" w:cs="仿宋"/>
          <w:i w:val="0"/>
          <w:caps w:val="0"/>
          <w:color w:val="464C5B"/>
          <w:spacing w:val="0"/>
          <w:kern w:val="0"/>
          <w:sz w:val="25"/>
          <w:szCs w:val="25"/>
          <w:shd w:val="clear" w:color="auto" w:fill="FFFFFF"/>
          <w:lang w:val="en-US" w:eastAsia="zh-CN" w:bidi="ar"/>
        </w:rPr>
        <w:t>年，上杭县少年儿童业余体校共设置0个项目绩效目标，共涉及财政拨款资金0万元。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hint="eastAsia" w:ascii="楷体" w:hAnsi="楷体" w:eastAsia="楷体" w:cs="楷体"/>
          <w:b/>
          <w:i w:val="0"/>
          <w:caps w:val="0"/>
          <w:color w:val="464C5B"/>
          <w:spacing w:val="0"/>
          <w:kern w:val="0"/>
          <w:sz w:val="25"/>
          <w:szCs w:val="25"/>
          <w:shd w:val="clear" w:color="auto" w:fill="FFFFFF"/>
          <w:lang w:val="en-US" w:eastAsia="zh-CN" w:bidi="ar"/>
        </w:rPr>
        <w:t>（二）绩效目标表及说明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hint="eastAsia" w:ascii="楷体" w:hAnsi="楷体" w:eastAsia="楷体" w:cs="楷体"/>
          <w:b/>
          <w:i w:val="0"/>
          <w:caps w:val="0"/>
          <w:color w:val="464C5B"/>
          <w:spacing w:val="0"/>
          <w:kern w:val="0"/>
          <w:sz w:val="25"/>
          <w:szCs w:val="25"/>
          <w:shd w:val="clear" w:color="auto" w:fill="FFFFFF"/>
          <w:lang w:val="en-US" w:eastAsia="zh-CN" w:bidi="ar"/>
        </w:rPr>
        <w:t>1.项目支出绩效目标表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hint="eastAsia" w:ascii="仿宋" w:hAnsi="仿宋" w:eastAsia="仿宋" w:cs="仿宋"/>
          <w:i w:val="0"/>
          <w:caps w:val="0"/>
          <w:color w:val="464C5B"/>
          <w:spacing w:val="0"/>
          <w:kern w:val="0"/>
          <w:sz w:val="25"/>
          <w:szCs w:val="25"/>
          <w:shd w:val="clear" w:color="auto" w:fill="FFFFFF"/>
          <w:lang w:val="en-US" w:eastAsia="zh-CN" w:bidi="ar"/>
        </w:rPr>
        <w:t>本单位无项目支出绩效目标表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hint="eastAsia" w:ascii="楷体" w:hAnsi="楷体" w:eastAsia="楷体" w:cs="楷体"/>
          <w:b/>
          <w:i w:val="0"/>
          <w:caps w:val="0"/>
          <w:color w:val="464C5B"/>
          <w:spacing w:val="0"/>
          <w:kern w:val="0"/>
          <w:sz w:val="25"/>
          <w:szCs w:val="25"/>
          <w:shd w:val="clear" w:color="auto" w:fill="FFFFFF"/>
          <w:lang w:val="en-US" w:eastAsia="zh-CN" w:bidi="ar"/>
        </w:rPr>
        <w:t>2.有关情况说明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微软雅黑" w:hAnsi="微软雅黑" w:eastAsia="微软雅黑" w:cs="微软雅黑"/>
          <w:i w:val="0"/>
          <w:caps w:val="0"/>
          <w:color w:val="464C5B"/>
          <w:spacing w:val="0"/>
          <w:sz w:val="14"/>
          <w:szCs w:val="14"/>
        </w:rPr>
      </w:pPr>
      <w:r>
        <w:rPr>
          <w:rFonts w:hint="eastAsia" w:ascii="仿宋" w:hAnsi="仿宋" w:eastAsia="仿宋" w:cs="仿宋"/>
          <w:i w:val="0"/>
          <w:caps w:val="0"/>
          <w:color w:val="464C5B"/>
          <w:spacing w:val="0"/>
          <w:kern w:val="0"/>
          <w:sz w:val="25"/>
          <w:szCs w:val="25"/>
          <w:shd w:val="clear" w:color="auto" w:fill="FFFFFF"/>
          <w:lang w:val="en-US" w:eastAsia="zh-CN" w:bidi="ar"/>
        </w:rPr>
        <w:t>本单位无其他需要说明的绩效目标情况。</w:t>
      </w:r>
    </w:p>
    <w:p>
      <w:pPr>
        <w:rPr>
          <w:rFonts w:hint="default"/>
          <w:lang w:val="en-US" w:eastAsia="zh-CN"/>
        </w:rPr>
      </w:pPr>
    </w:p>
    <w:p>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7" w:name="_Toc28244"/>
      <w:r>
        <w:rPr>
          <w:rFonts w:hint="eastAsia"/>
          <w:b w:val="0"/>
          <w:bCs/>
        </w:rPr>
        <w:t>八、其他重要事项说明</w:t>
      </w:r>
      <w:bookmarkEnd w:id="27"/>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pPr>
        <w:spacing w:line="600" w:lineRule="exact"/>
        <w:ind w:firstLine="420" w:firstLineChars="0"/>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本单位没有机关运行经费。</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上杭县少年儿童业余体校</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eastAsia="zh-CN"/>
        </w:rPr>
        <w:t>132.60</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13.8</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eastAsia="zh-CN"/>
        </w:rPr>
        <w:t>118.8</w:t>
      </w:r>
      <w:r>
        <w:rPr>
          <w:rFonts w:hint="eastAsia" w:ascii="仿宋" w:hAnsi="仿宋" w:eastAsia="仿宋"/>
          <w:kern w:val="0"/>
          <w:sz w:val="32"/>
          <w:szCs w:val="32"/>
        </w:rPr>
        <w:t>万元。</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上杭县少年儿童业余体校</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spacing w:line="600" w:lineRule="exact"/>
        <w:jc w:val="left"/>
        <w:rPr>
          <w:rFonts w:ascii="仿宋" w:hAnsi="仿宋" w:eastAsia="仿宋"/>
          <w:kern w:val="0"/>
          <w:sz w:val="32"/>
          <w:szCs w:val="32"/>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8" w:name="_Toc14348"/>
      <w:r>
        <w:rPr>
          <w:rFonts w:hint="eastAsia"/>
          <w:b w:val="0"/>
          <w:bCs/>
          <w:sz w:val="56"/>
          <w:szCs w:val="56"/>
        </w:rPr>
        <w:t>第四部分</w:t>
      </w:r>
      <w:bookmarkEnd w:id="28"/>
    </w:p>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56"/>
          <w:lang w:eastAsia="zh-CN"/>
        </w:rPr>
      </w:pPr>
      <w:bookmarkStart w:id="29" w:name="_Toc30858"/>
      <w:bookmarkStart w:id="30" w:name="_Toc256000027"/>
      <w:r>
        <w:rPr>
          <w:rFonts w:hint="eastAsia" w:ascii="黑体" w:hAnsi="黑体" w:eastAsia="黑体" w:cs="黑体"/>
          <w:b w:val="0"/>
          <w:bCs/>
          <w:sz w:val="56"/>
          <w:szCs w:val="56"/>
          <w:lang w:eastAsia="zh-CN"/>
        </w:rPr>
        <w:t>名词解释</w:t>
      </w:r>
      <w:bookmarkEnd w:id="29"/>
      <w:bookmarkEnd w:id="30"/>
    </w:p>
    <w:p>
      <w:pPr>
        <w:adjustRightInd w:val="0"/>
        <w:snapToGrid w:val="0"/>
        <w:spacing w:line="600" w:lineRule="exact"/>
        <w:jc w:val="left"/>
        <w:rPr>
          <w:rFonts w:ascii="宋体" w:hAnsi="宋体" w:eastAsia="宋体"/>
          <w:b/>
          <w:sz w:val="40"/>
        </w:rPr>
      </w:pPr>
    </w:p>
    <w:p>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553800"/>
    <w:rsid w:val="11913845"/>
    <w:rsid w:val="11AE5258"/>
    <w:rsid w:val="11B06C88"/>
    <w:rsid w:val="11F1104F"/>
    <w:rsid w:val="11FD79F3"/>
    <w:rsid w:val="122D652B"/>
    <w:rsid w:val="12307DC9"/>
    <w:rsid w:val="12521AED"/>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9F83753"/>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AB32D2"/>
    <w:rsid w:val="58D3205C"/>
    <w:rsid w:val="58EE1813"/>
    <w:rsid w:val="58F406A3"/>
    <w:rsid w:val="591C41D0"/>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en-US" w:bidi="ar-SA"/>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_0"/>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4249</Words>
  <Characters>9308</Characters>
  <Lines>54</Lines>
  <Paragraphs>15</Paragraphs>
  <TotalTime>2</TotalTime>
  <ScaleCrop>false</ScaleCrop>
  <LinksUpToDate>false</LinksUpToDate>
  <CharactersWithSpaces>9344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Lenovo</cp:lastModifiedBy>
  <dcterms:modified xsi:type="dcterms:W3CDTF">2026-01-16T09:44:24Z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2052-11.1.0.10314</vt:lpwstr>
  </property>
  <property fmtid="{D5CDD505-2E9C-101B-9397-08002B2CF9AE}" pid="4" name="KSOTemplateDocerSaveRecord">
    <vt:lpwstr>eyJoZGlkIjoiZDQxNTc3ZTM3ZmFjY2E1ZmFmMzBiZTY3YmUwM2IyYTkiLCJ1c2VySWQiOiI4NjEzNDc4ODAifQ==</vt:lpwstr>
  </property>
</Properties>
</file>