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76" w:lineRule="auto"/>
        <w:rPr>
          <w:sz w:val="32"/>
          <w:szCs w:val="32"/>
        </w:rPr>
      </w:pPr>
    </w:p>
    <w:p>
      <w:pPr>
        <w:widowControl/>
        <w:spacing w:line="276" w:lineRule="auto"/>
        <w:jc w:val="center"/>
        <w:rPr>
          <w:rFonts w:ascii="方正小标宋简体" w:eastAsia="方正小标宋简体"/>
          <w:sz w:val="84"/>
          <w:szCs w:val="84"/>
        </w:rPr>
      </w:pPr>
    </w:p>
    <w:p>
      <w:pPr>
        <w:widowControl/>
        <w:spacing w:line="276" w:lineRule="auto"/>
        <w:jc w:val="center"/>
        <w:rPr>
          <w:rFonts w:ascii="方正小标宋简体" w:eastAsia="方正小标宋简体"/>
          <w:sz w:val="84"/>
          <w:szCs w:val="84"/>
        </w:rPr>
      </w:pPr>
    </w:p>
    <w:p>
      <w:pPr>
        <w:widowControl/>
        <w:spacing w:line="276" w:lineRule="auto"/>
        <w:jc w:val="center"/>
        <w:rPr>
          <w:rFonts w:ascii="方正小标宋简体" w:eastAsia="方正小标宋简体"/>
          <w:sz w:val="84"/>
          <w:szCs w:val="84"/>
        </w:rPr>
      </w:pPr>
    </w:p>
    <w:p>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lang w:eastAsia="zh-CN"/>
        </w:rPr>
        <w:t>2026</w:t>
      </w:r>
      <w:r>
        <w:rPr>
          <w:rFonts w:hint="eastAsia" w:ascii="方正小标宋简体" w:eastAsia="方正小标宋简体" w:hAnsiTheme="minorHAnsi" w:cstheme="minorBidi"/>
          <w:sz w:val="84"/>
          <w:szCs w:val="84"/>
        </w:rPr>
        <w:t>年度</w:t>
      </w:r>
    </w:p>
    <w:p>
      <w:pPr>
        <w:widowControl/>
        <w:spacing w:line="276" w:lineRule="auto"/>
        <w:jc w:val="center"/>
        <w:rPr>
          <w:rFonts w:hint="eastAsia" w:ascii="方正小标宋简体" w:eastAsia="方正小标宋简体" w:hAnsiTheme="minorHAnsi" w:cstheme="minorBidi"/>
          <w:sz w:val="84"/>
          <w:szCs w:val="84"/>
          <w:lang w:val="en-US" w:eastAsia="zh-CN"/>
        </w:rPr>
      </w:pPr>
      <w:r>
        <w:rPr>
          <w:rFonts w:hint="eastAsia" w:ascii="方正小标宋简体" w:eastAsia="方正小标宋简体" w:hAnsiTheme="minorHAnsi" w:cstheme="minorBidi"/>
          <w:sz w:val="84"/>
          <w:szCs w:val="84"/>
          <w:lang w:val="en-US" w:eastAsia="zh-CN"/>
        </w:rPr>
        <w:t>上杭县博物馆</w:t>
      </w:r>
    </w:p>
    <w:p>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rPr>
        <w:t>单位预算</w:t>
      </w:r>
    </w:p>
    <w:p>
      <w:pPr>
        <w:widowControl/>
        <w:spacing w:line="276" w:lineRule="auto"/>
        <w:jc w:val="center"/>
        <w:rPr>
          <w:rFonts w:hint="eastAsia" w:ascii="方正小标宋简体" w:eastAsia="方正小标宋简体"/>
          <w:sz w:val="84"/>
          <w:szCs w:val="84"/>
        </w:rPr>
      </w:pPr>
    </w:p>
    <w:p>
      <w:pPr>
        <w:widowControl/>
        <w:spacing w:line="276" w:lineRule="auto"/>
        <w:rPr>
          <w:rFonts w:ascii="方正小标宋简体" w:eastAsia="方正小标宋简体"/>
          <w:sz w:val="84"/>
          <w:szCs w:val="84"/>
        </w:rPr>
      </w:pPr>
    </w:p>
    <w:p>
      <w:pPr>
        <w:autoSpaceDE w:val="0"/>
        <w:autoSpaceDN w:val="0"/>
        <w:jc w:val="center"/>
        <w:rPr>
          <w:rFonts w:ascii="宋体" w:hAnsi="宋体" w:eastAsia="宋体"/>
          <w:b/>
          <w:sz w:val="36"/>
        </w:rPr>
        <w:sectPr>
          <w:headerReference r:id="rId3" w:type="default"/>
          <w:headerReference r:id="rId4" w:type="even"/>
          <w:pgSz w:w="11906" w:h="16838"/>
          <w:pgMar w:top="1440" w:right="1803" w:bottom="1440" w:left="1803" w:header="851" w:footer="992" w:gutter="0"/>
          <w:pgNumType w:fmt="decimal"/>
          <w:cols w:space="720" w:num="1"/>
          <w:docGrid w:type="lines" w:linePitch="312" w:charSpace="0"/>
        </w:sectPr>
      </w:pPr>
    </w:p>
    <w:p>
      <w:pPr>
        <w:autoSpaceDE w:val="0"/>
        <w:autoSpaceDN w:val="0"/>
        <w:jc w:val="left"/>
        <w:rPr>
          <w:rFonts w:hint="eastAsia" w:ascii="方正小标宋简体" w:hAnsi="宋体" w:eastAsia="方正小标宋简体"/>
          <w:b w:val="0"/>
          <w:bCs/>
          <w:sz w:val="44"/>
          <w:szCs w:val="44"/>
        </w:rPr>
      </w:pPr>
    </w:p>
    <w:p>
      <w:pPr>
        <w:autoSpaceDE w:val="0"/>
        <w:autoSpaceDN w:val="0"/>
        <w:jc w:val="center"/>
        <w:rPr>
          <w:rFonts w:hint="eastAsia" w:ascii="方正小标宋简体" w:eastAsia="方正小标宋简体" w:cs="Times New Roman" w:hAnsiTheme="majorEastAsia"/>
          <w:kern w:val="0"/>
          <w:sz w:val="44"/>
          <w:szCs w:val="20"/>
          <w:lang w:val="en-US" w:eastAsia="zh-CN" w:bidi="ar-SA"/>
        </w:rPr>
      </w:pPr>
      <w:r>
        <w:rPr>
          <w:rFonts w:hint="eastAsia" w:ascii="方正小标宋简体" w:eastAsia="方正小标宋简体" w:cs="Times New Roman" w:hAnsiTheme="majorEastAsia"/>
          <w:kern w:val="0"/>
          <w:sz w:val="44"/>
          <w:szCs w:val="20"/>
          <w:lang w:val="en-US" w:eastAsia="zh-CN" w:bidi="ar-SA"/>
        </w:rPr>
        <w:t>目  录</w:t>
      </w:r>
    </w:p>
    <w:p/>
    <w:p>
      <w:pPr>
        <w:pStyle w:val="7"/>
        <w:tabs>
          <w:tab w:val="right" w:leader="dot" w:pos="8306"/>
        </w:tabs>
        <w:rPr>
          <w:rFonts w:hint="eastAsia" w:ascii="仿宋" w:hAnsi="仿宋" w:eastAsia="仿宋" w:cs="仿宋"/>
          <w:b/>
          <w:bCs/>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TOC \o "1-3" \h \u </w:instrText>
      </w:r>
      <w:r>
        <w:rPr>
          <w:rFonts w:hint="eastAsia" w:ascii="仿宋" w:hAnsi="仿宋" w:eastAsia="仿宋" w:cs="仿宋"/>
          <w:sz w:val="36"/>
          <w:szCs w:val="36"/>
        </w:rPr>
        <w:fldChar w:fldCharType="separate"/>
      </w:r>
      <w:r>
        <w:fldChar w:fldCharType="begin"/>
      </w:r>
      <w:r>
        <w:instrText xml:space="preserve"> HYPERLINK \l "_Toc14214" </w:instrText>
      </w:r>
      <w:r>
        <w:fldChar w:fldCharType="separate"/>
      </w:r>
      <w:r>
        <w:rPr>
          <w:rFonts w:hint="eastAsia" w:ascii="仿宋" w:hAnsi="仿宋" w:eastAsia="仿宋" w:cs="仿宋"/>
          <w:b/>
          <w:bCs/>
          <w:sz w:val="36"/>
          <w:szCs w:val="36"/>
        </w:rPr>
        <w:t>第一部分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"_Toc24360" </w:instrText>
      </w:r>
      <w:r>
        <w:fldChar w:fldCharType="separate"/>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概况</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_Toc24360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"_Toc27901" </w:instrText>
      </w:r>
      <w:r>
        <w:fldChar w:fldCharType="separate"/>
      </w:r>
      <w:r>
        <w:rPr>
          <w:rFonts w:hint="eastAsia" w:ascii="仿宋" w:hAnsi="仿宋" w:eastAsia="仿宋" w:cs="仿宋"/>
          <w:sz w:val="36"/>
          <w:szCs w:val="36"/>
          <w:lang w:val="en-US" w:eastAsia="zh-CN"/>
        </w:rPr>
        <w:t>一、单位主要职责</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_Toc27901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"_Toc11519" </w:instrText>
      </w:r>
      <w:r>
        <w:fldChar w:fldCharType="separate"/>
      </w:r>
      <w:r>
        <w:rPr>
          <w:rFonts w:hint="eastAsia" w:ascii="仿宋" w:hAnsi="仿宋" w:eastAsia="仿宋" w:cs="仿宋"/>
          <w:sz w:val="36"/>
          <w:szCs w:val="36"/>
          <w:lang w:val="en-US" w:eastAsia="zh-CN"/>
        </w:rPr>
        <w:t>二、单位预算单位构成</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_Toc11519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"_Toc2404" </w:instrText>
      </w:r>
      <w:r>
        <w:fldChar w:fldCharType="separate"/>
      </w:r>
      <w:r>
        <w:rPr>
          <w:rFonts w:hint="eastAsia" w:ascii="仿宋" w:hAnsi="仿宋" w:eastAsia="仿宋" w:cs="仿宋"/>
          <w:sz w:val="36"/>
          <w:szCs w:val="36"/>
          <w:lang w:val="en-US" w:eastAsia="zh-CN"/>
        </w:rPr>
        <w:t>三、单位主要工作任务</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_Toc2404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rPr>
          <w:rFonts w:hint="eastAsia" w:ascii="仿宋" w:hAnsi="仿宋" w:eastAsia="仿宋" w:cs="仿宋"/>
          <w:b/>
          <w:bCs/>
          <w:sz w:val="36"/>
          <w:szCs w:val="36"/>
        </w:rPr>
      </w:pPr>
      <w:r>
        <w:fldChar w:fldCharType="begin"/>
      </w:r>
      <w:r>
        <w:instrText xml:space="preserve"> HYPERLINK \l "_Toc21539" </w:instrText>
      </w:r>
      <w:r>
        <w:fldChar w:fldCharType="separate"/>
      </w:r>
      <w:r>
        <w:rPr>
          <w:rFonts w:hint="eastAsia" w:ascii="仿宋" w:hAnsi="仿宋" w:eastAsia="仿宋" w:cs="仿宋"/>
          <w:b/>
          <w:bCs/>
          <w:sz w:val="36"/>
          <w:szCs w:val="36"/>
        </w:rPr>
        <w:t>第二部分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"_Toc29840" </w:instrText>
      </w:r>
      <w:r>
        <w:fldChar w:fldCharType="separate"/>
      </w:r>
      <w:r>
        <w:rPr>
          <w:rFonts w:hint="eastAsia" w:ascii="仿宋" w:hAnsi="仿宋" w:eastAsia="仿宋" w:cs="仿宋"/>
          <w:b/>
          <w:bCs/>
          <w:sz w:val="36"/>
          <w:szCs w:val="36"/>
          <w:lang w:val="en-US"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预算表</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_Toc29840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3</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"_Toc28673" </w:instrText>
      </w:r>
      <w:r>
        <w:fldChar w:fldCharType="separate"/>
      </w:r>
      <w:r>
        <w:rPr>
          <w:rFonts w:hint="eastAsia" w:ascii="仿宋" w:hAnsi="仿宋" w:eastAsia="仿宋" w:cs="仿宋"/>
          <w:sz w:val="36"/>
          <w:szCs w:val="36"/>
        </w:rPr>
        <w:t>一、收支预算总表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_Toc28673 \h </w:instrText>
      </w:r>
      <w:r>
        <w:rPr>
          <w:rFonts w:hint="eastAsia" w:ascii="仿宋" w:hAnsi="仿宋" w:eastAsia="仿宋" w:cs="仿宋"/>
          <w:sz w:val="36"/>
          <w:szCs w:val="36"/>
        </w:rPr>
        <w:fldChar w:fldCharType="separate"/>
      </w:r>
      <w:r>
        <w:rPr>
          <w:rFonts w:hint="eastAsia" w:ascii="仿宋" w:hAnsi="仿宋" w:eastAsia="仿宋" w:cs="仿宋"/>
          <w:sz w:val="36"/>
          <w:szCs w:val="36"/>
        </w:rPr>
        <w:t>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"_Toc2932" </w:instrText>
      </w:r>
      <w:r>
        <w:fldChar w:fldCharType="separate"/>
      </w:r>
      <w:r>
        <w:rPr>
          <w:rFonts w:hint="eastAsia" w:ascii="仿宋" w:hAnsi="仿宋" w:eastAsia="仿宋" w:cs="仿宋"/>
          <w:sz w:val="36"/>
          <w:szCs w:val="36"/>
        </w:rPr>
        <w:t>二、收入预算总表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_Toc2932 \h </w:instrText>
      </w:r>
      <w:r>
        <w:rPr>
          <w:rFonts w:hint="eastAsia" w:ascii="仿宋" w:hAnsi="仿宋" w:eastAsia="仿宋" w:cs="仿宋"/>
          <w:sz w:val="36"/>
          <w:szCs w:val="36"/>
        </w:rPr>
        <w:fldChar w:fldCharType="separate"/>
      </w:r>
      <w:r>
        <w:rPr>
          <w:rFonts w:hint="eastAsia" w:ascii="仿宋" w:hAnsi="仿宋" w:eastAsia="仿宋" w:cs="仿宋"/>
          <w:sz w:val="36"/>
          <w:szCs w:val="36"/>
        </w:rPr>
        <w:t>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"_Toc25588" </w:instrText>
      </w:r>
      <w:r>
        <w:fldChar w:fldCharType="separate"/>
      </w:r>
      <w:r>
        <w:rPr>
          <w:rFonts w:hint="eastAsia" w:ascii="仿宋" w:hAnsi="仿宋" w:eastAsia="仿宋" w:cs="仿宋"/>
          <w:sz w:val="36"/>
          <w:szCs w:val="36"/>
        </w:rPr>
        <w:t>三、支出预算总表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_Toc25588 \h </w:instrText>
      </w:r>
      <w:r>
        <w:rPr>
          <w:rFonts w:hint="eastAsia" w:ascii="仿宋" w:hAnsi="仿宋" w:eastAsia="仿宋" w:cs="仿宋"/>
          <w:sz w:val="36"/>
          <w:szCs w:val="36"/>
        </w:rPr>
        <w:fldChar w:fldCharType="separate"/>
      </w:r>
      <w:r>
        <w:rPr>
          <w:rFonts w:hint="eastAsia" w:ascii="仿宋" w:hAnsi="仿宋" w:eastAsia="仿宋" w:cs="仿宋"/>
          <w:sz w:val="36"/>
          <w:szCs w:val="36"/>
        </w:rPr>
        <w:t>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"_Toc7510" </w:instrText>
      </w:r>
      <w:r>
        <w:fldChar w:fldCharType="separate"/>
      </w:r>
      <w:r>
        <w:rPr>
          <w:rFonts w:hint="eastAsia" w:ascii="仿宋" w:hAnsi="仿宋" w:eastAsia="仿宋" w:cs="仿宋"/>
          <w:sz w:val="36"/>
          <w:szCs w:val="36"/>
        </w:rPr>
        <w:t>四、财政拨款收支预算总表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_Toc7510 \h </w:instrText>
      </w:r>
      <w:r>
        <w:rPr>
          <w:rFonts w:hint="eastAsia" w:ascii="仿宋" w:hAnsi="仿宋" w:eastAsia="仿宋" w:cs="仿宋"/>
          <w:sz w:val="36"/>
          <w:szCs w:val="36"/>
        </w:rPr>
        <w:fldChar w:fldCharType="separate"/>
      </w:r>
      <w:r>
        <w:rPr>
          <w:rFonts w:hint="eastAsia" w:ascii="仿宋" w:hAnsi="仿宋" w:eastAsia="仿宋" w:cs="仿宋"/>
          <w:sz w:val="36"/>
          <w:szCs w:val="36"/>
        </w:rPr>
        <w:t>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"_Toc7741" </w:instrText>
      </w:r>
      <w:r>
        <w:fldChar w:fldCharType="separate"/>
      </w:r>
      <w:r>
        <w:rPr>
          <w:rFonts w:hint="eastAsia" w:ascii="仿宋" w:hAnsi="仿宋" w:eastAsia="仿宋" w:cs="仿宋"/>
          <w:sz w:val="36"/>
          <w:szCs w:val="36"/>
        </w:rPr>
        <w:t>五、一般公共预算拨款支出预算表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_Toc7741 \h </w:instrText>
      </w:r>
      <w:r>
        <w:rPr>
          <w:rFonts w:hint="eastAsia" w:ascii="仿宋" w:hAnsi="仿宋" w:eastAsia="仿宋" w:cs="仿宋"/>
          <w:sz w:val="36"/>
          <w:szCs w:val="36"/>
        </w:rPr>
        <w:fldChar w:fldCharType="separate"/>
      </w:r>
      <w:r>
        <w:rPr>
          <w:rFonts w:hint="eastAsia" w:ascii="仿宋" w:hAnsi="仿宋" w:eastAsia="仿宋" w:cs="仿宋"/>
          <w:sz w:val="36"/>
          <w:szCs w:val="36"/>
        </w:rPr>
        <w:t>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"_Toc29528" </w:instrText>
      </w:r>
      <w:r>
        <w:fldChar w:fldCharType="separate"/>
      </w:r>
      <w:r>
        <w:rPr>
          <w:rFonts w:hint="eastAsia" w:ascii="仿宋" w:hAnsi="仿宋" w:eastAsia="仿宋" w:cs="仿宋"/>
          <w:sz w:val="36"/>
          <w:szCs w:val="36"/>
        </w:rPr>
        <w:t>六、政府性基金预算拨款支出预算表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_Toc29528 \h </w:instrText>
      </w:r>
      <w:r>
        <w:rPr>
          <w:rFonts w:hint="eastAsia" w:ascii="仿宋" w:hAnsi="仿宋" w:eastAsia="仿宋" w:cs="仿宋"/>
          <w:sz w:val="36"/>
          <w:szCs w:val="36"/>
        </w:rPr>
        <w:fldChar w:fldCharType="separate"/>
      </w:r>
      <w:r>
        <w:rPr>
          <w:rFonts w:hint="eastAsia" w:ascii="仿宋" w:hAnsi="仿宋" w:eastAsia="仿宋" w:cs="仿宋"/>
          <w:sz w:val="36"/>
          <w:szCs w:val="36"/>
        </w:rPr>
        <w:t>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"_Toc4041" </w:instrText>
      </w:r>
      <w:r>
        <w:fldChar w:fldCharType="separate"/>
      </w:r>
      <w:r>
        <w:rPr>
          <w:rFonts w:hint="eastAsia" w:ascii="仿宋" w:hAnsi="仿宋" w:eastAsia="仿宋" w:cs="仿宋"/>
          <w:sz w:val="36"/>
          <w:szCs w:val="36"/>
        </w:rPr>
        <w:t>七、国有资本经营预算拨款支出预算表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_Toc4041 \h </w:instrText>
      </w:r>
      <w:r>
        <w:rPr>
          <w:rFonts w:hint="eastAsia" w:ascii="仿宋" w:hAnsi="仿宋" w:eastAsia="仿宋" w:cs="仿宋"/>
          <w:sz w:val="36"/>
          <w:szCs w:val="36"/>
        </w:rPr>
        <w:fldChar w:fldCharType="separate"/>
      </w:r>
      <w:r>
        <w:rPr>
          <w:rFonts w:hint="eastAsia" w:ascii="仿宋" w:hAnsi="仿宋" w:eastAsia="仿宋" w:cs="仿宋"/>
          <w:sz w:val="36"/>
          <w:szCs w:val="36"/>
        </w:rPr>
        <w:t>10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"_Toc15771" </w:instrText>
      </w:r>
      <w:r>
        <w:fldChar w:fldCharType="separate"/>
      </w:r>
      <w:r>
        <w:rPr>
          <w:rFonts w:hint="eastAsia" w:ascii="仿宋" w:hAnsi="仿宋" w:eastAsia="仿宋" w:cs="仿宋"/>
          <w:sz w:val="36"/>
          <w:szCs w:val="36"/>
          <w:lang w:val="en-US" w:eastAsia="zh-CN"/>
        </w:rPr>
        <w:t>八、一般公共预算支出经济分类情况表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_Toc15771 \h </w:instrText>
      </w:r>
      <w:r>
        <w:rPr>
          <w:rFonts w:hint="eastAsia" w:ascii="仿宋" w:hAnsi="仿宋" w:eastAsia="仿宋" w:cs="仿宋"/>
          <w:sz w:val="36"/>
          <w:szCs w:val="36"/>
        </w:rPr>
        <w:fldChar w:fldCharType="separate"/>
      </w:r>
      <w:r>
        <w:rPr>
          <w:rFonts w:hint="eastAsia" w:ascii="仿宋" w:hAnsi="仿宋" w:eastAsia="仿宋" w:cs="仿宋"/>
          <w:sz w:val="36"/>
          <w:szCs w:val="36"/>
        </w:rPr>
        <w:t>11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"_Toc26464" </w:instrText>
      </w:r>
      <w:r>
        <w:fldChar w:fldCharType="separate"/>
      </w:r>
      <w:r>
        <w:rPr>
          <w:rFonts w:hint="eastAsia" w:ascii="仿宋" w:hAnsi="仿宋" w:eastAsia="仿宋" w:cs="仿宋"/>
          <w:sz w:val="36"/>
          <w:szCs w:val="36"/>
        </w:rPr>
        <w:t>九、一般公共预算基本支出经济分类情况表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_Toc26464 \h </w:instrText>
      </w:r>
      <w:r>
        <w:rPr>
          <w:rFonts w:hint="eastAsia" w:ascii="仿宋" w:hAnsi="仿宋" w:eastAsia="仿宋" w:cs="仿宋"/>
          <w:sz w:val="36"/>
          <w:szCs w:val="36"/>
        </w:rPr>
        <w:fldChar w:fldCharType="separate"/>
      </w:r>
      <w:r>
        <w:rPr>
          <w:rFonts w:hint="eastAsia" w:ascii="仿宋" w:hAnsi="仿宋" w:eastAsia="仿宋" w:cs="仿宋"/>
          <w:sz w:val="36"/>
          <w:szCs w:val="36"/>
        </w:rPr>
        <w:t>12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"_Toc23124" </w:instrText>
      </w:r>
      <w:r>
        <w:fldChar w:fldCharType="separate"/>
      </w:r>
      <w:r>
        <w:rPr>
          <w:rFonts w:hint="eastAsia" w:ascii="仿宋" w:hAnsi="仿宋" w:eastAsia="仿宋" w:cs="仿宋"/>
          <w:sz w:val="36"/>
          <w:szCs w:val="36"/>
        </w:rPr>
        <w:t>十、一般公共预算“三公”经费支出预算表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_Toc23124 \h </w:instrText>
      </w:r>
      <w:r>
        <w:rPr>
          <w:rFonts w:hint="eastAsia" w:ascii="仿宋" w:hAnsi="仿宋" w:eastAsia="仿宋" w:cs="仿宋"/>
          <w:sz w:val="36"/>
          <w:szCs w:val="36"/>
        </w:rPr>
        <w:fldChar w:fldCharType="separate"/>
      </w:r>
      <w:r>
        <w:rPr>
          <w:rFonts w:hint="eastAsia" w:ascii="仿宋" w:hAnsi="仿宋" w:eastAsia="仿宋" w:cs="仿宋"/>
          <w:sz w:val="36"/>
          <w:szCs w:val="36"/>
        </w:rPr>
        <w:t>15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rPr>
          <w:rFonts w:hint="eastAsia" w:ascii="仿宋" w:hAnsi="仿宋" w:eastAsia="仿宋" w:cs="仿宋"/>
          <w:b/>
          <w:bCs/>
          <w:sz w:val="36"/>
          <w:szCs w:val="36"/>
        </w:rPr>
      </w:pPr>
      <w:r>
        <w:fldChar w:fldCharType="begin"/>
      </w:r>
      <w:r>
        <w:instrText xml:space="preserve"> HYPERLINK \l "_Toc21214" </w:instrText>
      </w:r>
      <w:r>
        <w:fldChar w:fldCharType="separate"/>
      </w:r>
      <w:r>
        <w:rPr>
          <w:rFonts w:hint="eastAsia" w:ascii="仿宋" w:hAnsi="仿宋" w:eastAsia="仿宋" w:cs="仿宋"/>
          <w:b/>
          <w:bCs/>
          <w:sz w:val="36"/>
          <w:szCs w:val="36"/>
        </w:rPr>
        <w:t>第三部分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"_Toc20090" </w:instrText>
      </w:r>
      <w:r>
        <w:fldChar w:fldCharType="separate"/>
      </w:r>
      <w:r>
        <w:rPr>
          <w:rFonts w:hint="eastAsia" w:ascii="仿宋" w:hAnsi="仿宋" w:eastAsia="仿宋" w:cs="仿宋"/>
          <w:b/>
          <w:bCs/>
          <w:sz w:val="36"/>
          <w:szCs w:val="36"/>
          <w:lang w:val="en-US"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预算情况说明</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_Toc20090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16</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"_Toc24491" </w:instrText>
      </w:r>
      <w:r>
        <w:fldChar w:fldCharType="separate"/>
      </w:r>
      <w:r>
        <w:rPr>
          <w:rFonts w:hint="eastAsia" w:ascii="仿宋" w:hAnsi="仿宋" w:eastAsia="仿宋" w:cs="仿宋"/>
          <w:sz w:val="36"/>
          <w:szCs w:val="36"/>
          <w:lang w:val="en-US" w:eastAsia="zh-CN"/>
        </w:rPr>
        <w:t>一、预算收支总体情况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_Toc24491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"_Toc17659" </w:instrText>
      </w:r>
      <w:r>
        <w:fldChar w:fldCharType="separate"/>
      </w:r>
      <w:r>
        <w:rPr>
          <w:rFonts w:hint="eastAsia" w:ascii="仿宋" w:hAnsi="仿宋" w:eastAsia="仿宋" w:cs="仿宋"/>
          <w:sz w:val="36"/>
          <w:szCs w:val="36"/>
          <w:lang w:val="en-US" w:eastAsia="zh-CN"/>
        </w:rPr>
        <w:t>二、一般公共预算拨款支出情况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_Toc17659 \h </w:instrText>
      </w:r>
      <w:r>
        <w:rPr>
          <w:rFonts w:hint="eastAsia" w:ascii="仿宋" w:hAnsi="仿宋" w:eastAsia="仿宋" w:cs="仿宋"/>
          <w:sz w:val="36"/>
          <w:szCs w:val="36"/>
        </w:rPr>
        <w:fldChar w:fldCharType="separate"/>
      </w:r>
      <w:r>
        <w:rPr>
          <w:rFonts w:hint="eastAsia" w:ascii="仿宋" w:hAnsi="仿宋" w:eastAsia="仿宋" w:cs="仿宋"/>
          <w:sz w:val="36"/>
          <w:szCs w:val="36"/>
        </w:rPr>
        <w:t>17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"_Toc7059" </w:instrText>
      </w:r>
      <w:r>
        <w:fldChar w:fldCharType="separate"/>
      </w:r>
      <w:r>
        <w:rPr>
          <w:rFonts w:hint="eastAsia" w:ascii="仿宋" w:hAnsi="仿宋" w:eastAsia="仿宋" w:cs="仿宋"/>
          <w:sz w:val="36"/>
          <w:szCs w:val="36"/>
          <w:lang w:val="en-US" w:eastAsia="zh-CN"/>
        </w:rPr>
        <w:t>三、政府性基金预算拨款支出情况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_Toc7059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"_Toc20641" </w:instrText>
      </w:r>
      <w:r>
        <w:fldChar w:fldCharType="separate"/>
      </w:r>
      <w:r>
        <w:rPr>
          <w:rFonts w:hint="eastAsia" w:ascii="仿宋" w:hAnsi="仿宋" w:eastAsia="仿宋" w:cs="仿宋"/>
          <w:sz w:val="36"/>
          <w:szCs w:val="36"/>
          <w:lang w:val="en-US" w:eastAsia="zh-CN"/>
        </w:rPr>
        <w:t>四、国有资本经营预算拨款支出情况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_Toc20641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"_Toc24996" </w:instrText>
      </w:r>
      <w:r>
        <w:fldChar w:fldCharType="separate"/>
      </w:r>
      <w:r>
        <w:rPr>
          <w:rFonts w:hint="eastAsia" w:ascii="仿宋" w:hAnsi="仿宋" w:eastAsia="仿宋" w:cs="仿宋"/>
          <w:sz w:val="36"/>
          <w:szCs w:val="36"/>
        </w:rPr>
        <w:t>五、一般公共预算基本支出情况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_Toc24996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"_Toc19976" </w:instrText>
      </w:r>
      <w:r>
        <w:fldChar w:fldCharType="separate"/>
      </w:r>
      <w:r>
        <w:rPr>
          <w:rFonts w:hint="eastAsia" w:ascii="仿宋" w:hAnsi="仿宋" w:eastAsia="仿宋" w:cs="仿宋"/>
          <w:sz w:val="36"/>
          <w:szCs w:val="36"/>
        </w:rPr>
        <w:t>六、一般公共预算“三公”经费支出情况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_Toc19976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"_Toc23234" </w:instrText>
      </w:r>
      <w:r>
        <w:fldChar w:fldCharType="separate"/>
      </w:r>
      <w:r>
        <w:rPr>
          <w:rFonts w:hint="eastAsia" w:ascii="仿宋" w:hAnsi="仿宋" w:eastAsia="仿宋" w:cs="仿宋"/>
          <w:sz w:val="36"/>
          <w:szCs w:val="36"/>
        </w:rPr>
        <w:t>七、预算绩效目标情况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_Toc23234 \h </w:instrText>
      </w:r>
      <w:r>
        <w:rPr>
          <w:rFonts w:hint="eastAsia" w:ascii="仿宋" w:hAnsi="仿宋" w:eastAsia="仿宋" w:cs="仿宋"/>
          <w:sz w:val="36"/>
          <w:szCs w:val="36"/>
        </w:rPr>
        <w:fldChar w:fldCharType="separate"/>
      </w:r>
      <w:r>
        <w:rPr>
          <w:rFonts w:hint="eastAsia" w:ascii="仿宋" w:hAnsi="仿宋" w:eastAsia="仿宋" w:cs="仿宋"/>
          <w:sz w:val="36"/>
          <w:szCs w:val="36"/>
        </w:rPr>
        <w:t>20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"_Toc28244" </w:instrText>
      </w:r>
      <w:r>
        <w:fldChar w:fldCharType="separate"/>
      </w:r>
      <w:r>
        <w:rPr>
          <w:rFonts w:hint="eastAsia" w:ascii="仿宋" w:hAnsi="仿宋" w:eastAsia="仿宋" w:cs="仿宋"/>
          <w:sz w:val="36"/>
          <w:szCs w:val="36"/>
        </w:rPr>
        <w:t>八、其他重要事项说明</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_Toc28244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lang w:val="en-US" w:eastAsia="zh-CN"/>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bookmarkStart w:id="31" w:name="_GoBack"/>
      <w:bookmarkEnd w:id="31"/>
    </w:p>
    <w:p>
      <w:pPr>
        <w:pStyle w:val="7"/>
        <w:tabs>
          <w:tab w:val="right" w:leader="dot" w:pos="8306"/>
        </w:tabs>
        <w:rPr>
          <w:rFonts w:hint="eastAsia" w:ascii="仿宋" w:hAnsi="仿宋" w:eastAsia="仿宋" w:cs="仿宋"/>
          <w:b/>
          <w:bCs/>
          <w:sz w:val="36"/>
          <w:szCs w:val="36"/>
        </w:rPr>
      </w:pPr>
      <w:r>
        <w:fldChar w:fldCharType="begin"/>
      </w:r>
      <w:r>
        <w:instrText xml:space="preserve"> HYPERLINK \l "_Toc14348" </w:instrText>
      </w:r>
      <w:r>
        <w:fldChar w:fldCharType="separate"/>
      </w:r>
      <w:r>
        <w:rPr>
          <w:rFonts w:hint="eastAsia" w:ascii="仿宋" w:hAnsi="仿宋" w:eastAsia="仿宋" w:cs="仿宋"/>
          <w:b/>
          <w:bCs/>
          <w:sz w:val="36"/>
          <w:szCs w:val="36"/>
        </w:rPr>
        <w:t>第四部分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"_Toc30858" </w:instrText>
      </w:r>
      <w:r>
        <w:fldChar w:fldCharType="separate"/>
      </w:r>
      <w:r>
        <w:rPr>
          <w:rFonts w:hint="eastAsia" w:ascii="仿宋" w:hAnsi="仿宋" w:eastAsia="仿宋" w:cs="仿宋"/>
          <w:b/>
          <w:bCs/>
          <w:sz w:val="36"/>
          <w:szCs w:val="36"/>
          <w:lang w:eastAsia="zh-CN"/>
        </w:rPr>
        <w:t>名词解释</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_Toc30858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2</w:t>
      </w:r>
      <w:r>
        <w:rPr>
          <w:rFonts w:hint="eastAsia" w:ascii="仿宋" w:hAnsi="仿宋" w:eastAsia="仿宋" w:cs="仿宋"/>
          <w:b/>
          <w:bCs/>
          <w:sz w:val="36"/>
          <w:szCs w:val="36"/>
          <w:lang w:val="en-US" w:eastAsia="zh-CN"/>
        </w:rPr>
        <w:t>3</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pPr>
        <w:pStyle w:val="27"/>
        <w:spacing w:line="360" w:lineRule="auto"/>
        <w:rPr>
          <w:rFonts w:ascii="宋体" w:hAnsi="宋体" w:eastAsia="宋体" w:cs="宋体"/>
          <w:kern w:val="0"/>
          <w:sz w:val="36"/>
          <w:szCs w:val="36"/>
        </w:rPr>
      </w:pPr>
      <w:r>
        <w:rPr>
          <w:rFonts w:hint="eastAsia" w:ascii="仿宋" w:hAnsi="仿宋" w:eastAsia="仿宋" w:cs="仿宋"/>
          <w:szCs w:val="36"/>
        </w:rPr>
        <w:fldChar w:fldCharType="end"/>
      </w:r>
    </w:p>
    <w:p>
      <w:pPr>
        <w:pStyle w:val="7"/>
        <w:sectPr>
          <w:footerReference r:id="rId5" w:type="default"/>
          <w:pgSz w:w="11906" w:h="16838"/>
          <w:pgMar w:top="1440" w:right="1800" w:bottom="1440" w:left="1800" w:header="851" w:footer="992" w:gutter="0"/>
          <w:pgNumType w:fmt="decimal" w:start="1"/>
          <w:cols w:space="720" w:num="1"/>
          <w:docGrid w:type="lines" w:linePitch="312" w:charSpace="0"/>
        </w:sectPr>
      </w:pPr>
    </w:p>
    <w:p>
      <w:pPr>
        <w:autoSpaceDE w:val="0"/>
        <w:autoSpaceDN w:val="0"/>
        <w:jc w:val="left"/>
        <w:rPr>
          <w:rFonts w:hint="eastAsia" w:asciiTheme="minorEastAsia" w:hAnsiTheme="minorEastAsia" w:eastAsiaTheme="minorEastAsia" w:cstheme="minorEastAsia"/>
          <w:bCs/>
          <w:sz w:val="21"/>
          <w:szCs w:val="21"/>
          <w:lang w:val="en-US" w:eastAsia="zh-CN"/>
        </w:rPr>
      </w:pPr>
    </w:p>
    <w:p>
      <w:pPr>
        <w:widowControl/>
        <w:jc w:val="center"/>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both"/>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center"/>
        <w:rPr>
          <w:rFonts w:ascii="黑体" w:hAnsi="黑体" w:eastAsia="黑体" w:cs="Times New Roman"/>
          <w:kern w:val="0"/>
          <w:sz w:val="36"/>
          <w:szCs w:val="36"/>
        </w:rPr>
      </w:pPr>
    </w:p>
    <w:p>
      <w:pPr>
        <w:widowControl/>
        <w:jc w:val="left"/>
        <w:rPr>
          <w:rFonts w:ascii="黑体" w:hAnsi="黑体" w:eastAsia="黑体" w:cs="Times New Roman"/>
          <w:kern w:val="0"/>
          <w:sz w:val="36"/>
          <w:szCs w:val="36"/>
        </w:rPr>
      </w:pPr>
    </w:p>
    <w:p>
      <w:pPr>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2"/>
          <w:rFonts w:hint="eastAsia" w:ascii="黑体" w:hAnsi="黑体" w:eastAsia="黑体" w:cs="黑体"/>
          <w:b w:val="0"/>
          <w:bCs/>
          <w:kern w:val="44"/>
          <w:sz w:val="56"/>
          <w:szCs w:val="56"/>
          <w:lang w:val="en-US" w:eastAsia="zh-CN"/>
        </w:rPr>
      </w:pPr>
      <w:bookmarkStart w:id="0" w:name="_Toc14214"/>
      <w:r>
        <w:rPr>
          <w:rStyle w:val="12"/>
          <w:rFonts w:hint="eastAsia"/>
          <w:b w:val="0"/>
          <w:bCs/>
          <w:kern w:val="44"/>
          <w:sz w:val="56"/>
          <w:szCs w:val="56"/>
        </w:rPr>
        <w:t>第一部分</w:t>
      </w:r>
    </w:p>
    <w:bookmarkEnd w:id="0"/>
    <w:p>
      <w:pPr>
        <w:pStyle w:val="2"/>
        <w:pageBreakBefore w:val="0"/>
        <w:widowControl w:val="0"/>
        <w:kinsoku/>
        <w:wordWrap/>
        <w:overflowPunct/>
        <w:topLinePunct w:val="0"/>
        <w:autoSpaceDE/>
        <w:autoSpaceDN/>
        <w:bidi w:val="0"/>
        <w:adjustRightInd/>
        <w:snapToGrid/>
        <w:spacing w:after="320" w:line="360" w:lineRule="auto"/>
        <w:jc w:val="center"/>
        <w:textAlignment w:val="auto"/>
        <w:rPr>
          <w:rFonts w:hint="eastAsia" w:ascii="黑体" w:hAnsi="黑体" w:eastAsia="黑体" w:cs="黑体"/>
          <w:b w:val="0"/>
          <w:bCs/>
          <w:sz w:val="56"/>
          <w:szCs w:val="56"/>
        </w:rPr>
      </w:pPr>
      <w:bookmarkStart w:id="1" w:name="_Toc24360"/>
      <w:r>
        <w:rPr>
          <w:rFonts w:hint="eastAsia" w:ascii="黑体" w:hAnsi="黑体" w:eastAsia="黑体" w:cs="黑体"/>
          <w:b w:val="0"/>
          <w:bCs/>
          <w:kern w:val="44"/>
          <w:sz w:val="56"/>
          <w:szCs w:val="56"/>
          <w:lang w:val="en-US" w:eastAsia="zh-CN"/>
        </w:rPr>
        <w:t>单位</w:t>
      </w:r>
      <w:r>
        <w:rPr>
          <w:rFonts w:hint="eastAsia" w:ascii="黑体" w:hAnsi="黑体" w:eastAsia="黑体" w:cs="黑体"/>
          <w:b w:val="0"/>
          <w:bCs/>
          <w:kern w:val="44"/>
          <w:sz w:val="56"/>
          <w:szCs w:val="56"/>
        </w:rPr>
        <w:t>概况</w:t>
      </w:r>
      <w:bookmarkEnd w:id="1"/>
    </w:p>
    <w:p>
      <w:pPr>
        <w:widowControl/>
        <w:jc w:val="left"/>
        <w:rPr>
          <w:rFonts w:ascii="黑体" w:hAnsi="黑体" w:eastAsia="黑体" w:cs="Times New Roman"/>
          <w:kern w:val="0"/>
          <w:sz w:val="36"/>
          <w:szCs w:val="36"/>
        </w:rPr>
      </w:pPr>
    </w:p>
    <w:p>
      <w:pPr>
        <w:widowControl/>
        <w:jc w:val="left"/>
        <w:rPr>
          <w:rFonts w:ascii="黑体" w:hAnsi="黑体" w:eastAsia="黑体" w:cs="Times New Roman"/>
          <w:kern w:val="0"/>
          <w:sz w:val="36"/>
          <w:szCs w:val="36"/>
        </w:rPr>
        <w:sectPr>
          <w:footerReference r:id="rId6" w:type="default"/>
          <w:pgSz w:w="11906" w:h="16838"/>
          <w:pgMar w:top="1440" w:right="1800" w:bottom="1440" w:left="1800" w:header="851" w:footer="992" w:gutter="0"/>
          <w:pgNumType w:fmt="decimal" w:start="1"/>
          <w:cols w:space="720" w:num="1"/>
          <w:docGrid w:type="lines" w:linePitch="312" w:charSpace="0"/>
        </w:sectPr>
      </w:pPr>
    </w:p>
    <w:p>
      <w:pPr>
        <w:pStyle w:val="2"/>
        <w:spacing w:before="0" w:after="0"/>
        <w:rPr>
          <w:rFonts w:hint="eastAsia" w:ascii="黑体" w:hAnsi="黑体" w:eastAsia="黑体" w:cs="黑体"/>
          <w:b w:val="0"/>
          <w:bCs/>
          <w:lang w:val="en-US" w:eastAsia="zh-CN"/>
        </w:rPr>
      </w:pPr>
      <w:bookmarkStart w:id="2" w:name="_Toc27901"/>
      <w:r>
        <w:rPr>
          <w:rFonts w:hint="eastAsia"/>
          <w:b w:val="0"/>
          <w:bCs/>
          <w:lang w:val="en-US" w:eastAsia="zh-CN"/>
        </w:rPr>
        <w:t>一、单位主要职责</w:t>
      </w:r>
      <w:bookmarkEnd w:id="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
          <w:sz w:val="32"/>
          <w:lang w:val="en-US" w:eastAsia="zh-CN"/>
        </w:rPr>
        <w:t>上杭县博物馆</w:t>
      </w:r>
      <w:r>
        <w:rPr>
          <w:rFonts w:ascii="仿宋" w:hAnsi="仿宋" w:eastAsia="仿宋" w:cs="仿宋"/>
          <w:sz w:val="32"/>
        </w:rPr>
        <w:t>的主要职责是：</w:t>
      </w:r>
      <w:r>
        <w:rPr>
          <w:rFonts w:hint="eastAsia" w:ascii="仿宋" w:hAnsi="仿宋" w:eastAsia="仿宋" w:cs="仿宋"/>
          <w:sz w:val="32"/>
          <w:lang w:val="en-US" w:eastAsia="zh-CN"/>
        </w:rPr>
        <w:t>（一）认真贯彻落实党的路线、方针、政策；</w:t>
      </w:r>
      <w:r>
        <w:rPr>
          <w:rFonts w:hint="eastAsia" w:ascii="仿宋" w:hAnsi="仿宋" w:eastAsia="仿宋" w:cs="仿宋"/>
          <w:sz w:val="32"/>
          <w:lang w:val="en-US" w:eastAsia="zh-CN"/>
        </w:rPr>
        <w:cr/>
      </w:r>
      <w:r>
        <w:rPr>
          <w:rFonts w:hint="eastAsia" w:ascii="仿宋" w:hAnsi="仿宋" w:eastAsia="仿宋" w:cs="仿宋"/>
          <w:sz w:val="32"/>
          <w:lang w:val="en-US" w:eastAsia="zh-CN"/>
        </w:rPr>
        <w:t>（二）做好文物的收集与维护；</w:t>
      </w:r>
      <w:r>
        <w:rPr>
          <w:rFonts w:hint="eastAsia" w:ascii="仿宋" w:hAnsi="仿宋" w:eastAsia="仿宋" w:cs="仿宋"/>
          <w:sz w:val="32"/>
          <w:lang w:val="en-US" w:eastAsia="zh-CN"/>
        </w:rPr>
        <w:cr/>
      </w:r>
      <w:r>
        <w:rPr>
          <w:rFonts w:hint="eastAsia" w:ascii="仿宋" w:hAnsi="仿宋" w:eastAsia="仿宋" w:cs="仿宋"/>
          <w:sz w:val="32"/>
          <w:lang w:val="en-US" w:eastAsia="zh-CN"/>
        </w:rPr>
        <w:t>（三）做好日常接待，认真对待各个部门的来访。</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420" w:firstLineChars="200"/>
        <w:textAlignment w:val="auto"/>
        <w:rPr>
          <w:rFonts w:hint="eastAsia"/>
          <w:b w:val="0"/>
          <w:bCs/>
          <w:lang w:val="en-US" w:eastAsia="zh-CN"/>
        </w:rPr>
      </w:pPr>
    </w:p>
    <w:p>
      <w:pPr>
        <w:pStyle w:val="2"/>
        <w:spacing w:before="0" w:after="0"/>
        <w:rPr>
          <w:rFonts w:hint="eastAsia" w:ascii="黑体" w:hAnsi="黑体" w:eastAsia="黑体" w:cs="黑体"/>
          <w:b w:val="0"/>
          <w:bCs/>
          <w:lang w:val="en-US" w:eastAsia="zh-CN"/>
        </w:rPr>
      </w:pPr>
      <w:bookmarkStart w:id="3" w:name="_Toc11519"/>
      <w:r>
        <w:rPr>
          <w:rFonts w:hint="eastAsia"/>
          <w:b w:val="0"/>
          <w:bCs/>
          <w:lang w:val="en-US" w:eastAsia="zh-CN"/>
        </w:rPr>
        <w:t>二、单位预算单位构成</w:t>
      </w:r>
      <w:bookmarkEnd w:id="3"/>
    </w:p>
    <w:p>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lang w:eastAsia="zh-CN"/>
        </w:rPr>
      </w:pPr>
      <w:r>
        <w:rPr>
          <w:rFonts w:ascii="仿宋" w:hAnsi="仿宋" w:eastAsia="仿宋" w:cs="仿宋"/>
          <w:sz w:val="32"/>
        </w:rPr>
        <w:t>从预算单位构成看，</w:t>
      </w:r>
      <w:r>
        <w:rPr>
          <w:rFonts w:hint="eastAsia" w:ascii="仿宋" w:hAnsi="仿宋" w:eastAsia="仿宋" w:cs="仿宋_GB2312"/>
          <w:sz w:val="32"/>
          <w:szCs w:val="32"/>
          <w:lang w:val="en-US" w:eastAsia="zh-CN"/>
        </w:rPr>
        <w:t>上杭县博物馆</w:t>
      </w:r>
      <w:r>
        <w:rPr>
          <w:rFonts w:hint="eastAsia" w:ascii="仿宋" w:hAnsi="仿宋" w:eastAsia="仿宋"/>
          <w:sz w:val="32"/>
          <w:szCs w:val="32"/>
          <w:highlight w:val="none"/>
        </w:rPr>
        <w:t>单位</w:t>
      </w:r>
      <w:r>
        <w:rPr>
          <w:rFonts w:hint="eastAsia" w:ascii="仿宋" w:hAnsi="仿宋" w:eastAsia="仿宋"/>
          <w:sz w:val="32"/>
          <w:szCs w:val="32"/>
        </w:rPr>
        <w:t>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个机关行政处（科、股）室</w:t>
      </w:r>
      <w:r>
        <w:rPr>
          <w:rFonts w:hint="eastAsia" w:ascii="仿宋" w:hAnsi="仿宋" w:eastAsia="仿宋"/>
          <w:sz w:val="32"/>
          <w:szCs w:val="32"/>
          <w:highlight w:val="none"/>
        </w:rPr>
        <w:t>，</w:t>
      </w:r>
      <w:r>
        <w:rPr>
          <w:rFonts w:ascii="仿宋" w:hAnsi="仿宋" w:eastAsia="仿宋" w:cs="仿宋"/>
          <w:sz w:val="32"/>
        </w:rPr>
        <w:t>其中：列入</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sz w:val="32"/>
          <w:szCs w:val="32"/>
          <w:highlight w:val="none"/>
        </w:rPr>
        <w:t>单位</w:t>
      </w:r>
      <w:r>
        <w:rPr>
          <w:rFonts w:ascii="仿宋" w:hAnsi="仿宋" w:eastAsia="仿宋" w:cs="仿宋"/>
          <w:sz w:val="32"/>
        </w:rPr>
        <w:t>预算编制范围的单位详细情况见下表</w:t>
      </w:r>
      <w:r>
        <w:rPr>
          <w:rFonts w:hint="eastAsia" w:ascii="仿宋" w:hAnsi="仿宋" w:eastAsia="仿宋"/>
          <w:sz w:val="32"/>
          <w:szCs w:val="32"/>
          <w:lang w:eastAsia="zh-CN"/>
        </w:rPr>
        <w:t>：</w:t>
      </w:r>
    </w:p>
    <w:tbl>
      <w:tblPr>
        <w:tblStyle w:val="8"/>
        <w:tblW w:w="8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4"/>
        <w:gridCol w:w="4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vAlign w:val="center"/>
          </w:tcPr>
          <w:p>
            <w:pPr>
              <w:bidi w:val="0"/>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387" w:type="dxa"/>
            <w:vAlign w:val="center"/>
          </w:tcPr>
          <w:p>
            <w:pPr>
              <w:bidi w:val="0"/>
              <w:jc w:val="center"/>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shd w:val="clear" w:color="auto" w:fill="auto"/>
            <w:vAlign w:val="center"/>
          </w:tcPr>
          <w:p>
            <w:pPr>
              <w:jc w:val="center"/>
            </w:pPr>
            <w:r>
              <w:rPr>
                <w:rFonts w:ascii="仿宋" w:hAnsi="仿宋" w:eastAsia="仿宋" w:cs="仿宋"/>
                <w:sz w:val="32"/>
              </w:rPr>
              <w:t>1</w:t>
            </w:r>
          </w:p>
        </w:tc>
        <w:tc>
          <w:tcPr>
            <w:tcW w:w="4387" w:type="dxa"/>
            <w:shd w:val="clear" w:color="auto" w:fill="auto"/>
            <w:vAlign w:val="center"/>
          </w:tcPr>
          <w:p>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上杭县博物馆</w:t>
            </w:r>
          </w:p>
        </w:tc>
      </w:tr>
    </w:tbl>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_GB2312"/>
          <w:sz w:val="32"/>
          <w:szCs w:val="32"/>
          <w:lang w:val="en-US" w:eastAsia="zh-CN"/>
        </w:rPr>
      </w:pPr>
    </w:p>
    <w:p>
      <w:pPr>
        <w:pStyle w:val="2"/>
        <w:spacing w:before="0" w:after="0"/>
        <w:rPr>
          <w:rFonts w:hint="eastAsia"/>
          <w:b w:val="0"/>
          <w:bCs/>
          <w:lang w:val="en-US" w:eastAsia="zh-CN"/>
        </w:rPr>
      </w:pPr>
      <w:bookmarkStart w:id="4" w:name="_Toc2404"/>
      <w:r>
        <w:rPr>
          <w:rFonts w:hint="eastAsia"/>
          <w:b w:val="0"/>
          <w:bCs/>
          <w:lang w:val="en-US" w:eastAsia="zh-CN"/>
        </w:rPr>
        <w:t>三、单位主要工作任务</w:t>
      </w:r>
      <w:bookmarkEnd w:id="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_GB2312"/>
          <w:sz w:val="32"/>
          <w:szCs w:val="32"/>
          <w:highlight w:val="none"/>
          <w:lang w:val="en-US" w:eastAsia="zh-CN"/>
        </w:rPr>
        <w:t>2026</w:t>
      </w:r>
      <w:r>
        <w:rPr>
          <w:rFonts w:hint="eastAsia" w:ascii="仿宋" w:hAnsi="仿宋" w:eastAsia="仿宋"/>
          <w:sz w:val="32"/>
          <w:szCs w:val="32"/>
          <w:highlight w:val="none"/>
        </w:rPr>
        <w:t>年，</w:t>
      </w:r>
      <w:r>
        <w:rPr>
          <w:rFonts w:hint="eastAsia" w:ascii="仿宋" w:hAnsi="仿宋" w:eastAsia="仿宋"/>
          <w:sz w:val="32"/>
          <w:szCs w:val="32"/>
          <w:lang w:val="en-US" w:eastAsia="zh-CN"/>
        </w:rPr>
        <w:t>上杭县博物馆</w:t>
      </w:r>
      <w:r>
        <w:rPr>
          <w:rFonts w:ascii="仿宋" w:hAnsi="仿宋" w:eastAsia="仿宋"/>
          <w:sz w:val="32"/>
          <w:u w:color="auto"/>
        </w:rPr>
        <w:t>单位</w:t>
      </w:r>
      <w:r>
        <w:rPr>
          <w:rFonts w:ascii="仿宋" w:hAnsi="仿宋" w:eastAsia="仿宋"/>
          <w:sz w:val="32"/>
          <w:u w:val="none" w:color="auto"/>
        </w:rPr>
        <w:t>主要任务是：</w:t>
      </w:r>
      <w:r>
        <w:rPr>
          <w:rFonts w:hint="eastAsia" w:ascii="仿宋" w:hAnsi="仿宋" w:eastAsia="仿宋"/>
          <w:sz w:val="32"/>
          <w:szCs w:val="32"/>
          <w:lang w:val="en-US" w:eastAsia="zh-CN"/>
        </w:rPr>
        <w:t>（一）着力抓项目建设。</w:t>
      </w:r>
      <w:r>
        <w:rPr>
          <w:rFonts w:hint="eastAsia" w:ascii="仿宋" w:hAnsi="仿宋" w:eastAsia="仿宋"/>
          <w:sz w:val="32"/>
          <w:szCs w:val="32"/>
          <w:lang w:val="en-US" w:eastAsia="zh-CN"/>
        </w:rPr>
        <w:cr/>
      </w:r>
      <w:r>
        <w:rPr>
          <w:rFonts w:hint="eastAsia" w:ascii="仿宋" w:hAnsi="仿宋" w:eastAsia="仿宋"/>
          <w:sz w:val="32"/>
          <w:szCs w:val="32"/>
          <w:lang w:val="en-US" w:eastAsia="zh-CN"/>
        </w:rPr>
        <w:t>（二）着力抓文物管理。</w:t>
      </w:r>
      <w:r>
        <w:rPr>
          <w:rFonts w:hint="eastAsia" w:ascii="仿宋" w:hAnsi="仿宋" w:eastAsia="仿宋"/>
          <w:sz w:val="32"/>
          <w:szCs w:val="32"/>
          <w:lang w:val="en-US" w:eastAsia="zh-CN"/>
        </w:rPr>
        <w:cr/>
      </w:r>
      <w:r>
        <w:rPr>
          <w:rFonts w:hint="eastAsia" w:ascii="仿宋" w:hAnsi="仿宋" w:eastAsia="仿宋"/>
          <w:sz w:val="32"/>
          <w:szCs w:val="32"/>
          <w:lang w:val="en-US" w:eastAsia="zh-CN"/>
        </w:rPr>
        <w:t>（三）着力抓宣教活动。</w:t>
      </w:r>
      <w:r>
        <w:rPr>
          <w:rFonts w:hint="eastAsia" w:ascii="仿宋" w:hAnsi="仿宋" w:eastAsia="仿宋"/>
          <w:sz w:val="32"/>
          <w:szCs w:val="32"/>
          <w:lang w:val="en-US" w:eastAsia="zh-CN"/>
        </w:rPr>
        <w:cr/>
      </w:r>
      <w:r>
        <w:rPr>
          <w:rFonts w:hint="eastAsia" w:ascii="仿宋" w:hAnsi="仿宋" w:eastAsia="仿宋"/>
          <w:sz w:val="32"/>
          <w:szCs w:val="32"/>
          <w:lang w:val="en-US" w:eastAsia="zh-CN"/>
        </w:rPr>
        <w:t>（四）着力抓文创开发。</w:t>
      </w:r>
      <w:r>
        <w:rPr>
          <w:rFonts w:hint="eastAsia" w:ascii="仿宋" w:hAnsi="仿宋" w:eastAsia="仿宋"/>
          <w:sz w:val="32"/>
          <w:szCs w:val="32"/>
          <w:lang w:val="en-US" w:eastAsia="zh-CN"/>
        </w:rPr>
        <w:cr/>
      </w:r>
      <w:r>
        <w:rPr>
          <w:rFonts w:hint="eastAsia" w:ascii="仿宋" w:hAnsi="仿宋" w:eastAsia="仿宋"/>
          <w:sz w:val="32"/>
          <w:szCs w:val="32"/>
          <w:lang w:val="en-US" w:eastAsia="zh-CN"/>
        </w:rPr>
        <w:t>（五）着力抓交流合作。</w:t>
      </w:r>
      <w:r>
        <w:rPr>
          <w:rFonts w:hint="eastAsia" w:ascii="仿宋" w:hAnsi="仿宋" w:eastAsia="仿宋"/>
          <w:sz w:val="32"/>
          <w:szCs w:val="32"/>
          <w:lang w:val="en-US" w:eastAsia="zh-CN"/>
        </w:rPr>
        <w:cr/>
      </w:r>
      <w:r>
        <w:rPr>
          <w:rFonts w:hint="eastAsia" w:ascii="仿宋" w:hAnsi="仿宋" w:eastAsia="仿宋"/>
          <w:sz w:val="32"/>
          <w:szCs w:val="32"/>
          <w:lang w:val="en-US" w:eastAsia="zh-CN"/>
        </w:rPr>
        <w:t>（六）着力抓安全保障。</w:t>
      </w:r>
      <w:r>
        <w:cr/>
      </w: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bookmarkStart w:id="5" w:name="_Toc21539"/>
      <w:r>
        <w:rPr>
          <w:rStyle w:val="12"/>
          <w:rFonts w:hint="eastAsia"/>
          <w:b w:val="0"/>
          <w:bCs/>
          <w:sz w:val="56"/>
          <w:szCs w:val="56"/>
        </w:rPr>
        <w:t>第二部分</w:t>
      </w:r>
    </w:p>
    <w:bookmarkEnd w:id="5"/>
    <w:p>
      <w:pPr>
        <w:pStyle w:val="2"/>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36"/>
        </w:rPr>
      </w:pPr>
      <w:bookmarkStart w:id="6" w:name="_Toc11189"/>
      <w:bookmarkStart w:id="7" w:name="_Toc29840"/>
      <w:r>
        <w:rPr>
          <w:rFonts w:hint="eastAsia" w:ascii="黑体" w:hAnsi="黑体" w:cs="黑体"/>
          <w:b w:val="0"/>
          <w:bCs/>
          <w:sz w:val="56"/>
          <w:lang w:eastAsia="zh-CN"/>
        </w:rPr>
        <w:t>2026</w:t>
      </w:r>
      <w:r>
        <w:rPr>
          <w:rFonts w:hint="eastAsia" w:ascii="黑体" w:hAnsi="黑体" w:eastAsia="黑体" w:cs="黑体"/>
          <w:b w:val="0"/>
          <w:bCs/>
          <w:sz w:val="56"/>
        </w:rPr>
        <w:t>年度</w:t>
      </w:r>
      <w:r>
        <w:rPr>
          <w:rFonts w:hint="eastAsia" w:ascii="黑体" w:hAnsi="黑体" w:cs="黑体"/>
          <w:b w:val="0"/>
          <w:bCs/>
          <w:sz w:val="56"/>
          <w:lang w:val="en-US" w:eastAsia="zh-CN"/>
        </w:rPr>
        <w:t>单位</w:t>
      </w:r>
      <w:r>
        <w:rPr>
          <w:rFonts w:hint="eastAsia" w:ascii="黑体" w:hAnsi="黑体" w:eastAsia="黑体" w:cs="黑体"/>
          <w:b w:val="0"/>
          <w:bCs/>
          <w:sz w:val="56"/>
        </w:rPr>
        <w:t>预算表</w:t>
      </w:r>
      <w:bookmarkEnd w:id="6"/>
      <w:bookmarkEnd w:id="7"/>
    </w:p>
    <w:p>
      <w:pPr>
        <w:rPr>
          <w:rFonts w:ascii="黑体" w:hAnsi="黑体" w:eastAsia="黑体"/>
          <w:sz w:val="56"/>
          <w:szCs w:val="36"/>
        </w:rPr>
      </w:pPr>
    </w:p>
    <w:p>
      <w:pPr>
        <w:widowControl/>
        <w:jc w:val="left"/>
        <w:rPr>
          <w:rFonts w:ascii="仿宋" w:hAnsi="仿宋" w:eastAsia="仿宋" w:cs="仿宋_GB2312"/>
          <w:sz w:val="32"/>
          <w:szCs w:val="32"/>
        </w:rPr>
        <w:sectPr>
          <w:pgSz w:w="11906" w:h="16838"/>
          <w:pgMar w:top="1440" w:right="1800" w:bottom="1440" w:left="1800"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28673"/>
      <w:r>
        <w:rPr>
          <w:rFonts w:hint="eastAsia"/>
          <w:b w:val="0"/>
          <w:bCs/>
        </w:rPr>
        <w:t>一、收支预算总表</w:t>
      </w:r>
      <w:bookmarkEnd w:id="8"/>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年度收支预算总表</w:t>
      </w:r>
    </w:p>
    <w:p>
      <w:pPr>
        <w:tabs>
          <w:tab w:val="left" w:pos="7513"/>
        </w:tabs>
        <w:adjustRightInd w:val="0"/>
        <w:snapToGrid w:val="0"/>
        <w:spacing w:line="300" w:lineRule="exact"/>
        <w:jc w:val="right"/>
        <w:rPr>
          <w:rFonts w:hint="eastAsia" w:ascii="宋体" w:hAnsi="宋体" w:eastAsia="宋体" w:cs="宋体"/>
          <w:kern w:val="0"/>
          <w:sz w:val="22"/>
          <w:szCs w:val="24"/>
        </w:rPr>
      </w:pPr>
      <w:r>
        <w:rPr>
          <w:rFonts w:hint="eastAsia" w:ascii="宋体" w:hAnsi="宋体" w:eastAsia="宋体" w:cs="宋体"/>
          <w:kern w:val="0"/>
          <w:sz w:val="22"/>
          <w:szCs w:val="24"/>
        </w:rPr>
        <w:t>单位：万元</w:t>
      </w:r>
    </w:p>
    <w:tbl>
      <w:tblPr>
        <w:tblStyle w:val="8"/>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7"/>
        <w:gridCol w:w="1627"/>
        <w:gridCol w:w="3239"/>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tblHeader/>
          <w:jc w:val="center"/>
        </w:trPr>
        <w:tc>
          <w:tcPr>
            <w:tcW w:w="4685"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687"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627"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c>
          <w:tcPr>
            <w:tcW w:w="3239"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48"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150.54</w:t>
            </w: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四、财政专户管理资金收入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五、事业收入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六、事业单位经营收入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七、上级补助收入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150.54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八、附属单位上缴收入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9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九、其他收入</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十、上年结转结余</w:t>
            </w: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448" w:type="dxa"/>
            <w:noWrap w:val="0"/>
            <w:vAlign w:val="center"/>
          </w:tcPr>
          <w:p>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627" w:type="dxa"/>
            <w:noWrap w:val="0"/>
            <w:vAlign w:val="center"/>
          </w:tcPr>
          <w:p>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150.54</w:t>
            </w:r>
          </w:p>
        </w:tc>
        <w:tc>
          <w:tcPr>
            <w:tcW w:w="3239" w:type="dxa"/>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448" w:type="dxa"/>
            <w:noWrap w:val="0"/>
            <w:vAlign w:val="center"/>
          </w:tcPr>
          <w:p>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150.54</w:t>
            </w:r>
          </w:p>
        </w:tc>
      </w:tr>
    </w:tbl>
    <w:p>
      <w:pPr>
        <w:tabs>
          <w:tab w:val="left" w:pos="7513"/>
        </w:tabs>
        <w:adjustRightInd w:val="0"/>
        <w:snapToGrid w:val="0"/>
        <w:spacing w:line="300" w:lineRule="exact"/>
        <w:jc w:val="right"/>
        <w:rPr>
          <w:rFonts w:hint="eastAsia" w:ascii="宋体" w:hAnsi="宋体" w:eastAsia="宋体" w:cs="宋体"/>
          <w:kern w:val="0"/>
          <w:sz w:val="22"/>
          <w:szCs w:val="24"/>
        </w:rPr>
        <w:sectPr>
          <w:pgSz w:w="11906" w:h="16838"/>
          <w:pgMar w:top="1440" w:right="1800" w:bottom="1440" w:left="1800" w:header="851" w:footer="992" w:gutter="0"/>
          <w:pgNumType w:fmt="decimal"/>
          <w:cols w:space="720" w:num="1"/>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2932"/>
      <w:r>
        <w:rPr>
          <w:rFonts w:hint="eastAsia"/>
          <w:b w:val="0"/>
          <w:bCs/>
        </w:rPr>
        <w:t>二、收入预算总表</w:t>
      </w:r>
      <w:bookmarkEnd w:id="9"/>
    </w:p>
    <w:p>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年度收入预算总表</w:t>
      </w:r>
    </w:p>
    <w:p>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kern w:val="0"/>
          <w:sz w:val="22"/>
          <w:szCs w:val="22"/>
        </w:rPr>
        <w:t>单位：万元</w:t>
      </w:r>
    </w:p>
    <w:tbl>
      <w:tblPr>
        <w:tblStyle w:val="8"/>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826"/>
        <w:gridCol w:w="925"/>
        <w:gridCol w:w="925"/>
        <w:gridCol w:w="925"/>
        <w:gridCol w:w="925"/>
        <w:gridCol w:w="925"/>
        <w:gridCol w:w="925"/>
        <w:gridCol w:w="925"/>
        <w:gridCol w:w="925"/>
        <w:gridCol w:w="925"/>
        <w:gridCol w:w="925"/>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164"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科目编码</w:t>
            </w:r>
          </w:p>
        </w:tc>
        <w:tc>
          <w:tcPr>
            <w:tcW w:w="2826"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科目名称</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一般公共预算拨款收入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政府性基金预算拨款收入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国有资本经营预算拨款收入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财政专户管理资金收入</w:t>
            </w:r>
          </w:p>
        </w:tc>
        <w:tc>
          <w:tcPr>
            <w:tcW w:w="92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w:t>
            </w:r>
          </w:p>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事业单位经营收入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上级补助收入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附属单位上缴收入</w:t>
            </w:r>
          </w:p>
        </w:tc>
        <w:tc>
          <w:tcPr>
            <w:tcW w:w="925" w:type="dxa"/>
            <w:noWrap w:val="0"/>
            <w:vAlign w:val="center"/>
          </w:tcPr>
          <w:p>
            <w:pPr>
              <w:widowControl w:val="0"/>
              <w:tabs>
                <w:tab w:val="left" w:pos="7513"/>
              </w:tabs>
              <w:adjustRightInd w:val="0"/>
              <w:snapToGrid w:val="0"/>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其他</w:t>
            </w:r>
          </w:p>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33" w:type="dxa"/>
            <w:noWrap w:val="0"/>
            <w:vAlign w:val="center"/>
          </w:tcPr>
          <w:p>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上年结转结余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90" w:type="dxa"/>
            <w:gridSpan w:val="2"/>
            <w:noWrap w:val="0"/>
            <w:vAlign w:val="center"/>
          </w:tcPr>
          <w:p>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合计</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150.54</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150.54</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33"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207</w:t>
            </w:r>
          </w:p>
        </w:tc>
        <w:tc>
          <w:tcPr>
            <w:tcW w:w="282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文化旅游体育与传媒支出</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150.54</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150.54</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20701</w:t>
            </w:r>
          </w:p>
        </w:tc>
        <w:tc>
          <w:tcPr>
            <w:tcW w:w="282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文化和旅游</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7</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7</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2070199</w:t>
            </w:r>
          </w:p>
        </w:tc>
        <w:tc>
          <w:tcPr>
            <w:tcW w:w="282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其他文化和旅游支出</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7</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7</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rPr>
                <w:b/>
              </w:rPr>
              <w:t>20702</w:t>
            </w:r>
          </w:p>
        </w:tc>
        <w:tc>
          <w:tcPr>
            <w:tcW w:w="2826" w:type="dxa"/>
            <w:noWrap w:val="0"/>
            <w:vAlign w:val="center"/>
          </w:tcPr>
          <w:p>
            <w:pPr>
              <w:widowControl w:val="0"/>
              <w:jc w:val="both"/>
              <w:rPr>
                <w:sz w:val="18"/>
                <w:szCs w:val="18"/>
              </w:rPr>
            </w:pPr>
            <w:r>
              <w:rPr>
                <w:rFonts w:hint="eastAsia" w:ascii="宋体" w:hAnsi="宋体" w:eastAsia="宋体" w:cs="宋体"/>
                <w:b/>
                <w:kern w:val="2"/>
                <w:position w:val="-1"/>
                <w:sz w:val="18"/>
                <w:szCs w:val="18"/>
                <w:lang w:val="en-US" w:eastAsia="zh-CN" w:bidi="ar-SA"/>
              </w:rPr>
              <w:t>文物</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143.54</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143.54</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r>
              <w:t>2070205</w:t>
            </w:r>
          </w:p>
        </w:tc>
        <w:tc>
          <w:tcPr>
            <w:tcW w:w="2826" w:type="dxa"/>
            <w:noWrap w:val="0"/>
            <w:vAlign w:val="center"/>
          </w:tcPr>
          <w:p>
            <w:pPr>
              <w:widowControl w:val="0"/>
              <w:jc w:val="both"/>
              <w:rPr>
                <w:sz w:val="18"/>
                <w:szCs w:val="18"/>
              </w:rPr>
            </w:pPr>
            <w:r>
              <w:rPr>
                <w:rFonts w:hint="eastAsia" w:ascii="宋体" w:hAnsi="宋体" w:eastAsia="宋体" w:cs="宋体"/>
                <w:kern w:val="2"/>
                <w:position w:val="-1"/>
                <w:sz w:val="18"/>
                <w:szCs w:val="18"/>
                <w:lang w:val="en-US" w:eastAsia="zh-CN" w:bidi="ar-SA"/>
              </w:rPr>
              <w:t>博物馆</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143.54</w:t>
            </w:r>
          </w:p>
        </w:tc>
        <w:tc>
          <w:tcPr>
            <w:tcW w:w="925" w:type="dxa"/>
            <w:noWrap w:val="0"/>
            <w:vAlign w:val="center"/>
          </w:tcPr>
          <w:p>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143.54</w:t>
            </w: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pPr>
              <w:widowControl w:val="0"/>
              <w:jc w:val="right"/>
              <w:rPr>
                <w:rFonts w:ascii="宋体" w:hAnsi="宋体" w:eastAsia="宋体" w:cs="宋体"/>
                <w:b/>
                <w:i w:val="0"/>
                <w:strike w:val="0"/>
                <w:color w:val="auto"/>
                <w:kern w:val="2"/>
                <w:position w:val="-1"/>
                <w:sz w:val="18"/>
                <w:szCs w:val="18"/>
                <w:u w:val="none"/>
                <w:lang w:val="en-US" w:eastAsia="zh-CN" w:bidi="ar-SA"/>
              </w:rPr>
            </w:pPr>
          </w:p>
        </w:tc>
      </w:tr>
    </w:tbl>
    <w:p>
      <w:pPr>
        <w:tabs>
          <w:tab w:val="left" w:pos="7513"/>
        </w:tabs>
        <w:adjustRightInd w:val="0"/>
        <w:snapToGrid w:val="0"/>
        <w:spacing w:line="600" w:lineRule="exact"/>
        <w:rPr>
          <w:rFonts w:hint="eastAsia" w:ascii="仿宋" w:hAnsi="仿宋" w:eastAsia="仿宋"/>
          <w:sz w:val="32"/>
          <w:szCs w:val="32"/>
        </w:rPr>
      </w:pPr>
    </w:p>
    <w:p>
      <w:pPr>
        <w:tabs>
          <w:tab w:val="left" w:pos="7513"/>
        </w:tabs>
        <w:adjustRightInd w:val="0"/>
        <w:snapToGrid w:val="0"/>
        <w:spacing w:line="600" w:lineRule="exact"/>
        <w:rPr>
          <w:rFonts w:hint="eastAsia"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25588"/>
      <w:r>
        <w:rPr>
          <w:rFonts w:hint="eastAsia"/>
          <w:b w:val="0"/>
          <w:bCs/>
        </w:rPr>
        <w:t>三、支出预算总表</w:t>
      </w:r>
      <w:bookmarkEnd w:id="10"/>
    </w:p>
    <w:p>
      <w:pPr>
        <w:widowControl/>
        <w:jc w:val="center"/>
        <w:rPr>
          <w:rFonts w:hint="eastAsia" w:ascii="方正小标宋简体" w:hAnsi="宋体" w:eastAsia="方正小标宋简体" w:cs="宋体"/>
          <w:kern w:val="0"/>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年度支出预算总表</w:t>
      </w:r>
    </w:p>
    <w:p>
      <w:pPr>
        <w:widowControl/>
        <w:jc w:val="right"/>
        <w:rPr>
          <w:rFonts w:hint="eastAsia" w:ascii="方正小标宋简体" w:hAnsi="宋体" w:eastAsia="方正小标宋简体" w:cs="宋体"/>
          <w:kern w:val="0"/>
          <w:sz w:val="32"/>
          <w:szCs w:val="32"/>
          <w:lang w:eastAsia="zh-CN"/>
        </w:rPr>
      </w:pPr>
      <w:r>
        <w:rPr>
          <w:rFonts w:hint="eastAsia" w:ascii="宋体" w:hAnsi="宋体" w:eastAsia="宋体" w:cs="宋体"/>
          <w:kern w:val="0"/>
          <w:sz w:val="22"/>
        </w:rPr>
        <w:t>单位：万元</w:t>
      </w:r>
    </w:p>
    <w:tbl>
      <w:tblPr>
        <w:tblStyle w:val="8"/>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229"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371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基本支出</w:t>
            </w:r>
          </w:p>
        </w:tc>
        <w:tc>
          <w:tcPr>
            <w:tcW w:w="1537"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项目支出</w:t>
            </w:r>
          </w:p>
        </w:tc>
        <w:tc>
          <w:tcPr>
            <w:tcW w:w="153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事业单位经营支出</w:t>
            </w:r>
          </w:p>
        </w:tc>
        <w:tc>
          <w:tcPr>
            <w:tcW w:w="1537"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上缴上级支出</w:t>
            </w:r>
          </w:p>
        </w:tc>
        <w:tc>
          <w:tcPr>
            <w:tcW w:w="1541"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对附属单位补助支出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47"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ascii="宋体" w:hAnsi="宋体" w:eastAsia="宋体" w:cs="宋体"/>
                <w:b/>
                <w:bCs/>
                <w:color w:val="000000"/>
                <w:kern w:val="2"/>
                <w:position w:val="-1"/>
                <w:sz w:val="22"/>
                <w:szCs w:val="22"/>
                <w:lang w:val="en-US" w:eastAsia="zh-CN" w:bidi="ar-SA"/>
              </w:rPr>
              <w:t>合计</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150.54</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143.54</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7.00</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37"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41" w:type="dxa"/>
            <w:noWrap w:val="0"/>
            <w:vAlign w:val="center"/>
          </w:tcPr>
          <w:p>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207</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文化旅游体育与传媒支出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150.54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143.54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20701</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文化和旅游</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2070199</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其他文化和旅游支出</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7</w:t>
            </w: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rPr>
                <w:b/>
              </w:rPr>
              <w:t>20702</w:t>
            </w:r>
          </w:p>
        </w:tc>
        <w:tc>
          <w:tcPr>
            <w:tcW w:w="3718" w:type="dxa"/>
            <w:noWrap w:val="0"/>
            <w:vAlign w:val="center"/>
          </w:tcPr>
          <w:p>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文物</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143.54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143.54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r>
              <w:t>2070205</w:t>
            </w:r>
          </w:p>
        </w:tc>
        <w:tc>
          <w:tcPr>
            <w:tcW w:w="3718" w:type="dxa"/>
            <w:noWrap w:val="0"/>
            <w:vAlign w:val="center"/>
          </w:tcPr>
          <w:p>
            <w:pPr>
              <w:widowControl w:val="0"/>
              <w:jc w:val="both"/>
              <w:rPr>
                <w:sz w:val="18"/>
                <w:szCs w:val="18"/>
              </w:rPr>
            </w:pPr>
            <w:r>
              <w:rPr>
                <w:rFonts w:hint="eastAsia" w:ascii="宋体" w:hAnsi="宋体" w:eastAsia="宋体" w:cs="宋体"/>
                <w:color w:val="000000"/>
                <w:kern w:val="2"/>
                <w:position w:val="-1"/>
                <w:sz w:val="18"/>
                <w:szCs w:val="18"/>
                <w:lang w:val="en-US" w:eastAsia="zh-CN" w:bidi="ar-SA"/>
              </w:rPr>
              <w:t>博物馆</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143.54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143.54</w:t>
            </w:r>
          </w:p>
        </w:tc>
        <w:tc>
          <w:tcPr>
            <w:tcW w:w="1537" w:type="dxa"/>
            <w:noWrap w:val="0"/>
            <w:vAlign w:val="center"/>
          </w:tcPr>
          <w:p>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rPr>
          <w:rFonts w:hint="eastAsia" w:ascii="仿宋" w:hAnsi="仿宋" w:eastAsia="仿宋"/>
          <w:sz w:val="32"/>
          <w:szCs w:val="32"/>
          <w:lang w:val="en-US" w:eastAsia="zh-CN"/>
        </w:rPr>
      </w:pPr>
    </w:p>
    <w:p>
      <w:pPr>
        <w:tabs>
          <w:tab w:val="left" w:pos="7513"/>
        </w:tabs>
        <w:adjustRightInd w:val="0"/>
        <w:snapToGrid w:val="0"/>
        <w:spacing w:line="600" w:lineRule="exact"/>
        <w:rPr>
          <w:rFonts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7510"/>
      <w:r>
        <w:rPr>
          <w:rFonts w:hint="eastAsia"/>
          <w:b w:val="0"/>
          <w:bCs/>
        </w:rPr>
        <w:t>四、财政拨款收支预算总表</w:t>
      </w:r>
      <w:bookmarkEnd w:id="11"/>
    </w:p>
    <w:p>
      <w:pPr>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年度财政拨款收支预算总表</w:t>
      </w:r>
    </w:p>
    <w:p>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8"/>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388"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366" w:type="dxa"/>
            <w:gridSpan w:val="2"/>
            <w:noWrap w:val="0"/>
            <w:vAlign w:val="center"/>
          </w:tcPr>
          <w:p>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56" w:type="dxa"/>
            <w:noWrap w:val="0"/>
            <w:vAlign w:val="center"/>
          </w:tcPr>
          <w:p>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c>
          <w:tcPr>
            <w:tcW w:w="3022" w:type="dxa"/>
            <w:noWrap w:val="0"/>
            <w:vAlign w:val="center"/>
          </w:tcPr>
          <w:p>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344" w:type="dxa"/>
            <w:noWrap w:val="0"/>
            <w:vAlign w:val="center"/>
          </w:tcPr>
          <w:p>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456"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150.54</w:t>
            </w: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344" w:type="dxa"/>
            <w:noWrap w:val="0"/>
            <w:vAlign w:val="center"/>
          </w:tcPr>
          <w:p>
            <w:pPr>
              <w:widowControl w:val="0"/>
              <w:jc w:val="right"/>
              <w:rPr>
                <w:sz w:val="18"/>
                <w:szCs w:val="18"/>
              </w:rPr>
            </w:pPr>
            <w:r>
              <w:rPr>
                <w:rFonts w:hint="eastAsia" w:ascii="宋体" w:hAnsi="宋体" w:eastAsia="宋体" w:cs="宋体"/>
                <w:kern w:val="2"/>
                <w:position w:val="-1"/>
                <w:sz w:val="18"/>
                <w:szCs w:val="18"/>
                <w:lang w:val="en-US" w:eastAsia="zh-CN" w:bidi="ar-SA"/>
              </w:rPr>
              <w:t>150.54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pPr>
              <w:widowControl w:val="0"/>
              <w:jc w:val="right"/>
              <w:rPr>
                <w:sz w:val="18"/>
                <w:szCs w:val="18"/>
              </w:rPr>
            </w:pPr>
          </w:p>
        </w:tc>
        <w:tc>
          <w:tcPr>
            <w:tcW w:w="3022" w:type="dxa"/>
            <w:noWrap w:val="0"/>
            <w:vAlign w:val="center"/>
          </w:tcPr>
          <w:p>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344" w:type="dxa"/>
            <w:noWrap w:val="0"/>
            <w:vAlign w:val="center"/>
          </w:tcPr>
          <w:p>
            <w:pPr>
              <w:widowControl w:val="0"/>
              <w:jc w:val="righ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456" w:type="dxa"/>
            <w:noWrap w:val="0"/>
            <w:vAlign w:val="center"/>
          </w:tcPr>
          <w:p>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150.54</w:t>
            </w:r>
          </w:p>
        </w:tc>
        <w:tc>
          <w:tcPr>
            <w:tcW w:w="3022" w:type="dxa"/>
            <w:noWrap w:val="0"/>
            <w:vAlign w:val="center"/>
          </w:tcPr>
          <w:p>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344" w:type="dxa"/>
            <w:noWrap w:val="0"/>
            <w:vAlign w:val="center"/>
          </w:tcPr>
          <w:p>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150.54</w:t>
            </w:r>
          </w:p>
        </w:tc>
      </w:tr>
    </w:tbl>
    <w:p>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7741"/>
      <w:r>
        <w:rPr>
          <w:rFonts w:hint="eastAsia"/>
          <w:b w:val="0"/>
          <w:bCs/>
        </w:rPr>
        <w:t>五、一般公共预算拨款支出预算表</w:t>
      </w:r>
      <w:bookmarkEnd w:id="12"/>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年度一般公共预算拨款支出预算表</w:t>
      </w:r>
    </w:p>
    <w:p>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position w:val="-1"/>
                <w:sz w:val="22"/>
                <w:szCs w:val="22"/>
                <w:lang w:val="en-US" w:eastAsia="zh-CN" w:bidi="ar-SA"/>
              </w:rPr>
              <w:t>合计</w:t>
            </w:r>
          </w:p>
        </w:tc>
        <w:tc>
          <w:tcPr>
            <w:tcW w:w="1325"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150.54</w:t>
            </w:r>
          </w:p>
        </w:tc>
        <w:tc>
          <w:tcPr>
            <w:tcW w:w="1325"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143.54</w:t>
            </w:r>
          </w:p>
        </w:tc>
        <w:tc>
          <w:tcPr>
            <w:tcW w:w="1327" w:type="dxa"/>
            <w:noWrap w:val="0"/>
            <w:vAlign w:val="center"/>
          </w:tcPr>
          <w:p>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207</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文化旅游体育与传媒支出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150.54</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143.54</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20701</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文化和旅游</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2070199</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其他文化和旅游支出</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rPr>
                <w:b/>
              </w:rPr>
              <w:t>20702</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文物</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143.54</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143.54</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r>
              <w:t>2070205</w:t>
            </w:r>
          </w:p>
        </w:tc>
        <w:tc>
          <w:tcPr>
            <w:tcW w:w="331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博物馆</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143.54</w:t>
            </w:r>
          </w:p>
        </w:tc>
        <w:tc>
          <w:tcPr>
            <w:tcW w:w="1325"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143.54</w:t>
            </w:r>
          </w:p>
        </w:tc>
        <w:tc>
          <w:tcPr>
            <w:tcW w:w="1327"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p>
        </w:tc>
      </w:tr>
    </w:tbl>
    <w:p>
      <w:pPr>
        <w:tabs>
          <w:tab w:val="left" w:pos="7513"/>
        </w:tabs>
        <w:adjustRightInd w:val="0"/>
        <w:snapToGrid w:val="0"/>
        <w:spacing w:line="600" w:lineRule="exact"/>
        <w:jc w:val="left"/>
        <w:rPr>
          <w:rFonts w:hint="default" w:ascii="仿宋" w:hAnsi="仿宋" w:eastAsia="仿宋" w:cs="仿宋"/>
          <w:sz w:val="32"/>
          <w:lang w:val="en-US" w:eastAsia="zh-CN"/>
        </w:rPr>
      </w:pPr>
    </w:p>
    <w:p>
      <w:pPr>
        <w:spacing w:line="600" w:lineRule="exact"/>
        <w:jc w:val="center"/>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29528"/>
      <w:r>
        <w:rPr>
          <w:rFonts w:hint="eastAsia"/>
          <w:b w:val="0"/>
          <w:bCs/>
        </w:rPr>
        <w:t>六、政府性基金预算拨款支出预算表</w:t>
      </w:r>
      <w:bookmarkEnd w:id="13"/>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年度政府性基金预算拨款支出预算表</w:t>
      </w:r>
    </w:p>
    <w:p>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3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32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default" w:ascii="宋体" w:hAnsi="宋体" w:eastAsia="宋体" w:cs="宋体"/>
                <w:b/>
                <w:bCs w:val="0"/>
                <w:kern w:val="2"/>
                <w:position w:val="-1"/>
                <w:sz w:val="22"/>
                <w:szCs w:val="22"/>
                <w:lang w:val="en-US" w:eastAsia="zh-CN" w:bidi="ar-SA"/>
              </w:rPr>
              <w:t>0.00</w:t>
            </w:r>
          </w:p>
        </w:tc>
        <w:tc>
          <w:tcPr>
            <w:tcW w:w="1327"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pPr>
        <w:rPr>
          <w:rFonts w:hint="eastAsia" w:ascii="仿宋" w:hAnsi="仿宋" w:eastAsia="仿宋" w:cs="仿宋"/>
          <w:sz w:val="32"/>
          <w:lang w:val="en-US" w:eastAsia="zh-CN"/>
        </w:rPr>
      </w:pPr>
      <w:r>
        <w:rPr>
          <w:rFonts w:hint="eastAsia" w:ascii="仿宋" w:hAnsi="仿宋" w:eastAsia="仿宋" w:cs="仿宋"/>
          <w:sz w:val="32"/>
          <w:lang w:val="en-US" w:eastAsia="zh-CN"/>
        </w:rPr>
        <w:t>备注：本单位2026年没有使用政府性基金预算拨款安排的支出。</w:t>
      </w:r>
    </w:p>
    <w:p>
      <w:pPr>
        <w:rPr>
          <w:rFonts w:hint="eastAsia" w:ascii="仿宋" w:hAnsi="仿宋" w:eastAsia="仿宋" w:cs="仿宋"/>
          <w:sz w:val="32"/>
          <w:lang w:val="en-US" w:eastAsia="zh-CN"/>
        </w:rPr>
      </w:pPr>
    </w:p>
    <w:p>
      <w:pPr>
        <w:tabs>
          <w:tab w:val="left" w:pos="7513"/>
        </w:tabs>
        <w:adjustRightInd w:val="0"/>
        <w:snapToGrid w:val="0"/>
        <w:spacing w:line="600" w:lineRule="exact"/>
        <w:jc w:val="left"/>
        <w:rPr>
          <w:rFonts w:hint="eastAsia" w:ascii="仿宋" w:hAnsi="仿宋" w:eastAsia="仿宋" w:cs="仿宋"/>
          <w:sz w:val="32"/>
          <w:lang w:val="en-US" w:eastAsia="zh-CN"/>
        </w:rPr>
        <w:sectPr>
          <w:pgSz w:w="11906" w:h="16838"/>
          <w:pgMar w:top="1440" w:right="1803" w:bottom="1440" w:left="1803" w:header="851" w:footer="992" w:gutter="0"/>
          <w:pgNumType w:fmt="decimal"/>
          <w:cols w:space="720" w:num="1"/>
          <w:docGrid w:type="linesAndChar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4" w:name="_Toc4041"/>
      <w:r>
        <w:rPr>
          <w:rFonts w:hint="eastAsia"/>
          <w:b w:val="0"/>
          <w:bCs/>
        </w:rPr>
        <w:t>七、国有资本经营预算拨款支出预算表</w:t>
      </w:r>
      <w:bookmarkEnd w:id="14"/>
    </w:p>
    <w:p>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年度国有资本经营预算拨款支出预算表</w:t>
      </w:r>
    </w:p>
    <w:p>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380" w:type="dxa"/>
            <w:gridSpan w:val="2"/>
            <w:noWrap w:val="0"/>
            <w:vAlign w:val="center"/>
          </w:tcPr>
          <w:p>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5"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7" w:type="dxa"/>
            <w:noWrap w:val="0"/>
            <w:vAlign w:val="center"/>
          </w:tcPr>
          <w:p>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lang w:val="en-US" w:eastAsia="zh-CN"/>
        </w:rPr>
        <w:t>备注：本单位2026年没有使用国有资本经营预算拨款安排的支出。</w:t>
      </w:r>
      <w:r>
        <w:rPr>
          <w:rFonts w:hint="eastAsia" w:ascii="仿宋" w:hAnsi="仿宋" w:eastAsia="仿宋"/>
          <w:sz w:val="32"/>
          <w:szCs w:val="32"/>
        </w:rPr>
        <w:t xml:space="preserve"> </w:t>
      </w:r>
    </w:p>
    <w:p>
      <w:pPr>
        <w:rPr>
          <w:rFonts w:hint="default" w:ascii="仿宋" w:hAnsi="仿宋" w:eastAsia="仿宋"/>
          <w:sz w:val="32"/>
          <w:szCs w:val="32"/>
          <w:lang w:val="en-US" w:eastAsia="zh-CN"/>
        </w:rPr>
      </w:pPr>
    </w:p>
    <w:p>
      <w:pPr>
        <w:pStyle w:val="2"/>
        <w:spacing w:before="0" w:after="0"/>
        <w:rPr>
          <w:rFonts w:hint="eastAsia" w:ascii="黑体" w:hAnsi="黑体" w:eastAsia="黑体" w:cs="黑体"/>
          <w:b w:val="0"/>
          <w:bCs/>
          <w:lang w:val="en-US" w:eastAsia="zh-CN"/>
        </w:rPr>
      </w:pPr>
      <w:bookmarkStart w:id="15" w:name="_Toc15771"/>
      <w:r>
        <w:rPr>
          <w:rFonts w:hint="eastAsia"/>
          <w:b w:val="0"/>
          <w:bCs/>
          <w:lang w:val="en-US" w:eastAsia="zh-CN"/>
        </w:rPr>
        <w:t>八、一般公共预算支出经济分类情况表</w:t>
      </w:r>
      <w:bookmarkEnd w:id="15"/>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年度一般公共预算支出经济分类情况表</w:t>
      </w:r>
    </w:p>
    <w:p>
      <w:pPr>
        <w:tabs>
          <w:tab w:val="left" w:pos="7513"/>
        </w:tabs>
        <w:adjustRightInd w:val="0"/>
        <w:snapToGrid w:val="0"/>
        <w:spacing w:line="300" w:lineRule="exact"/>
        <w:jc w:val="righ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150.54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301</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124.07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302</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303</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307</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债务利息及费用支出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309</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310</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311</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312</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313</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对社会保障基金补助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r>
              <w:t>399</w:t>
            </w:r>
          </w:p>
        </w:tc>
        <w:tc>
          <w:tcPr>
            <w:tcW w:w="4135"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26464"/>
      <w:r>
        <w:rPr>
          <w:rFonts w:hint="eastAsia"/>
          <w:b w:val="0"/>
          <w:bCs/>
        </w:rPr>
        <w:t>九、一般公共预算基本支出经济分类情况表</w:t>
      </w:r>
      <w:bookmarkEnd w:id="16"/>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年度一般公共预算基本支出经济分类情况表</w:t>
      </w:r>
    </w:p>
    <w:p>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6"/>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143.54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rPr>
                <w:b/>
              </w:rPr>
              <w:t>301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124.07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基本工资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33.99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津贴补贴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伙食补助费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绩效工资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17.61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机关事业单位基本养老保险缴费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职业年金缴费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职工基本医疗保险缴费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公务员医疗补助缴费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其他社会保障缴费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住房公积金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30114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30199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其他工资福利支出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rPr>
                <w:b/>
              </w:rPr>
              <w:t>302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印刷费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手续费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水费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电费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邮电费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取暖费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物业管理费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差旅费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因公出国（境）费用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维修(护)费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租赁费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会议费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培训费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公务接待费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30218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专用材料费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被装购置费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专用燃料费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劳务费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委托业务费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30228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工会经费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30231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公务用车运行维护费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30239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30240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税金及附加费用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30299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其他商品和服务支出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rPr>
                <w:b/>
              </w:rPr>
              <w:t>303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离休费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退休费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退职（役）费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抚恤金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生活补助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救济费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助学金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奖励金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个人农业生产补贴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代缴社会保险费</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30399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其他对个人和家庭的补助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债务利息及费用支出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国内债务付息</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r>
              <w:t>30702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国外债务付息</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国内债务发行费用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30704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国外债务发行费用</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30919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30921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30922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30999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其他基本建设支出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土地补偿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安置补助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地上附着物和青苗补偿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拆迁补偿</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31019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31021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31022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31099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31101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资本金注入（基本建设）</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31199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31201</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政府投资基金股权投资</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费用补贴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31205</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利息补贴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31206</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31299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对社会保障基金补助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31302</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对社会保险基金补助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31303</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补充全国社会保障基金</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31304</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对机关事业单位职业年金的补助</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39907</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国家赔偿费用支出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39908</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对民间非营利组织和群众性自治组织补贴</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39909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经常性赠与</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39910</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资本性赠与</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r>
              <w:t>39999</w:t>
            </w:r>
          </w:p>
        </w:tc>
        <w:tc>
          <w:tcPr>
            <w:tcW w:w="4138" w:type="dxa"/>
            <w:noWrap w:val="0"/>
            <w:vAlign w:val="center"/>
          </w:tcPr>
          <w:p>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7" w:name="_Toc23124"/>
      <w:r>
        <w:rPr>
          <w:rFonts w:hint="eastAsia"/>
          <w:b w:val="0"/>
          <w:bCs/>
        </w:rPr>
        <w:t>十、一般公共预算“三公”经费支出预算表</w:t>
      </w:r>
      <w:bookmarkEnd w:id="17"/>
    </w:p>
    <w:p>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年度一般公共预算“三公”经费支出预算表</w:t>
      </w:r>
    </w:p>
    <w:p>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4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4"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4264" w:type="dxa"/>
            <w:noWrap w:val="0"/>
            <w:vAlign w:val="center"/>
          </w:tcPr>
          <w:p>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center"/>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合计</w:t>
            </w:r>
          </w:p>
        </w:tc>
        <w:tc>
          <w:tcPr>
            <w:tcW w:w="4264" w:type="dxa"/>
            <w:noWrap w:val="0"/>
            <w:vAlign w:val="center"/>
          </w:tcPr>
          <w:p>
            <w:pPr>
              <w:widowControl w:val="0"/>
              <w:jc w:val="right"/>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1、因公出国（境）费用</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2、公务接待费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3、公务用车购置及运行费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其中：（1）公务用车购置费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pPr>
              <w:widowControl w:val="0"/>
              <w:ind w:firstLine="660" w:firstLineChars="30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（2）公务用车运行费</w:t>
            </w:r>
          </w:p>
        </w:tc>
        <w:tc>
          <w:tcPr>
            <w:tcW w:w="4264" w:type="dxa"/>
            <w:noWrap w:val="0"/>
            <w:vAlign w:val="center"/>
          </w:tcPr>
          <w:p>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bl>
    <w:p>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lang w:val="en-US" w:eastAsia="zh-CN"/>
        </w:rPr>
        <w:t>备注：本单位2026年度没有一般公共预算安排的“三公”经费支出。</w:t>
      </w:r>
      <w:r>
        <w:rPr>
          <w:rFonts w:hint="eastAsia" w:ascii="仿宋" w:hAnsi="仿宋" w:eastAsia="仿宋"/>
          <w:sz w:val="32"/>
          <w:szCs w:val="32"/>
        </w:rPr>
        <w:t xml:space="preserve"> </w:t>
      </w: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jc w:val="center"/>
        <w:rPr>
          <w:rFonts w:ascii="黑体" w:hAnsi="黑体" w:eastAsia="黑体"/>
          <w:sz w:val="36"/>
          <w:szCs w:val="36"/>
          <w:lang w:eastAsia="zh-CN"/>
        </w:rPr>
      </w:pPr>
    </w:p>
    <w:p>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bookmarkStart w:id="18" w:name="_Toc21214"/>
      <w:r>
        <w:rPr>
          <w:rStyle w:val="12"/>
          <w:rFonts w:hint="eastAsia"/>
          <w:b w:val="0"/>
          <w:bCs/>
          <w:sz w:val="56"/>
          <w:szCs w:val="56"/>
        </w:rPr>
        <w:t>第三部分</w:t>
      </w:r>
    </w:p>
    <w:bookmarkEnd w:id="18"/>
    <w:p>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b/>
          <w:sz w:val="56"/>
          <w:szCs w:val="56"/>
        </w:rPr>
        <w:sectPr>
          <w:pgSz w:w="11906" w:h="16838"/>
          <w:pgMar w:top="1440" w:right="1800" w:bottom="1440" w:left="1800" w:header="851" w:footer="992" w:gutter="0"/>
          <w:pgNumType w:fmt="decimal"/>
          <w:cols w:space="720" w:num="1"/>
          <w:docGrid w:type="lines" w:linePitch="312" w:charSpace="0"/>
        </w:sectPr>
      </w:pPr>
      <w:bookmarkStart w:id="19" w:name="_Toc20090"/>
      <w:r>
        <w:rPr>
          <w:rFonts w:hint="eastAsia" w:ascii="黑体" w:hAnsi="黑体" w:eastAsia="黑体" w:cs="黑体"/>
          <w:b w:val="0"/>
          <w:bCs/>
          <w:sz w:val="56"/>
          <w:szCs w:val="56"/>
          <w:lang w:eastAsia="zh-CN"/>
        </w:rPr>
        <w:t>2026</w:t>
      </w:r>
      <w:r>
        <w:rPr>
          <w:rFonts w:ascii="黑体" w:hAnsi="黑体" w:eastAsia="黑体" w:cs="黑体"/>
          <w:b w:val="0"/>
          <w:bCs/>
          <w:sz w:val="56"/>
          <w:szCs w:val="56"/>
        </w:rPr>
        <w:t>年度</w:t>
      </w:r>
      <w:r>
        <w:rPr>
          <w:rFonts w:hint="eastAsia" w:ascii="黑体" w:hAnsi="黑体" w:cs="黑体"/>
          <w:b w:val="0"/>
          <w:bCs/>
          <w:sz w:val="56"/>
          <w:szCs w:val="56"/>
          <w:lang w:val="en-US" w:eastAsia="zh-CN"/>
        </w:rPr>
        <w:t>单位</w:t>
      </w:r>
      <w:r>
        <w:rPr>
          <w:rFonts w:ascii="黑体" w:hAnsi="黑体" w:eastAsia="黑体" w:cs="黑体"/>
          <w:b w:val="0"/>
          <w:bCs/>
          <w:sz w:val="56"/>
          <w:szCs w:val="56"/>
        </w:rPr>
        <w:t>预算情况说明</w:t>
      </w:r>
      <w:bookmarkEnd w:id="19"/>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0" w:name="_Toc24491"/>
      <w:r>
        <w:rPr>
          <w:rFonts w:hint="eastAsia" w:cs="Times New Roman"/>
          <w:b w:val="0"/>
          <w:bCs/>
          <w:kern w:val="44"/>
          <w:sz w:val="32"/>
          <w:szCs w:val="22"/>
          <w:lang w:val="en-US" w:eastAsia="zh-CN" w:bidi="ar-SA"/>
        </w:rPr>
        <w:t>一、预算收支总体情况</w:t>
      </w:r>
      <w:bookmarkEnd w:id="20"/>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ascii="仿宋" w:hAnsi="仿宋" w:eastAsia="仿宋" w:cs="仿宋"/>
          <w:sz w:val="32"/>
        </w:rPr>
        <w:t>按照综合预算的原则，</w:t>
      </w:r>
      <w:r>
        <w:rPr>
          <w:rFonts w:hint="eastAsia" w:ascii="仿宋" w:hAnsi="仿宋" w:eastAsia="仿宋" w:cs="仿宋"/>
          <w:sz w:val="32"/>
          <w:lang w:val="en-US" w:eastAsia="zh-CN"/>
        </w:rPr>
        <w:t>单位</w:t>
      </w:r>
      <w:r>
        <w:rPr>
          <w:rFonts w:ascii="仿宋" w:hAnsi="仿宋" w:eastAsia="仿宋" w:cs="仿宋"/>
          <w:sz w:val="32"/>
        </w:rPr>
        <w:t>所有收入和支出均纳入</w:t>
      </w:r>
      <w:r>
        <w:rPr>
          <w:rFonts w:hint="eastAsia" w:ascii="仿宋" w:hAnsi="仿宋" w:eastAsia="仿宋" w:cs="仿宋"/>
          <w:sz w:val="32"/>
          <w:lang w:val="en-US" w:eastAsia="zh-CN"/>
        </w:rPr>
        <w:t>单位</w:t>
      </w:r>
      <w:r>
        <w:rPr>
          <w:rFonts w:ascii="仿宋" w:hAnsi="仿宋" w:eastAsia="仿宋" w:cs="仿宋"/>
          <w:sz w:val="32"/>
        </w:rPr>
        <w:t>预算管理。</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cs="仿宋"/>
          <w:sz w:val="32"/>
          <w:lang w:val="en-US" w:eastAsia="zh-CN"/>
        </w:rPr>
        <w:t>上杭县博物馆</w:t>
      </w:r>
      <w:r>
        <w:rPr>
          <w:rFonts w:ascii="仿宋" w:hAnsi="仿宋" w:eastAsia="仿宋" w:cs="仿宋"/>
          <w:sz w:val="32"/>
        </w:rPr>
        <w:t>收入预算为</w:t>
      </w:r>
      <w:r>
        <w:rPr>
          <w:rFonts w:hint="eastAsia" w:ascii="仿宋" w:hAnsi="仿宋" w:eastAsia="仿宋" w:cs="仿宋"/>
          <w:sz w:val="32"/>
        </w:rPr>
        <w:t>150.54</w:t>
      </w:r>
      <w:r>
        <w:rPr>
          <w:rFonts w:ascii="仿宋" w:hAnsi="仿宋" w:eastAsia="仿宋" w:cs="仿宋"/>
          <w:sz w:val="32"/>
        </w:rPr>
        <w:t>万元，</w:t>
      </w:r>
      <w:r>
        <w:rPr>
          <w:rFonts w:hint="eastAsia" w:ascii="仿宋" w:hAnsi="仿宋" w:eastAsia="仿宋" w:cs="仿宋_GB2312"/>
          <w:sz w:val="32"/>
          <w:szCs w:val="32"/>
        </w:rPr>
        <w:t>比上年增加15.66万元</w:t>
      </w:r>
      <w:r>
        <w:rPr>
          <w:rFonts w:ascii="仿宋" w:hAnsi="仿宋" w:eastAsia="仿宋" w:cs="仿宋"/>
          <w:sz w:val="32"/>
          <w:u w:val="none" w:color="auto"/>
        </w:rPr>
        <w:t>，主要原因是：</w:t>
      </w:r>
      <w:r>
        <w:rPr>
          <w:rFonts w:hint="eastAsia" w:ascii="仿宋" w:hAnsi="仿宋" w:eastAsia="仿宋" w:cs="仿宋"/>
          <w:sz w:val="32"/>
          <w:u w:val="none" w:color="auto"/>
          <w:lang w:val="en-US" w:eastAsia="zh-CN"/>
        </w:rPr>
        <w:t>人员经费增加</w:t>
      </w:r>
      <w:r>
        <w:rPr>
          <w:rFonts w:hint="eastAsia" w:ascii="仿宋" w:hAnsi="仿宋" w:eastAsia="仿宋" w:cs="仿宋"/>
          <w:sz w:val="32"/>
          <w:lang w:val="en-US" w:eastAsia="zh-CN"/>
        </w:rPr>
        <w:t>。</w:t>
      </w:r>
      <w:r>
        <w:rPr>
          <w:rFonts w:ascii="仿宋" w:hAnsi="仿宋" w:eastAsia="仿宋" w:cs="仿宋"/>
          <w:sz w:val="32"/>
        </w:rPr>
        <w:t>其中：</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textAlignment w:val="auto"/>
        <w:rPr>
          <w:rFonts w:hint="eastAsia" w:ascii="仿宋" w:hAnsi="仿宋" w:eastAsia="仿宋" w:cs="仿宋"/>
          <w:sz w:val="32"/>
          <w:lang w:val="en-US" w:eastAsia="zh-CN"/>
        </w:rPr>
      </w:pPr>
      <w:r>
        <w:rPr>
          <w:rFonts w:ascii="仿宋" w:hAnsi="仿宋" w:eastAsia="仿宋" w:cs="仿宋"/>
          <w:sz w:val="32"/>
        </w:rPr>
        <w:t>相应安排支出预算</w:t>
      </w:r>
      <w:r>
        <w:rPr>
          <w:rFonts w:hint="eastAsia" w:ascii="仿宋" w:hAnsi="仿宋" w:eastAsia="仿宋" w:cs="仿宋"/>
          <w:sz w:val="32"/>
          <w:lang w:val="en-US" w:eastAsia="zh-CN"/>
        </w:rPr>
        <w:t>150.54</w:t>
      </w:r>
      <w:r>
        <w:rPr>
          <w:rFonts w:ascii="仿宋" w:hAnsi="仿宋" w:eastAsia="仿宋" w:cs="仿宋"/>
          <w:sz w:val="32"/>
        </w:rPr>
        <w:t>万元，</w:t>
      </w:r>
      <w:r>
        <w:rPr>
          <w:rFonts w:hint="eastAsia" w:ascii="仿宋" w:hAnsi="仿宋" w:eastAsia="仿宋" w:cs="仿宋"/>
          <w:sz w:val="32"/>
          <w:lang w:val="en-US" w:eastAsia="zh-CN"/>
        </w:rPr>
        <w:t>比上年增加15.66万元</w:t>
      </w:r>
      <w:r>
        <w:rPr>
          <w:rFonts w:hint="eastAsia" w:ascii="仿宋" w:hAnsi="仿宋" w:eastAsia="仿宋" w:cs="仿宋_GB2312"/>
          <w:sz w:val="32"/>
          <w:szCs w:val="32"/>
          <w:highlight w:val="none"/>
          <w:lang w:val="en-US" w:eastAsia="zh-CN"/>
        </w:rPr>
        <w:t>，主要原因</w:t>
      </w:r>
      <w:r>
        <w:rPr>
          <w:rFonts w:ascii="仿宋" w:hAnsi="仿宋" w:eastAsia="仿宋" w:cs="仿宋"/>
          <w:sz w:val="32"/>
          <w:u w:val="none" w:color="auto"/>
        </w:rPr>
        <w:t>是</w:t>
      </w:r>
      <w:r>
        <w:rPr>
          <w:rFonts w:ascii="仿宋" w:hAnsi="仿宋" w:eastAsia="仿宋" w:cs="仿宋"/>
          <w:sz w:val="32"/>
        </w:rPr>
        <w:t>：</w:t>
      </w:r>
      <w:r>
        <w:rPr>
          <w:rFonts w:hint="eastAsia" w:ascii="仿宋" w:hAnsi="仿宋" w:eastAsia="仿宋" w:cs="仿宋_GB2312"/>
          <w:sz w:val="32"/>
          <w:szCs w:val="32"/>
          <w:lang w:val="en-US" w:eastAsia="zh-CN"/>
        </w:rPr>
        <w:t>人员经费增加。</w:t>
      </w:r>
      <w:r>
        <w:rPr>
          <w:rFonts w:ascii="仿宋" w:hAnsi="仿宋" w:eastAsia="仿宋" w:cs="仿宋"/>
          <w:sz w:val="32"/>
        </w:rPr>
        <w:t>其中：</w:t>
      </w:r>
      <w:r>
        <w:rPr>
          <w:rFonts w:hint="eastAsia" w:ascii="仿宋" w:hAnsi="仿宋" w:eastAsia="仿宋" w:cs="仿宋"/>
          <w:sz w:val="32"/>
          <w:lang w:val="en-US" w:eastAsia="zh-CN"/>
        </w:rPr>
        <w:t>基本支出143.54万元、项目支出数7.00万元。</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b w:val="0"/>
          <w:bCs/>
          <w:lang w:val="en-US" w:eastAsia="zh-CN"/>
        </w:rPr>
      </w:pPr>
      <w:bookmarkStart w:id="21" w:name="_Toc17659"/>
      <w:r>
        <w:rPr>
          <w:rFonts w:hint="eastAsia"/>
          <w:b w:val="0"/>
          <w:bCs/>
          <w:lang w:val="en-US" w:eastAsia="zh-CN"/>
        </w:rPr>
        <w:t>二、一般公共预算拨款支出情况</w:t>
      </w:r>
      <w:bookmarkEnd w:id="21"/>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hint="eastAsia" w:ascii="仿宋" w:hAnsi="仿宋" w:eastAsia="仿宋" w:cs="仿宋"/>
          <w:sz w:val="32"/>
          <w:u w:val="none" w:color="auto"/>
          <w:lang w:eastAsia="zh-CN"/>
        </w:rPr>
        <w:t>2026</w:t>
      </w:r>
      <w:r>
        <w:rPr>
          <w:rFonts w:ascii="仿宋" w:hAnsi="仿宋" w:eastAsia="仿宋" w:cs="仿宋"/>
          <w:sz w:val="32"/>
          <w:u w:val="none" w:color="auto"/>
        </w:rPr>
        <w:t>年度一般公共预算拨款支出</w:t>
      </w:r>
      <w:r>
        <w:rPr>
          <w:rFonts w:hint="eastAsia" w:ascii="仿宋" w:hAnsi="仿宋" w:eastAsia="仿宋" w:cs="仿宋"/>
          <w:sz w:val="32"/>
          <w:lang w:val="en-US" w:eastAsia="zh-CN"/>
        </w:rPr>
        <w:t>150.54</w:t>
      </w:r>
      <w:r>
        <w:rPr>
          <w:rFonts w:ascii="仿宋" w:hAnsi="仿宋" w:eastAsia="仿宋" w:cs="仿宋"/>
          <w:sz w:val="32"/>
          <w:u w:val="none" w:color="auto"/>
        </w:rPr>
        <w:t>万元，</w:t>
      </w:r>
      <w:r>
        <w:rPr>
          <w:rFonts w:hint="eastAsia" w:ascii="仿宋" w:hAnsi="仿宋" w:eastAsia="仿宋" w:cs="仿宋"/>
          <w:sz w:val="32"/>
          <w:lang w:val="en-US" w:eastAsia="zh-CN"/>
        </w:rPr>
        <w:t>比上年增加15.66万元，增长11.61%</w:t>
      </w:r>
      <w:r>
        <w:rPr>
          <w:rFonts w:ascii="仿宋" w:hAnsi="仿宋" w:eastAsia="仿宋" w:cs="仿宋"/>
          <w:sz w:val="32"/>
          <w:u w:val="none" w:color="auto"/>
        </w:rPr>
        <w:t>，主要原因是：</w:t>
      </w:r>
      <w:r>
        <w:rPr>
          <w:rFonts w:hint="eastAsia" w:ascii="仿宋" w:hAnsi="仿宋" w:eastAsia="仿宋" w:cs="仿宋"/>
          <w:sz w:val="32"/>
          <w:lang w:val="en-US" w:eastAsia="zh-CN"/>
        </w:rPr>
        <w:t>人员经费增加。</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lang w:val="en-US" w:eastAsia="zh-CN"/>
        </w:rPr>
        <w:t>办公经费。</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人员和办公的必要支出。</w:t>
      </w:r>
      <w:r>
        <w:rPr>
          <w:rFonts w:hint="eastAsia" w:ascii="仿宋" w:hAnsi="仿宋" w:eastAsia="仿宋" w:cs="仿宋_GB2312"/>
          <w:sz w:val="32"/>
          <w:szCs w:val="32"/>
        </w:rPr>
        <w:t>等工作的支出需求，体现在有关支出科目中。</w:t>
      </w:r>
      <w:r>
        <w:rPr>
          <w:rFonts w:ascii="仿宋" w:hAnsi="仿宋" w:eastAsia="仿宋" w:cs="仿宋"/>
          <w:sz w:val="32"/>
          <w:u w:val="none" w:color="auto"/>
        </w:rPr>
        <w:t>其中（按项级科目分类统计）：</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ascii="仿宋" w:hAnsi="仿宋" w:eastAsia="仿宋" w:cs="仿宋"/>
          <w:sz w:val="32"/>
        </w:rPr>
        <w:t>(一) 2070199-其他文化和旅游支出7.00万元。主要用于博物馆游客卫生间拆除改造；值班人员浴室迁移、厨房改造。</w:t>
      </w:r>
      <w:r>
        <w:rPr>
          <w:rFonts w:ascii="仿宋" w:hAnsi="仿宋" w:eastAsia="仿宋" w:cs="仿宋"/>
          <w:sz w:val="32"/>
        </w:rPr>
        <w:br w:type="textWrapping"/>
      </w:r>
      <w:r>
        <w:rPr>
          <w:rFonts w:hint="eastAsia" w:ascii="仿宋" w:hAnsi="仿宋" w:eastAsia="仿宋" w:cs="仿宋"/>
          <w:sz w:val="32"/>
          <w:lang w:val="en-US" w:eastAsia="zh-CN"/>
        </w:rPr>
        <w:t xml:space="preserve">   </w:t>
      </w:r>
      <w:r>
        <w:rPr>
          <w:rFonts w:ascii="仿宋" w:hAnsi="仿宋" w:eastAsia="仿宋" w:cs="仿宋"/>
          <w:sz w:val="32"/>
        </w:rPr>
        <w:t>(二) 2070205-博物馆143.54万元。主要用于人员经费支出支出和公用经费支出。</w:t>
      </w:r>
      <w:r>
        <w:rPr>
          <w:rFonts w:ascii="仿宋" w:hAnsi="仿宋" w:eastAsia="仿宋" w:cs="仿宋"/>
          <w:sz w:val="32"/>
        </w:rPr>
        <w:br w:type="textWrapping"/>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eastAsia"/>
          <w:b w:val="0"/>
          <w:bCs/>
          <w:lang w:val="en-US" w:eastAsia="zh-CN"/>
        </w:rPr>
      </w:pPr>
      <w:bookmarkStart w:id="22" w:name="_Toc7059"/>
      <w:r>
        <w:rPr>
          <w:rFonts w:hint="eastAsia"/>
          <w:b w:val="0"/>
          <w:bCs/>
          <w:lang w:val="en-US" w:eastAsia="zh-CN"/>
        </w:rPr>
        <w:t>三、政府性基金预算拨款支出情况</w:t>
      </w:r>
      <w:bookmarkEnd w:id="22"/>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本单位2026年度没有使用政府性基金预算拨款安排的支出。</w:t>
      </w:r>
    </w:p>
    <w:p>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3" w:name="_Toc20641"/>
      <w:r>
        <w:rPr>
          <w:rFonts w:hint="eastAsia" w:cs="Times New Roman"/>
          <w:b w:val="0"/>
          <w:bCs/>
          <w:kern w:val="44"/>
          <w:sz w:val="32"/>
          <w:szCs w:val="22"/>
          <w:lang w:val="en-US" w:eastAsia="zh-CN" w:bidi="ar-SA"/>
        </w:rPr>
        <w:t>四、国有资本经营预算拨款支出情况</w:t>
      </w:r>
      <w:bookmarkEnd w:id="23"/>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本单位2026年度没有使用国有资本经营预算拨款安排的支出。</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4" w:name="_Toc24996"/>
      <w:r>
        <w:rPr>
          <w:rFonts w:hint="eastAsia"/>
          <w:b w:val="0"/>
          <w:bCs/>
        </w:rPr>
        <w:t>五、一般公共预算基本支出情况</w:t>
      </w:r>
      <w:bookmarkEnd w:id="24"/>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cs="仿宋_GB2312"/>
          <w:sz w:val="32"/>
          <w:szCs w:val="32"/>
        </w:rPr>
      </w:pPr>
      <w:r>
        <w:rPr>
          <w:rFonts w:hint="eastAsia" w:ascii="仿宋" w:hAnsi="仿宋" w:eastAsia="仿宋" w:cs="仿宋"/>
          <w:sz w:val="32"/>
          <w:lang w:eastAsia="zh-CN"/>
        </w:rPr>
        <w:t>2026</w:t>
      </w:r>
      <w:r>
        <w:rPr>
          <w:rFonts w:ascii="仿宋" w:hAnsi="仿宋" w:eastAsia="仿宋" w:cs="仿宋"/>
          <w:sz w:val="32"/>
        </w:rPr>
        <w:t>年度一般公共预算拨款基本支出</w:t>
      </w:r>
      <w:r>
        <w:rPr>
          <w:rFonts w:hint="eastAsia" w:ascii="仿宋" w:hAnsi="仿宋" w:eastAsia="仿宋" w:cs="仿宋"/>
          <w:sz w:val="32"/>
          <w:lang w:val="en-US" w:eastAsia="zh-CN"/>
        </w:rPr>
        <w:t>143.54</w:t>
      </w:r>
      <w:r>
        <w:rPr>
          <w:rFonts w:ascii="仿宋" w:hAnsi="仿宋" w:eastAsia="仿宋" w:cs="仿宋"/>
          <w:sz w:val="32"/>
        </w:rPr>
        <w:t>万元，其中：</w:t>
      </w:r>
    </w:p>
    <w:p>
      <w:pPr>
        <w:keepNext w:val="0"/>
        <w:keepLines w:val="0"/>
        <w:pageBreakBefore w:val="0"/>
        <w:widowControl w:val="0"/>
        <w:numPr>
          <w:ilvl w:val="0"/>
          <w:numId w:val="0"/>
        </w:numPr>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kern w:val="2"/>
          <w:sz w:val="32"/>
          <w:szCs w:val="22"/>
          <w:lang w:val="en-US" w:eastAsia="zh-CN" w:bidi="ar-SA"/>
        </w:rPr>
        <w:t>（一）</w:t>
      </w:r>
      <w:r>
        <w:rPr>
          <w:rFonts w:hint="eastAsia" w:ascii="仿宋" w:hAnsi="仿宋" w:eastAsia="仿宋" w:cs="仿宋"/>
          <w:sz w:val="32"/>
          <w:lang w:val="en-US" w:eastAsia="zh-CN"/>
        </w:rPr>
        <w:t>人员经费</w:t>
      </w:r>
      <w:r>
        <w:rPr>
          <w:rFonts w:ascii="仿宋" w:hAnsi="仿宋" w:eastAsia="仿宋" w:cs="仿宋"/>
          <w:sz w:val="32"/>
          <w:u w:color="auto"/>
        </w:rPr>
        <w:t>136.84万元。主要包括：</w:t>
      </w:r>
      <w:r>
        <w:rPr>
          <w:rFonts w:hint="eastAsia" w:ascii="仿宋" w:hAnsi="仿宋" w:eastAsia="仿宋" w:cs="仿宋_GB2312"/>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（二）公用经费</w:t>
      </w:r>
      <w:r>
        <w:rPr>
          <w:rFonts w:ascii="仿宋" w:hAnsi="仿宋" w:eastAsia="仿宋" w:cs="仿宋"/>
          <w:sz w:val="32"/>
          <w:u w:color="auto"/>
        </w:rPr>
        <w:t>6.70万元。主要包括：</w:t>
      </w:r>
      <w:r>
        <w:rPr>
          <w:rFonts w:hint="eastAsia" w:ascii="仿宋" w:hAnsi="仿宋" w:eastAsia="仿宋" w:cs="仿宋_GB2312"/>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5" w:name="_Toc19976"/>
      <w:r>
        <w:rPr>
          <w:rFonts w:hint="eastAsia"/>
          <w:b w:val="0"/>
          <w:bCs/>
        </w:rPr>
        <w:t>六、一般公共预算“三公”经费支出情况</w:t>
      </w:r>
      <w:bookmarkEnd w:id="25"/>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（一）因公出国（境）经费</w:t>
      </w:r>
    </w:p>
    <w:p>
      <w:pPr>
        <w:widowControl/>
        <w:wordWrap w:val="0"/>
        <w:adjustRightInd w:val="0"/>
        <w:snapToGrid w:val="0"/>
        <w:spacing w:line="600" w:lineRule="exact"/>
        <w:ind w:firstLine="658"/>
        <w:jc w:val="left"/>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lang w:eastAsia="zh-CN"/>
        </w:rPr>
        <w:t>。</w:t>
      </w:r>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（二）公务接待费</w:t>
      </w:r>
    </w:p>
    <w:p>
      <w:pPr>
        <w:keepNext w:val="0"/>
        <w:keepLines w:val="0"/>
        <w:pageBreakBefore w:val="0"/>
        <w:widowControl/>
        <w:kinsoku/>
        <w:wordWrap w:val="0"/>
        <w:overflowPunct/>
        <w:topLinePunct w:val="0"/>
        <w:autoSpaceDE/>
        <w:autoSpaceDN/>
        <w:bidi w:val="0"/>
        <w:adjustRightInd w:val="0"/>
        <w:snapToGrid w:val="0"/>
        <w:spacing w:line="600" w:lineRule="exact"/>
        <w:ind w:firstLine="658"/>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rPr>
        <w:t>。</w:t>
      </w:r>
    </w:p>
    <w:p>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（三）公务用车购置及运行费</w:t>
      </w:r>
    </w:p>
    <w:p>
      <w:pPr>
        <w:widowControl/>
        <w:wordWrap w:val="0"/>
        <w:adjustRightInd w:val="0"/>
        <w:snapToGrid w:val="0"/>
        <w:spacing w:line="600" w:lineRule="exact"/>
        <w:ind w:firstLine="658"/>
        <w:jc w:val="left"/>
        <w:rPr>
          <w:rFonts w:hint="default" w:ascii="仿宋" w:hAnsi="仿宋" w:eastAsia="仿宋" w:cs="仿宋_GB2312"/>
          <w:kern w:val="0"/>
          <w:sz w:val="32"/>
          <w:szCs w:val="32"/>
          <w:lang w:val="en-US"/>
        </w:rPr>
      </w:pPr>
      <w:r>
        <w:rPr>
          <w:rFonts w:hint="eastAsia" w:ascii="仿宋" w:hAnsi="仿宋" w:eastAsia="仿宋" w:cs="仿宋"/>
          <w:sz w:val="32"/>
          <w:lang w:eastAsia="zh-CN"/>
        </w:rPr>
        <w:t>2026</w:t>
      </w:r>
      <w:r>
        <w:rPr>
          <w:rFonts w:ascii="仿宋" w:hAnsi="仿宋" w:eastAsia="仿宋" w:cs="仿宋"/>
          <w:sz w:val="32"/>
        </w:rPr>
        <w:t>年预算安排</w:t>
      </w:r>
      <w:r>
        <w:rPr>
          <w:rFonts w:hint="eastAsia" w:ascii="仿宋" w:hAnsi="仿宋" w:eastAsia="仿宋" w:cs="仿宋"/>
          <w:sz w:val="32"/>
          <w:lang w:val="en-US" w:eastAsia="zh-CN"/>
        </w:rPr>
        <w:t>0</w:t>
      </w:r>
      <w:r>
        <w:rPr>
          <w:rFonts w:ascii="仿宋" w:hAnsi="仿宋" w:eastAsia="仿宋" w:cs="仿宋"/>
          <w:sz w:val="32"/>
        </w:rPr>
        <w:t>万元，其中：公务用车运行费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；公务用车购置费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w:t>
      </w:r>
    </w:p>
    <w:p>
      <w:pPr>
        <w:pStyle w:val="2"/>
        <w:spacing w:before="0" w:after="0"/>
        <w:rPr>
          <w:rFonts w:hint="eastAsia"/>
          <w:b w:val="0"/>
          <w:bCs/>
        </w:rPr>
        <w:sectPr>
          <w:pgSz w:w="11906" w:h="16838"/>
          <w:pgMar w:top="1440" w:right="1803" w:bottom="1440" w:left="1803" w:header="851" w:footer="992" w:gutter="0"/>
          <w:pgNumType w:fmt="decimal"/>
          <w:cols w:space="720" w:num="1"/>
          <w:rtlGutter w:val="0"/>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6" w:name="_Toc23234"/>
      <w:r>
        <w:rPr>
          <w:rFonts w:hint="eastAsia"/>
          <w:b w:val="0"/>
          <w:bCs/>
        </w:rPr>
        <w:t>七、预算绩效目标情况</w:t>
      </w:r>
      <w:bookmarkEnd w:id="26"/>
    </w:p>
    <w:p>
      <w:pPr>
        <w:spacing w:line="590" w:lineRule="exact"/>
        <w:ind w:firstLine="630" w:firstLineChars="196"/>
        <w:rPr>
          <w:rFonts w:ascii="黑体" w:hAnsi="黑体" w:eastAsia="黑体" w:cs="黑体"/>
          <w:b/>
          <w:sz w:val="32"/>
          <w:szCs w:val="32"/>
        </w:rPr>
      </w:pPr>
      <w:r>
        <w:rPr>
          <w:rFonts w:hint="eastAsia" w:ascii="楷体" w:hAnsi="楷体" w:eastAsia="楷体" w:cstheme="minorBidi"/>
          <w:b/>
          <w:sz w:val="32"/>
          <w:szCs w:val="32"/>
        </w:rPr>
        <w:t>（一）绩效目标设置情况</w:t>
      </w:r>
    </w:p>
    <w:p>
      <w:pPr>
        <w:wordWrap w:val="0"/>
        <w:ind w:firstLine="736" w:firstLineChars="230"/>
        <w:rPr>
          <w:rFonts w:ascii="仿宋" w:hAnsi="仿宋" w:eastAsia="仿宋" w:cs="仿宋"/>
          <w:sz w:val="32"/>
        </w:rPr>
      </w:pPr>
      <w:r>
        <w:rPr>
          <w:rFonts w:hint="eastAsia" w:ascii="仿宋" w:hAnsi="仿宋" w:eastAsia="仿宋" w:cs="仿宋_GB2312"/>
          <w:kern w:val="0"/>
          <w:sz w:val="32"/>
          <w:szCs w:val="32"/>
        </w:rPr>
        <w:t>2026年，</w:t>
      </w:r>
      <w:r>
        <w:rPr>
          <w:rFonts w:hint="eastAsia" w:ascii="仿宋" w:hAnsi="仿宋" w:eastAsia="仿宋" w:cs="仿宋_GB2312"/>
          <w:kern w:val="0"/>
          <w:sz w:val="32"/>
          <w:szCs w:val="32"/>
          <w:lang w:val="en-US" w:eastAsia="zh-CN"/>
        </w:rPr>
        <w:t>上杭县博物馆</w:t>
      </w:r>
      <w:r>
        <w:rPr>
          <w:rFonts w:hint="eastAsia" w:ascii="仿宋" w:hAnsi="仿宋" w:eastAsia="仿宋" w:cs="仿宋_GB2312"/>
          <w:kern w:val="0"/>
          <w:sz w:val="32"/>
          <w:szCs w:val="32"/>
        </w:rPr>
        <w:t>单位按照全面实施预算绩效管理的要求，编制绩效目标并公开。上杭县</w:t>
      </w:r>
      <w:r>
        <w:rPr>
          <w:rFonts w:hint="eastAsia" w:ascii="仿宋" w:hAnsi="仿宋" w:eastAsia="仿宋" w:cs="仿宋_GB2312"/>
          <w:kern w:val="0"/>
          <w:sz w:val="32"/>
          <w:szCs w:val="32"/>
          <w:lang w:val="en-US" w:eastAsia="zh-CN"/>
        </w:rPr>
        <w:t>博物馆</w:t>
      </w:r>
      <w:r>
        <w:rPr>
          <w:rFonts w:hint="eastAsia" w:ascii="仿宋" w:hAnsi="仿宋" w:eastAsia="仿宋" w:cs="仿宋_GB2312"/>
          <w:kern w:val="0"/>
          <w:sz w:val="32"/>
          <w:szCs w:val="32"/>
        </w:rPr>
        <w:t>共设置1个项目绩效目标，共涉及财政拨款资金</w:t>
      </w:r>
      <w:r>
        <w:rPr>
          <w:rFonts w:hint="eastAsia" w:ascii="仿宋" w:hAnsi="仿宋" w:eastAsia="仿宋" w:cs="仿宋_GB2312"/>
          <w:kern w:val="0"/>
          <w:sz w:val="32"/>
          <w:szCs w:val="32"/>
          <w:lang w:val="en-US" w:eastAsia="zh-CN"/>
        </w:rPr>
        <w:t>7</w:t>
      </w:r>
      <w:r>
        <w:rPr>
          <w:rFonts w:hint="eastAsia" w:ascii="仿宋" w:hAnsi="仿宋" w:eastAsia="仿宋" w:cs="仿宋_GB2312"/>
          <w:kern w:val="0"/>
          <w:sz w:val="32"/>
          <w:szCs w:val="32"/>
        </w:rPr>
        <w:t>万元。</w:t>
      </w:r>
    </w:p>
    <w:p>
      <w:pPr>
        <w:spacing w:line="590" w:lineRule="exact"/>
        <w:ind w:firstLine="630" w:firstLineChars="196"/>
        <w:rPr>
          <w:rFonts w:hint="eastAsia" w:ascii="楷体" w:hAnsi="楷体" w:eastAsia="楷体" w:cstheme="minorBidi"/>
          <w:b/>
          <w:sz w:val="32"/>
          <w:szCs w:val="32"/>
          <w:lang w:val="en-US" w:eastAsia="zh-CN" w:bidi="ar-SA"/>
        </w:rPr>
      </w:pPr>
      <w:r>
        <w:rPr>
          <w:rFonts w:hint="eastAsia" w:ascii="楷体" w:hAnsi="楷体" w:eastAsia="楷体" w:cstheme="minorBidi"/>
          <w:b/>
          <w:sz w:val="32"/>
          <w:szCs w:val="32"/>
          <w:lang w:val="en-US" w:eastAsia="zh-CN" w:bidi="ar-SA"/>
        </w:rPr>
        <w:t>（二）绩效目标表及说明</w:t>
      </w:r>
    </w:p>
    <w:p>
      <w:pPr>
        <w:bidi w:val="0"/>
        <w:ind w:left="420" w:leftChars="0" w:firstLine="420" w:firstLineChars="0"/>
        <w:rPr>
          <w:rFonts w:hint="eastAsia"/>
          <w:lang w:val="en-US" w:eastAsia="zh-CN"/>
        </w:rPr>
      </w:pPr>
      <w:r>
        <w:rPr>
          <w:rFonts w:hint="eastAsia" w:ascii="仿宋" w:hAnsi="仿宋" w:eastAsia="仿宋" w:cs="仿宋"/>
          <w:b/>
          <w:bCs/>
          <w:sz w:val="32"/>
          <w:szCs w:val="32"/>
          <w:lang w:val="en-US" w:eastAsia="zh-CN"/>
        </w:rPr>
        <w:t>1.项目支出绩效目标表</w:t>
      </w:r>
    </w:p>
    <w:tbl>
      <w:tblPr>
        <w:tblStyle w:val="8"/>
        <w:tblpPr w:leftFromText="180" w:rightFromText="180" w:vertAnchor="text" w:horzAnchor="page" w:tblpX="1442" w:tblpY="95"/>
        <w:tblOverlap w:val="never"/>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2"/>
        <w:gridCol w:w="1904"/>
        <w:gridCol w:w="1904"/>
        <w:gridCol w:w="1904"/>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520" w:type="dxa"/>
            <w:gridSpan w:val="5"/>
            <w:noWrap/>
          </w:tcPr>
          <w:p>
            <w:pPr>
              <w:jc w:val="center"/>
            </w:pPr>
            <w:r>
              <w:rPr>
                <w:rFonts w:hint="eastAsia" w:ascii="黑体" w:hAnsi="黑体" w:eastAsia="黑体" w:cs="黑体"/>
                <w:sz w:val="32"/>
                <w:szCs w:val="32"/>
                <w:lang w:val="en-US" w:eastAsia="zh-CN"/>
              </w:rPr>
              <w:t>临江楼卫生间改造资金</w:t>
            </w:r>
            <w:r>
              <w:rPr>
                <w:rFonts w:hint="eastAsia" w:ascii="黑体" w:hAnsi="黑体" w:eastAsia="黑体" w:cs="黑体"/>
                <w:sz w:val="32"/>
                <w:szCs w:val="32"/>
              </w:rPr>
              <w:t>绩效目标表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restart"/>
            <w:noWrap/>
            <w:vAlign w:val="center"/>
          </w:tcPr>
          <w:p>
            <w:pPr>
              <w:jc w:val="center"/>
            </w:pPr>
            <w:r>
              <w:rPr>
                <w:rFonts w:ascii="宋体"/>
                <w:sz w:val="22"/>
              </w:rPr>
              <w:t>项目资金（万元）</w:t>
            </w:r>
          </w:p>
        </w:tc>
        <w:tc>
          <w:tcPr>
            <w:tcW w:w="3808" w:type="dxa"/>
            <w:gridSpan w:val="2"/>
            <w:noWrap/>
            <w:vAlign w:val="center"/>
          </w:tcPr>
          <w:p>
            <w:pPr>
              <w:jc w:val="left"/>
            </w:pPr>
            <w:r>
              <w:rPr>
                <w:rFonts w:ascii="宋体"/>
                <w:sz w:val="22"/>
              </w:rPr>
              <w:t>资金总额：</w:t>
            </w:r>
          </w:p>
        </w:tc>
        <w:tc>
          <w:tcPr>
            <w:tcW w:w="3810" w:type="dxa"/>
            <w:gridSpan w:val="2"/>
            <w:noWrap/>
            <w:vAlign w:val="center"/>
          </w:tcPr>
          <w:p>
            <w:pPr>
              <w:jc w:val="center"/>
            </w:pPr>
            <w:r>
              <w:rPr>
                <w:rFonts w:hint="eastAsia" w:ascii="宋体"/>
                <w:sz w:val="22"/>
                <w:lang w:val="en-US" w:eastAsia="zh-CN"/>
              </w:rPr>
              <w:t>7</w:t>
            </w:r>
            <w:r>
              <w:rPr>
                <w:rFonts w:ascii="宋体"/>
                <w:sz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continue"/>
            <w:noWrap/>
            <w:vAlign w:val="center"/>
          </w:tcPr>
          <w:p>
            <w:pPr>
              <w:jc w:val="center"/>
            </w:pPr>
          </w:p>
        </w:tc>
        <w:tc>
          <w:tcPr>
            <w:tcW w:w="3808" w:type="dxa"/>
            <w:gridSpan w:val="2"/>
            <w:noWrap/>
            <w:vAlign w:val="center"/>
          </w:tcPr>
          <w:p>
            <w:pPr>
              <w:jc w:val="left"/>
            </w:pPr>
            <w:r>
              <w:rPr>
                <w:rFonts w:ascii="宋体"/>
                <w:sz w:val="22"/>
              </w:rPr>
              <w:t>财政拨款：</w:t>
            </w:r>
          </w:p>
        </w:tc>
        <w:tc>
          <w:tcPr>
            <w:tcW w:w="3810" w:type="dxa"/>
            <w:gridSpan w:val="2"/>
            <w:noWrap/>
            <w:vAlign w:val="center"/>
          </w:tcPr>
          <w:p>
            <w:pPr>
              <w:jc w:val="center"/>
            </w:pPr>
            <w:r>
              <w:rPr>
                <w:rFonts w:hint="eastAsia" w:ascii="宋体"/>
                <w:sz w:val="22"/>
                <w:lang w:val="en-US" w:eastAsia="zh-CN"/>
              </w:rPr>
              <w:t>7</w:t>
            </w:r>
            <w:r>
              <w:rPr>
                <w:rFonts w:ascii="宋体"/>
                <w:sz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continue"/>
            <w:noWrap/>
            <w:vAlign w:val="center"/>
          </w:tcPr>
          <w:p>
            <w:pPr>
              <w:jc w:val="center"/>
            </w:pPr>
          </w:p>
        </w:tc>
        <w:tc>
          <w:tcPr>
            <w:tcW w:w="3808" w:type="dxa"/>
            <w:gridSpan w:val="2"/>
            <w:noWrap/>
            <w:vAlign w:val="center"/>
          </w:tcPr>
          <w:p>
            <w:pPr>
              <w:jc w:val="center"/>
            </w:pPr>
            <w:r>
              <w:rPr>
                <w:rFonts w:ascii="宋体"/>
                <w:sz w:val="22"/>
              </w:rPr>
              <w:t>其中：当年财政拨款：</w:t>
            </w:r>
          </w:p>
        </w:tc>
        <w:tc>
          <w:tcPr>
            <w:tcW w:w="3810" w:type="dxa"/>
            <w:gridSpan w:val="2"/>
            <w:noWrap/>
            <w:vAlign w:val="center"/>
          </w:tcPr>
          <w:p>
            <w:pPr>
              <w:jc w:val="center"/>
            </w:pPr>
            <w:r>
              <w:rPr>
                <w:rFonts w:hint="eastAsia" w:ascii="宋体"/>
                <w:sz w:val="22"/>
                <w:lang w:val="en-US" w:eastAsia="zh-CN"/>
              </w:rPr>
              <w:t>7</w:t>
            </w:r>
            <w:r>
              <w:rPr>
                <w:rFonts w:ascii="宋体"/>
                <w:sz w:val="22"/>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continue"/>
            <w:noWrap/>
            <w:vAlign w:val="center"/>
          </w:tcPr>
          <w:p>
            <w:pPr>
              <w:jc w:val="center"/>
            </w:pPr>
          </w:p>
        </w:tc>
        <w:tc>
          <w:tcPr>
            <w:tcW w:w="3808" w:type="dxa"/>
            <w:gridSpan w:val="2"/>
            <w:noWrap/>
            <w:vAlign w:val="center"/>
          </w:tcPr>
          <w:p>
            <w:pPr>
              <w:jc w:val="center"/>
            </w:pPr>
            <w:r>
              <w:rPr>
                <w:rFonts w:ascii="宋体"/>
                <w:sz w:val="22"/>
              </w:rPr>
              <w:t>上年结转结余财政拨款：</w:t>
            </w:r>
          </w:p>
        </w:tc>
        <w:tc>
          <w:tcPr>
            <w:tcW w:w="3810" w:type="dxa"/>
            <w:gridSpan w:val="2"/>
            <w:noWrap/>
            <w:vAlign w:val="center"/>
          </w:tcPr>
          <w:p>
            <w:pPr>
              <w:jc w:val="center"/>
            </w:pPr>
            <w:r>
              <w:rPr>
                <w:rFonts w:ascii="宋体"/>
                <w:sz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continue"/>
            <w:noWrap/>
            <w:vAlign w:val="center"/>
          </w:tcPr>
          <w:p>
            <w:pPr>
              <w:jc w:val="center"/>
            </w:pPr>
          </w:p>
        </w:tc>
        <w:tc>
          <w:tcPr>
            <w:tcW w:w="3808" w:type="dxa"/>
            <w:gridSpan w:val="2"/>
            <w:noWrap/>
            <w:vAlign w:val="center"/>
          </w:tcPr>
          <w:p>
            <w:pPr>
              <w:jc w:val="left"/>
            </w:pPr>
            <w:r>
              <w:rPr>
                <w:rFonts w:ascii="宋体"/>
                <w:sz w:val="22"/>
              </w:rPr>
              <w:t>其他资金：</w:t>
            </w:r>
          </w:p>
        </w:tc>
        <w:tc>
          <w:tcPr>
            <w:tcW w:w="3810" w:type="dxa"/>
            <w:gridSpan w:val="2"/>
            <w:noWrap/>
            <w:vAlign w:val="center"/>
          </w:tcPr>
          <w:p>
            <w:pPr>
              <w:jc w:val="center"/>
            </w:pPr>
            <w:r>
              <w:rPr>
                <w:rFonts w:ascii="宋体"/>
                <w:sz w:val="22"/>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1902" w:type="dxa"/>
            <w:noWrap/>
            <w:vAlign w:val="center"/>
          </w:tcPr>
          <w:p>
            <w:pPr>
              <w:jc w:val="center"/>
            </w:pPr>
            <w:r>
              <w:rPr>
                <w:rFonts w:ascii="宋体"/>
                <w:sz w:val="22"/>
              </w:rPr>
              <w:t>总体目标</w:t>
            </w:r>
          </w:p>
        </w:tc>
        <w:tc>
          <w:tcPr>
            <w:tcW w:w="7618" w:type="dxa"/>
            <w:gridSpan w:val="4"/>
            <w:noWrap/>
            <w:vAlign w:val="center"/>
          </w:tcPr>
          <w:p>
            <w:pPr>
              <w:jc w:val="left"/>
            </w:pPr>
            <w:r>
              <w:rPr>
                <w:rFonts w:hint="eastAsia" w:ascii="宋体"/>
                <w:sz w:val="22"/>
                <w:lang w:val="en-US" w:eastAsia="zh-CN"/>
              </w:rPr>
              <w:t>符合《上杭县革命文物保护利用工程实施方案》《上杭县全域旅游发展总体规划》《国保临江楼保护规划（2021-2035）》等文件精神。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restart"/>
            <w:noWrap/>
            <w:vAlign w:val="center"/>
          </w:tcPr>
          <w:p>
            <w:r>
              <w:rPr>
                <w:rFonts w:ascii="宋体"/>
                <w:sz w:val="22"/>
              </w:rPr>
              <w:t>绩效目标指标</w:t>
            </w:r>
          </w:p>
        </w:tc>
        <w:tc>
          <w:tcPr>
            <w:tcW w:w="1904" w:type="dxa"/>
            <w:noWrap/>
            <w:vAlign w:val="center"/>
          </w:tcPr>
          <w:p>
            <w:r>
              <w:rPr>
                <w:rFonts w:ascii="宋体"/>
                <w:sz w:val="22"/>
              </w:rPr>
              <w:t>一级指标</w:t>
            </w:r>
          </w:p>
        </w:tc>
        <w:tc>
          <w:tcPr>
            <w:tcW w:w="1904" w:type="dxa"/>
            <w:noWrap/>
            <w:vAlign w:val="center"/>
          </w:tcPr>
          <w:p>
            <w:r>
              <w:rPr>
                <w:rFonts w:ascii="宋体"/>
                <w:sz w:val="22"/>
              </w:rPr>
              <w:t>二级指标</w:t>
            </w:r>
          </w:p>
        </w:tc>
        <w:tc>
          <w:tcPr>
            <w:tcW w:w="1904" w:type="dxa"/>
            <w:noWrap/>
            <w:vAlign w:val="center"/>
          </w:tcPr>
          <w:p>
            <w:r>
              <w:rPr>
                <w:rFonts w:ascii="宋体"/>
                <w:sz w:val="22"/>
              </w:rPr>
              <w:t>三级指标</w:t>
            </w:r>
          </w:p>
        </w:tc>
        <w:tc>
          <w:tcPr>
            <w:tcW w:w="1906" w:type="dxa"/>
            <w:noWrap/>
            <w:vAlign w:val="center"/>
          </w:tcPr>
          <w:p>
            <w:r>
              <w:rPr>
                <w:rFonts w:ascii="宋体"/>
                <w:sz w:val="22"/>
              </w:rPr>
              <w:t>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continue"/>
            <w:noWrap/>
            <w:vAlign w:val="center"/>
          </w:tcP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b/>
                <w:i w:val="0"/>
                <w:color w:val="000000"/>
                <w:kern w:val="0"/>
                <w:sz w:val="18"/>
                <w:szCs w:val="18"/>
                <w:u w:val="none"/>
                <w:lang w:val="en-US" w:eastAsia="zh-CN" w:bidi="ar"/>
              </w:rPr>
              <w:t>成本指标</w:t>
            </w: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b/>
                <w:i w:val="0"/>
                <w:color w:val="000000"/>
                <w:kern w:val="0"/>
                <w:sz w:val="18"/>
                <w:szCs w:val="18"/>
                <w:u w:val="none"/>
                <w:lang w:val="en-US" w:eastAsia="zh-CN" w:bidi="ar"/>
              </w:rPr>
              <w:t>经济成本指标</w:t>
            </w: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18"/>
                <w:szCs w:val="18"/>
                <w:u w:val="none"/>
                <w:lang w:val="en-US" w:eastAsia="zh-CN" w:bidi="ar"/>
              </w:rPr>
              <w:t>资金总投入</w:t>
            </w:r>
          </w:p>
        </w:tc>
        <w:tc>
          <w:tcPr>
            <w:tcW w:w="1906"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7</w:t>
            </w:r>
            <w:r>
              <w:rPr>
                <w:rFonts w:hint="eastAsia" w:ascii="宋体" w:hAnsi="宋体" w:cs="宋体"/>
                <w:i w:val="0"/>
                <w:color w:val="000000"/>
                <w:kern w:val="0"/>
                <w:sz w:val="18"/>
                <w:szCs w:val="18"/>
                <w:u w:val="none"/>
                <w:lang w:val="en-US" w:eastAsia="zh-CN"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continue"/>
            <w:noWrap/>
            <w:vAlign w:val="center"/>
          </w:tcPr>
          <w:p/>
        </w:tc>
        <w:tc>
          <w:tcPr>
            <w:tcW w:w="1904" w:type="dxa"/>
            <w:vMerge w:val="restart"/>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b/>
                <w:i w:val="0"/>
                <w:color w:val="000000"/>
                <w:kern w:val="0"/>
                <w:sz w:val="18"/>
                <w:szCs w:val="18"/>
                <w:u w:val="none"/>
                <w:lang w:val="en-US" w:eastAsia="zh-CN" w:bidi="ar"/>
              </w:rPr>
              <w:t>产出指标</w:t>
            </w: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b/>
                <w:i w:val="0"/>
                <w:color w:val="000000"/>
                <w:kern w:val="0"/>
                <w:sz w:val="18"/>
                <w:szCs w:val="18"/>
                <w:u w:val="none"/>
                <w:lang w:val="en-US" w:eastAsia="zh-CN" w:bidi="ar"/>
              </w:rPr>
              <w:t>数量指标</w:t>
            </w: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18"/>
                <w:szCs w:val="18"/>
                <w:u w:val="none"/>
                <w:lang w:val="en-US" w:eastAsia="zh-CN" w:bidi="ar"/>
              </w:rPr>
              <w:t>博物馆参观人数</w:t>
            </w:r>
          </w:p>
        </w:tc>
        <w:tc>
          <w:tcPr>
            <w:tcW w:w="1906"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color w:val="000000"/>
                <w:sz w:val="22"/>
              </w:rPr>
              <w:t>≥</w:t>
            </w:r>
            <w:r>
              <w:rPr>
                <w:rFonts w:hint="eastAsia" w:ascii="宋体" w:hAnsi="宋体" w:eastAsia="宋体" w:cs="宋体"/>
                <w:i w:val="0"/>
                <w:color w:val="000000"/>
                <w:kern w:val="0"/>
                <w:sz w:val="18"/>
                <w:szCs w:val="18"/>
                <w:u w:val="none"/>
                <w:lang w:val="en-US" w:eastAsia="zh-CN" w:bidi="ar"/>
              </w:rPr>
              <w:t>20</w:t>
            </w:r>
            <w:r>
              <w:rPr>
                <w:rFonts w:hint="eastAsia" w:ascii="宋体" w:hAnsi="宋体" w:cs="宋体"/>
                <w:i w:val="0"/>
                <w:color w:val="000000"/>
                <w:kern w:val="0"/>
                <w:sz w:val="18"/>
                <w:szCs w:val="18"/>
                <w:u w:val="none"/>
                <w:lang w:val="en-US" w:eastAsia="zh-CN"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continue"/>
            <w:noWrap/>
            <w:vAlign w:val="center"/>
          </w:tcPr>
          <w:p/>
        </w:tc>
        <w:tc>
          <w:tcPr>
            <w:tcW w:w="1904" w:type="dxa"/>
            <w:vMerge w:val="continue"/>
            <w:noWrap/>
            <w:vAlign w:val="center"/>
          </w:tcPr>
          <w:p>
            <w:pPr>
              <w:jc w:val="center"/>
            </w:pPr>
          </w:p>
        </w:tc>
        <w:tc>
          <w:tcPr>
            <w:tcW w:w="1904" w:type="dxa"/>
            <w:noWrap/>
            <w:vAlign w:val="center"/>
          </w:tcPr>
          <w:p>
            <w:pPr>
              <w:keepNext w:val="0"/>
              <w:keepLines w:val="0"/>
              <w:widowControl/>
              <w:suppressLineNumbers w:val="0"/>
              <w:jc w:val="center"/>
              <w:textAlignment w:val="center"/>
            </w:pPr>
            <w:r>
              <w:rPr>
                <w:rFonts w:hint="eastAsia" w:ascii="宋体" w:hAnsi="宋体" w:eastAsia="宋体" w:cs="宋体"/>
                <w:b/>
                <w:i w:val="0"/>
                <w:color w:val="000000"/>
                <w:kern w:val="0"/>
                <w:sz w:val="18"/>
                <w:szCs w:val="18"/>
                <w:u w:val="none"/>
                <w:lang w:val="en-US" w:eastAsia="zh-CN" w:bidi="ar"/>
              </w:rPr>
              <w:t>质量指标</w:t>
            </w:r>
          </w:p>
        </w:tc>
        <w:tc>
          <w:tcPr>
            <w:tcW w:w="1904" w:type="dxa"/>
            <w:noWrap/>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18"/>
                <w:szCs w:val="18"/>
                <w:u w:val="none"/>
                <w:lang w:val="en-US" w:eastAsia="zh-CN" w:bidi="ar"/>
              </w:rPr>
              <w:t>服务对象满意度</w:t>
            </w:r>
          </w:p>
        </w:tc>
        <w:tc>
          <w:tcPr>
            <w:tcW w:w="1906" w:type="dxa"/>
            <w:noWrap/>
            <w:vAlign w:val="center"/>
          </w:tcPr>
          <w:p>
            <w:pPr>
              <w:keepNext w:val="0"/>
              <w:keepLines w:val="0"/>
              <w:widowControl/>
              <w:suppressLineNumbers w:val="0"/>
              <w:jc w:val="center"/>
              <w:textAlignment w:val="center"/>
            </w:pPr>
            <w:r>
              <w:rPr>
                <w:rFonts w:hint="eastAsia"/>
                <w:color w:val="000000"/>
                <w:sz w:val="22"/>
              </w:rPr>
              <w:t>≥</w:t>
            </w:r>
            <w:r>
              <w:rPr>
                <w:rFonts w:hint="eastAsia" w:ascii="宋体" w:hAnsi="宋体" w:eastAsia="宋体" w:cs="宋体"/>
                <w:i w:val="0"/>
                <w:color w:val="000000"/>
                <w:kern w:val="0"/>
                <w:sz w:val="18"/>
                <w:szCs w:val="18"/>
                <w:u w:val="none"/>
                <w:lang w:val="en-US" w:eastAsia="zh-CN" w:bidi="ar"/>
              </w:rPr>
              <w:t>90</w:t>
            </w:r>
            <w:r>
              <w:rPr>
                <w:rFonts w:hint="eastAsia" w:ascii="宋体" w:hAnsi="宋体" w:cs="宋体"/>
                <w:i w:val="0"/>
                <w:color w:val="000000"/>
                <w:kern w:val="0"/>
                <w:sz w:val="18"/>
                <w:szCs w:val="1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continue"/>
            <w:noWrap/>
            <w:vAlign w:val="center"/>
          </w:tcPr>
          <w:p/>
        </w:tc>
        <w:tc>
          <w:tcPr>
            <w:tcW w:w="1904" w:type="dxa"/>
            <w:vMerge w:val="continue"/>
            <w:noWrap/>
            <w:vAlign w:val="center"/>
          </w:tcPr>
          <w:p>
            <w:pPr>
              <w:jc w:val="center"/>
            </w:pPr>
          </w:p>
        </w:tc>
        <w:tc>
          <w:tcPr>
            <w:tcW w:w="1904" w:type="dxa"/>
            <w:noWrap/>
            <w:vAlign w:val="center"/>
          </w:tcPr>
          <w:p>
            <w:pPr>
              <w:keepNext w:val="0"/>
              <w:keepLines w:val="0"/>
              <w:widowControl/>
              <w:suppressLineNumbers w:val="0"/>
              <w:jc w:val="center"/>
              <w:textAlignment w:val="center"/>
            </w:pPr>
            <w:r>
              <w:rPr>
                <w:rFonts w:hint="eastAsia" w:ascii="宋体" w:hAnsi="宋体" w:eastAsia="宋体" w:cs="宋体"/>
                <w:b/>
                <w:i w:val="0"/>
                <w:color w:val="000000"/>
                <w:kern w:val="0"/>
                <w:sz w:val="18"/>
                <w:szCs w:val="18"/>
                <w:u w:val="none"/>
                <w:lang w:val="en-US" w:eastAsia="zh-CN" w:bidi="ar"/>
              </w:rPr>
              <w:t>时效指标</w:t>
            </w:r>
          </w:p>
        </w:tc>
        <w:tc>
          <w:tcPr>
            <w:tcW w:w="1904" w:type="dxa"/>
            <w:noWrap/>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18"/>
                <w:szCs w:val="18"/>
                <w:u w:val="none"/>
                <w:lang w:val="en-US" w:eastAsia="zh-CN" w:bidi="ar"/>
              </w:rPr>
              <w:t>资金到位及时率</w:t>
            </w:r>
          </w:p>
        </w:tc>
        <w:tc>
          <w:tcPr>
            <w:tcW w:w="1906" w:type="dxa"/>
            <w:noWrap/>
            <w:vAlign w:val="center"/>
          </w:tcPr>
          <w:p>
            <w:pPr>
              <w:keepNext w:val="0"/>
              <w:keepLines w:val="0"/>
              <w:widowControl/>
              <w:suppressLineNumbers w:val="0"/>
              <w:jc w:val="center"/>
              <w:textAlignment w:val="center"/>
            </w:pPr>
            <w:r>
              <w:rPr>
                <w:rFonts w:hint="eastAsia"/>
                <w:color w:val="000000"/>
                <w:sz w:val="22"/>
              </w:rPr>
              <w:t>≤</w:t>
            </w:r>
            <w:r>
              <w:rPr>
                <w:rFonts w:hint="eastAsia" w:ascii="宋体" w:hAnsi="宋体" w:eastAsia="宋体" w:cs="宋体"/>
                <w:i w:val="0"/>
                <w:color w:val="000000"/>
                <w:kern w:val="0"/>
                <w:sz w:val="18"/>
                <w:szCs w:val="18"/>
                <w:u w:val="none"/>
                <w:lang w:val="en-US" w:eastAsia="zh-CN" w:bidi="ar"/>
              </w:rPr>
              <w:t>12</w:t>
            </w:r>
            <w:r>
              <w:rPr>
                <w:rFonts w:hint="eastAsia" w:ascii="宋体" w:hAnsi="宋体" w:cs="宋体"/>
                <w:i w:val="0"/>
                <w:color w:val="000000"/>
                <w:kern w:val="0"/>
                <w:sz w:val="18"/>
                <w:szCs w:val="18"/>
                <w:u w:val="none"/>
                <w:lang w:val="en-US" w:eastAsia="zh-CN" w:bidi="ar"/>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902" w:type="dxa"/>
            <w:vMerge w:val="continue"/>
            <w:noWrap/>
            <w:vAlign w:val="center"/>
          </w:tcP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b/>
                <w:i w:val="0"/>
                <w:color w:val="000000"/>
                <w:kern w:val="0"/>
                <w:sz w:val="18"/>
                <w:szCs w:val="18"/>
                <w:u w:val="none"/>
                <w:lang w:val="en-US" w:eastAsia="zh-CN" w:bidi="ar"/>
              </w:rPr>
              <w:t>效益指标</w:t>
            </w: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b/>
                <w:i w:val="0"/>
                <w:color w:val="000000"/>
                <w:kern w:val="0"/>
                <w:sz w:val="18"/>
                <w:szCs w:val="18"/>
                <w:u w:val="none"/>
                <w:lang w:val="en-US" w:eastAsia="zh-CN" w:bidi="ar"/>
              </w:rPr>
              <w:t>经济效益指标</w:t>
            </w: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18"/>
                <w:szCs w:val="18"/>
                <w:u w:val="none"/>
                <w:lang w:val="en-US" w:eastAsia="zh-CN" w:bidi="ar"/>
              </w:rPr>
              <w:t>资金预算完成率</w:t>
            </w:r>
          </w:p>
        </w:tc>
        <w:tc>
          <w:tcPr>
            <w:tcW w:w="1906"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7</w:t>
            </w:r>
            <w:r>
              <w:rPr>
                <w:rFonts w:hint="eastAsia" w:ascii="宋体" w:hAnsi="宋体" w:cs="宋体"/>
                <w:i w:val="0"/>
                <w:color w:val="000000"/>
                <w:kern w:val="0"/>
                <w:sz w:val="18"/>
                <w:szCs w:val="18"/>
                <w:u w:val="none"/>
                <w:lang w:val="en-US" w:eastAsia="zh-CN"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902" w:type="dxa"/>
            <w:vMerge w:val="continue"/>
            <w:noWrap/>
            <w:vAlign w:val="center"/>
          </w:tcP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b/>
                <w:i w:val="0"/>
                <w:color w:val="000000"/>
                <w:kern w:val="0"/>
                <w:sz w:val="18"/>
                <w:szCs w:val="18"/>
                <w:u w:val="none"/>
                <w:lang w:val="en-US" w:eastAsia="zh-CN" w:bidi="ar"/>
              </w:rPr>
              <w:t>满意度指标</w:t>
            </w: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b/>
                <w:i w:val="0"/>
                <w:color w:val="000000"/>
                <w:kern w:val="0"/>
                <w:sz w:val="18"/>
                <w:szCs w:val="18"/>
                <w:u w:val="none"/>
                <w:lang w:val="en-US" w:eastAsia="zh-CN" w:bidi="ar"/>
              </w:rPr>
              <w:t>服务对象满意度指标</w:t>
            </w:r>
          </w:p>
        </w:tc>
        <w:tc>
          <w:tcPr>
            <w:tcW w:w="1904"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ascii="宋体" w:hAnsi="宋体" w:eastAsia="宋体" w:cs="宋体"/>
                <w:i w:val="0"/>
                <w:color w:val="000000"/>
                <w:kern w:val="0"/>
                <w:sz w:val="18"/>
                <w:szCs w:val="18"/>
                <w:u w:val="none"/>
                <w:lang w:val="en-US" w:eastAsia="zh-CN" w:bidi="ar"/>
              </w:rPr>
              <w:t>服务对象满意度</w:t>
            </w:r>
          </w:p>
        </w:tc>
        <w:tc>
          <w:tcPr>
            <w:tcW w:w="1906" w:type="dxa"/>
            <w:noWrap/>
            <w:vAlign w:val="center"/>
          </w:tcPr>
          <w:p>
            <w:pPr>
              <w:keepNext w:val="0"/>
              <w:keepLines w:val="0"/>
              <w:widowControl/>
              <w:suppressLineNumbers w:val="0"/>
              <w:jc w:val="center"/>
              <w:textAlignment w:val="center"/>
              <w:rPr>
                <w:rFonts w:ascii="宋体" w:hAnsi="宋体" w:cs="宋体"/>
                <w:color w:val="000000"/>
                <w:sz w:val="22"/>
              </w:rPr>
            </w:pPr>
            <w:r>
              <w:rPr>
                <w:rFonts w:hint="eastAsia"/>
                <w:color w:val="000000"/>
                <w:sz w:val="22"/>
              </w:rPr>
              <w:t>≥</w:t>
            </w:r>
            <w:r>
              <w:rPr>
                <w:rFonts w:hint="eastAsia" w:ascii="宋体" w:hAnsi="宋体" w:eastAsia="宋体" w:cs="宋体"/>
                <w:i w:val="0"/>
                <w:color w:val="000000"/>
                <w:kern w:val="0"/>
                <w:sz w:val="18"/>
                <w:szCs w:val="18"/>
                <w:u w:val="none"/>
                <w:lang w:val="en-US" w:eastAsia="zh-CN" w:bidi="ar"/>
              </w:rPr>
              <w:t>90</w:t>
            </w:r>
            <w:r>
              <w:rPr>
                <w:rFonts w:hint="eastAsia" w:ascii="宋体" w:hAnsi="宋体" w:cs="宋体"/>
                <w:i w:val="0"/>
                <w:color w:val="000000"/>
                <w:kern w:val="0"/>
                <w:sz w:val="18"/>
                <w:szCs w:val="18"/>
                <w:u w:val="none"/>
                <w:lang w:val="en-US" w:eastAsia="zh-CN" w:bidi="ar"/>
              </w:rPr>
              <w:t>%</w:t>
            </w:r>
          </w:p>
        </w:tc>
      </w:tr>
    </w:tbl>
    <w:p>
      <w:pPr>
        <w:tabs>
          <w:tab w:val="left" w:pos="725"/>
        </w:tabs>
        <w:spacing w:line="590" w:lineRule="exact"/>
        <w:rPr>
          <w:rFonts w:hint="eastAsia" w:ascii="楷体" w:hAnsi="楷体" w:eastAsia="楷体" w:cs="楷体"/>
          <w:color w:val="FF0000"/>
          <w:kern w:val="0"/>
          <w:sz w:val="32"/>
          <w:szCs w:val="32"/>
          <w:lang w:eastAsia="zh-CN"/>
        </w:rPr>
      </w:pPr>
    </w:p>
    <w:p>
      <w:pPr>
        <w:bidi w:val="0"/>
        <w:ind w:firstLine="420" w:firstLineChars="0"/>
      </w:pPr>
      <w:r>
        <w:rPr>
          <w:rFonts w:hint="eastAsia" w:ascii="仿宋" w:hAnsi="仿宋" w:eastAsia="仿宋" w:cs="仿宋"/>
          <w:b/>
          <w:bCs/>
          <w:sz w:val="32"/>
          <w:szCs w:val="32"/>
          <w:lang w:val="en-US" w:eastAsia="zh-CN"/>
        </w:rPr>
        <w:t>2.部门整体支出绩效目标表</w:t>
      </w:r>
    </w:p>
    <w:p>
      <w:pPr>
        <w:spacing w:line="590" w:lineRule="exact"/>
        <w:ind w:firstLine="640" w:firstLineChars="200"/>
        <w:rPr>
          <w:rFonts w:hint="eastAsia" w:ascii="楷体" w:hAnsi="楷体" w:eastAsia="楷体" w:cs="楷体"/>
          <w:color w:val="FF0000"/>
          <w:kern w:val="0"/>
          <w:sz w:val="32"/>
          <w:szCs w:val="32"/>
        </w:rPr>
      </w:pPr>
      <w:r>
        <w:rPr>
          <w:rFonts w:hint="eastAsia" w:ascii="仿宋" w:hAnsi="仿宋" w:eastAsia="仿宋" w:cs="仿宋_GB2312"/>
          <w:kern w:val="0"/>
          <w:sz w:val="32"/>
          <w:szCs w:val="32"/>
        </w:rPr>
        <w:t>本</w:t>
      </w:r>
      <w:r>
        <w:rPr>
          <w:rFonts w:hint="eastAsia" w:ascii="仿宋" w:hAnsi="仿宋" w:eastAsia="仿宋" w:cs="仿宋_GB2312"/>
          <w:kern w:val="0"/>
          <w:sz w:val="32"/>
          <w:szCs w:val="32"/>
          <w:lang w:eastAsia="zh-CN"/>
        </w:rPr>
        <w:t>单位</w:t>
      </w:r>
      <w:r>
        <w:rPr>
          <w:rFonts w:hint="eastAsia" w:ascii="仿宋" w:hAnsi="仿宋" w:eastAsia="仿宋" w:cs="仿宋_GB2312"/>
          <w:kern w:val="0"/>
          <w:sz w:val="32"/>
          <w:szCs w:val="32"/>
        </w:rPr>
        <w:t>无部门整体支出绩效目标表。</w:t>
      </w:r>
    </w:p>
    <w:p>
      <w:pPr>
        <w:bidi w:val="0"/>
        <w:ind w:firstLine="420" w:firstLineChars="0"/>
      </w:pPr>
      <w:r>
        <w:rPr>
          <w:rFonts w:hint="eastAsia" w:ascii="仿宋" w:hAnsi="仿宋" w:eastAsia="仿宋" w:cs="仿宋"/>
          <w:b/>
          <w:bCs/>
          <w:sz w:val="32"/>
          <w:szCs w:val="32"/>
          <w:lang w:val="en-US" w:eastAsia="zh-CN"/>
        </w:rPr>
        <w:t>3.有关情况说明</w:t>
      </w:r>
    </w:p>
    <w:p>
      <w:pPr>
        <w:spacing w:line="590" w:lineRule="exact"/>
        <w:ind w:firstLine="640" w:firstLineChars="200"/>
        <w:rPr>
          <w:rFonts w:hint="eastAsia" w:ascii="仿宋" w:hAnsi="仿宋" w:eastAsia="仿宋" w:cs="仿宋"/>
          <w:sz w:val="32"/>
          <w:lang w:eastAsia="zh-CN"/>
        </w:rPr>
        <w:sectPr>
          <w:pgSz w:w="11906" w:h="16838"/>
          <w:pgMar w:top="1440" w:right="1803" w:bottom="1440" w:left="1803" w:header="851" w:footer="992" w:gutter="0"/>
          <w:pgNumType w:fmt="decimal"/>
          <w:cols w:space="720" w:num="1"/>
          <w:docGrid w:type="lines" w:linePitch="312" w:charSpace="0"/>
        </w:sectPr>
      </w:pPr>
      <w:r>
        <w:rPr>
          <w:rFonts w:hint="eastAsia" w:ascii="仿宋" w:hAnsi="仿宋" w:eastAsia="仿宋" w:cs="仿宋_GB2312"/>
          <w:kern w:val="0"/>
          <w:sz w:val="32"/>
          <w:szCs w:val="32"/>
        </w:rPr>
        <w:t>本</w:t>
      </w:r>
      <w:r>
        <w:rPr>
          <w:rFonts w:hint="eastAsia" w:ascii="仿宋" w:hAnsi="仿宋" w:eastAsia="仿宋" w:cs="仿宋_GB2312"/>
          <w:kern w:val="0"/>
          <w:sz w:val="32"/>
          <w:szCs w:val="32"/>
          <w:lang w:eastAsia="zh-CN"/>
        </w:rPr>
        <w:t>单位</w:t>
      </w:r>
      <w:r>
        <w:rPr>
          <w:rFonts w:hint="eastAsia" w:ascii="仿宋" w:hAnsi="仿宋" w:eastAsia="仿宋" w:cs="仿宋_GB2312"/>
          <w:kern w:val="0"/>
          <w:sz w:val="32"/>
          <w:szCs w:val="32"/>
        </w:rPr>
        <w:t>无其他需要说明的绩效目标情况</w:t>
      </w:r>
      <w:r>
        <w:rPr>
          <w:rFonts w:hint="eastAsia" w:ascii="仿宋" w:hAnsi="仿宋" w:eastAsia="仿宋" w:cs="仿宋_GB2312"/>
          <w:kern w:val="0"/>
          <w:sz w:val="32"/>
          <w:szCs w:val="32"/>
          <w:lang w:eastAsia="zh-CN"/>
        </w:rPr>
        <w:t>。</w:t>
      </w:r>
    </w:p>
    <w:p>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黑体" w:hAnsi="黑体" w:eastAsia="黑体" w:cs="黑体"/>
          <w:b/>
          <w:sz w:val="28"/>
          <w:szCs w:val="28"/>
        </w:rPr>
      </w:pPr>
      <w:bookmarkStart w:id="27" w:name="_Toc28244"/>
      <w:r>
        <w:rPr>
          <w:rFonts w:hint="eastAsia"/>
          <w:b w:val="0"/>
          <w:bCs/>
        </w:rPr>
        <w:t>八、其他重要事项说明</w:t>
      </w:r>
      <w:bookmarkEnd w:id="27"/>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（一）机关运行经费</w:t>
      </w:r>
    </w:p>
    <w:p>
      <w:pPr>
        <w:spacing w:line="600" w:lineRule="exact"/>
        <w:ind w:firstLine="420" w:firstLineChars="0"/>
        <w:rPr>
          <w:rFonts w:hint="eastAsia" w:ascii="仿宋" w:hAnsi="仿宋" w:eastAsia="仿宋" w:cs="仿宋"/>
          <w:sz w:val="32"/>
          <w:lang w:eastAsia="zh-CN"/>
        </w:rPr>
      </w:pPr>
      <w:r>
        <w:rPr>
          <w:rFonts w:hint="eastAsia" w:ascii="仿宋" w:hAnsi="仿宋" w:eastAsia="仿宋" w:cs="仿宋"/>
          <w:b w:val="0"/>
          <w:bCs/>
          <w:sz w:val="32"/>
          <w:szCs w:val="32"/>
          <w:lang w:val="en-US" w:eastAsia="zh-CN"/>
        </w:rPr>
        <w:t>本单位没有机关运行经费。</w:t>
      </w:r>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（二）政府采购情况</w:t>
      </w:r>
    </w:p>
    <w:p>
      <w:pPr>
        <w:spacing w:line="600" w:lineRule="exact"/>
        <w:ind w:firstLine="420" w:firstLineChars="0"/>
        <w:rPr>
          <w:rFonts w:hint="eastAsia" w:ascii="仿宋" w:hAnsi="仿宋" w:eastAsia="仿宋"/>
          <w:kern w:val="0"/>
          <w:sz w:val="32"/>
          <w:szCs w:val="32"/>
        </w:rPr>
      </w:pPr>
      <w:r>
        <w:rPr>
          <w:rFonts w:hint="eastAsia" w:ascii="仿宋" w:hAnsi="仿宋" w:eastAsia="仿宋"/>
          <w:kern w:val="0"/>
          <w:sz w:val="32"/>
          <w:szCs w:val="32"/>
        </w:rPr>
        <w:t>本单位2026年度没有政府采购预算</w:t>
      </w:r>
    </w:p>
    <w:p>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（三）国有资产占用使用情况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
          <w:sz w:val="32"/>
          <w:lang w:eastAsia="zh-CN"/>
        </w:rPr>
        <w:t>2025</w:t>
      </w:r>
      <w:r>
        <w:rPr>
          <w:rFonts w:hint="eastAsia" w:ascii="仿宋" w:hAnsi="仿宋" w:eastAsia="仿宋" w:cs="仿宋_GB2312"/>
          <w:kern w:val="0"/>
          <w:sz w:val="32"/>
          <w:szCs w:val="32"/>
        </w:rPr>
        <w:t>年12月31日，</w:t>
      </w:r>
      <w:r>
        <w:rPr>
          <w:rFonts w:hint="eastAsia" w:ascii="仿宋" w:hAnsi="仿宋" w:eastAsia="仿宋"/>
          <w:sz w:val="32"/>
          <w:szCs w:val="32"/>
          <w:lang w:val="en-US" w:eastAsia="zh-CN"/>
        </w:rPr>
        <w:t>上杭县博物馆</w:t>
      </w:r>
      <w:r>
        <w:rPr>
          <w:rFonts w:ascii="仿宋" w:hAnsi="仿宋" w:eastAsia="仿宋"/>
          <w:sz w:val="32"/>
          <w:u w:color="auto"/>
        </w:rPr>
        <w:t>单位</w:t>
      </w:r>
      <w:r>
        <w:rPr>
          <w:rFonts w:hint="eastAsia" w:ascii="仿宋" w:hAnsi="仿宋" w:eastAsia="仿宋"/>
          <w:sz w:val="32"/>
          <w:szCs w:val="32"/>
        </w:rPr>
        <w:t>共有车辆</w:t>
      </w:r>
      <w:r>
        <w:rPr>
          <w:rFonts w:hint="eastAsia" w:ascii="仿宋" w:hAnsi="仿宋" w:eastAsia="仿宋"/>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kern w:val="0"/>
          <w:sz w:val="32"/>
          <w:szCs w:val="32"/>
          <w:lang w:eastAsia="zh-CN"/>
        </w:rPr>
        <w:t>2026</w:t>
      </w:r>
      <w:r>
        <w:rPr>
          <w:rFonts w:hint="eastAsia" w:ascii="仿宋" w:hAnsi="仿宋" w:eastAsia="仿宋" w:cs="楷体"/>
          <w:kern w:val="0"/>
          <w:sz w:val="32"/>
          <w:szCs w:val="32"/>
        </w:rPr>
        <w:t>年</w:t>
      </w:r>
      <w:r>
        <w:rPr>
          <w:rFonts w:hint="eastAsia" w:ascii="仿宋" w:hAnsi="仿宋" w:eastAsia="仿宋" w:cs="楷体"/>
          <w:kern w:val="0"/>
          <w:sz w:val="32"/>
          <w:szCs w:val="32"/>
          <w:lang w:eastAsia="zh-CN"/>
        </w:rPr>
        <w:t>单位</w:t>
      </w:r>
      <w:r>
        <w:rPr>
          <w:rFonts w:hint="eastAsia" w:ascii="仿宋" w:hAnsi="仿宋" w:eastAsia="仿宋" w:cs="楷体"/>
          <w:kern w:val="0"/>
          <w:sz w:val="32"/>
          <w:szCs w:val="32"/>
        </w:rPr>
        <w:t>预算安排购置车辆</w:t>
      </w:r>
      <w:r>
        <w:rPr>
          <w:rFonts w:hint="eastAsia" w:ascii="仿宋" w:hAnsi="仿宋" w:eastAsia="仿宋"/>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pPr>
        <w:spacing w:line="600" w:lineRule="exact"/>
        <w:jc w:val="left"/>
        <w:rPr>
          <w:rFonts w:ascii="仿宋" w:hAnsi="仿宋" w:eastAsia="仿宋"/>
          <w:kern w:val="0"/>
          <w:sz w:val="32"/>
          <w:szCs w:val="32"/>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jc w:val="center"/>
        <w:rPr>
          <w:rFonts w:ascii="黑体" w:hAnsi="黑体" w:eastAsia="黑体"/>
          <w:sz w:val="56"/>
        </w:rPr>
      </w:pPr>
    </w:p>
    <w:p>
      <w:pPr>
        <w:pStyle w:val="2"/>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8" w:name="_Toc14348"/>
      <w:r>
        <w:rPr>
          <w:rFonts w:hint="eastAsia"/>
          <w:b w:val="0"/>
          <w:bCs/>
          <w:sz w:val="56"/>
          <w:szCs w:val="56"/>
        </w:rPr>
        <w:t>第四部分</w:t>
      </w:r>
      <w:bookmarkEnd w:id="28"/>
    </w:p>
    <w:p>
      <w:pPr>
        <w:pStyle w:val="2"/>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56"/>
          <w:lang w:eastAsia="zh-CN"/>
        </w:rPr>
      </w:pPr>
      <w:bookmarkStart w:id="29" w:name="_Toc256000027"/>
      <w:bookmarkStart w:id="30" w:name="_Toc30858"/>
      <w:r>
        <w:rPr>
          <w:rFonts w:hint="eastAsia" w:ascii="黑体" w:hAnsi="黑体" w:eastAsia="黑体" w:cs="黑体"/>
          <w:b w:val="0"/>
          <w:bCs/>
          <w:sz w:val="56"/>
          <w:szCs w:val="56"/>
          <w:lang w:eastAsia="zh-CN"/>
        </w:rPr>
        <w:t>名词解释</w:t>
      </w:r>
      <w:bookmarkEnd w:id="29"/>
      <w:bookmarkEnd w:id="30"/>
    </w:p>
    <w:p>
      <w:pPr>
        <w:adjustRightInd w:val="0"/>
        <w:snapToGrid w:val="0"/>
        <w:spacing w:line="600" w:lineRule="exact"/>
        <w:jc w:val="left"/>
        <w:rPr>
          <w:rFonts w:ascii="宋体" w:hAnsi="宋体" w:eastAsia="宋体"/>
          <w:b/>
          <w:sz w:val="40"/>
        </w:rPr>
      </w:pPr>
    </w:p>
    <w:p>
      <w:pPr>
        <w:adjustRightInd w:val="0"/>
        <w:snapToGrid w:val="0"/>
        <w:spacing w:line="600" w:lineRule="exact"/>
        <w:jc w:val="left"/>
        <w:rPr>
          <w:rFonts w:ascii="仿宋" w:hAnsi="仿宋" w:eastAsia="仿宋" w:cs="仿宋_GB2312"/>
          <w:kern w:val="0"/>
          <w:sz w:val="32"/>
          <w:szCs w:val="32"/>
        </w:rPr>
        <w:sectPr>
          <w:pgSz w:w="11906" w:h="16838"/>
          <w:pgMar w:top="1440" w:right="1803" w:bottom="1440" w:left="1803" w:header="851" w:footer="992" w:gutter="0"/>
          <w:pgNumType w:fmt="decimal"/>
          <w:cols w:space="720" w:num="1"/>
          <w:docGrid w:type="lines" w:linePitch="312" w:charSpace="0"/>
        </w:sectPr>
      </w:pPr>
    </w:p>
    <w:p>
      <w:pPr>
        <w:pStyle w:val="18"/>
        <w:spacing w:line="600" w:lineRule="exact"/>
        <w:ind w:firstLine="640"/>
        <w:rPr>
          <w:rFonts w:hint="eastAsia"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pPr>
        <w:pStyle w:val="18"/>
        <w:spacing w:line="600" w:lineRule="exact"/>
        <w:ind w:firstLine="640"/>
        <w:rPr>
          <w:rFonts w:hint="eastAsia"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pPr>
        <w:pStyle w:val="18"/>
        <w:spacing w:line="600" w:lineRule="exact"/>
        <w:ind w:firstLine="640"/>
        <w:rPr>
          <w:rFonts w:hint="eastAsia"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pPr>
        <w:pStyle w:val="18"/>
        <w:spacing w:line="600" w:lineRule="exact"/>
        <w:ind w:firstLine="640"/>
        <w:rPr>
          <w:rFonts w:hint="eastAsia"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pPr>
        <w:pStyle w:val="18"/>
        <w:spacing w:line="600" w:lineRule="exact"/>
        <w:ind w:firstLine="640"/>
        <w:rPr>
          <w:rFonts w:hint="eastAsia"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pPr>
        <w:pStyle w:val="18"/>
        <w:spacing w:line="600" w:lineRule="exact"/>
        <w:ind w:firstLine="640"/>
        <w:rPr>
          <w:rFonts w:hint="eastAsia"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pPr>
        <w:pStyle w:val="18"/>
        <w:spacing w:line="600" w:lineRule="exact"/>
        <w:ind w:firstLine="640"/>
        <w:rPr>
          <w:rFonts w:hint="eastAsia"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pPr>
        <w:pStyle w:val="18"/>
        <w:spacing w:line="600" w:lineRule="exact"/>
        <w:ind w:firstLine="640"/>
        <w:rPr>
          <w:rFonts w:hint="eastAsia"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pPr>
        <w:pStyle w:val="18"/>
        <w:spacing w:line="600" w:lineRule="exact"/>
        <w:ind w:firstLine="640"/>
        <w:rPr>
          <w:rFonts w:hint="eastAsia" w:hAnsi="仿宋"/>
          <w:sz w:val="32"/>
          <w:szCs w:val="32"/>
        </w:rPr>
      </w:pPr>
      <w:r>
        <w:rPr>
          <w:rFonts w:hint="eastAsia" w:hAnsi="仿宋"/>
          <w:b/>
          <w:sz w:val="32"/>
          <w:szCs w:val="32"/>
        </w:rPr>
        <w:t>九、上缴上级支出：</w:t>
      </w:r>
      <w:r>
        <w:rPr>
          <w:rFonts w:hint="eastAsia" w:hAnsi="仿宋"/>
          <w:sz w:val="32"/>
          <w:szCs w:val="32"/>
        </w:rPr>
        <w:t>指下级单位上缴上级的支出。</w:t>
      </w:r>
    </w:p>
    <w:p>
      <w:pPr>
        <w:pStyle w:val="18"/>
        <w:spacing w:line="600" w:lineRule="exact"/>
        <w:ind w:firstLine="640"/>
        <w:rPr>
          <w:rFonts w:hint="eastAsia" w:hAnsi="仿宋"/>
          <w:sz w:val="32"/>
          <w:szCs w:val="32"/>
        </w:rPr>
      </w:pPr>
      <w:r>
        <w:rPr>
          <w:rFonts w:hint="eastAsia" w:hAnsi="仿宋"/>
          <w:b/>
          <w:sz w:val="32"/>
          <w:szCs w:val="32"/>
        </w:rPr>
        <w:t>十、对附属单位补助支出：</w:t>
      </w:r>
      <w:r>
        <w:rPr>
          <w:rFonts w:hint="eastAsia" w:hAnsi="仿宋"/>
          <w:sz w:val="32"/>
          <w:szCs w:val="32"/>
        </w:rPr>
        <w:t>指对下级单位补助</w:t>
      </w:r>
      <w:r>
        <w:rPr>
          <w:rFonts w:hint="eastAsia" w:hAnsi="仿宋"/>
          <w:sz w:val="32"/>
          <w:szCs w:val="32"/>
          <w:lang w:val="en-US" w:eastAsia="zh-CN"/>
        </w:rPr>
        <w:t>发生</w:t>
      </w:r>
      <w:r>
        <w:rPr>
          <w:rFonts w:hint="eastAsia" w:hAnsi="仿宋"/>
          <w:sz w:val="32"/>
          <w:szCs w:val="32"/>
        </w:rPr>
        <w:t>的支出。</w:t>
      </w:r>
    </w:p>
    <w:p>
      <w:pPr>
        <w:pStyle w:val="18"/>
        <w:spacing w:line="600" w:lineRule="exact"/>
        <w:ind w:firstLine="640"/>
        <w:rPr>
          <w:rFonts w:hint="eastAsia"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含车辆购置税、牌照费）及燃料费、维修费、过桥过路费、保险费、安全奖励费用等支出；公务接待费反映单位按规定开支的各类公务接待（含外宾接待）支出。</w:t>
      </w:r>
    </w:p>
    <w:p>
      <w:pPr>
        <w:pStyle w:val="18"/>
        <w:spacing w:line="600" w:lineRule="exact"/>
        <w:ind w:firstLine="640"/>
        <w:rPr>
          <w:rFonts w:hint="eastAsia"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8"/>
        <w:spacing w:line="600" w:lineRule="exact"/>
        <w:ind w:firstLine="640"/>
        <w:rPr>
          <w:rFonts w:ascii="宋体" w:hAnsi="宋体" w:eastAsia="宋体"/>
          <w:b/>
          <w:sz w:val="32"/>
          <w:szCs w:val="32"/>
        </w:rPr>
      </w:pPr>
    </w:p>
    <w:sectPr>
      <w:pgSz w:w="11906" w:h="16838"/>
      <w:pgMar w:top="1440" w:right="1803" w:bottom="1440" w:left="180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26</w:t>
                          </w:r>
                          <w:r>
                            <w:rPr>
                              <w:rFonts w:hint="eastAsia" w:asciiTheme="minorEastAsia" w:hAnsiTheme="minorEastAsia" w:eastAsiaTheme="minorEastAsia" w:cstheme="minorEastAsia"/>
                              <w:sz w:val="28"/>
                              <w:szCs w:val="28"/>
                            </w:rP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0lY7tAAAAAFAQAADwAAAAAAAAABACAAAAAiAAAAZHJzL2Rvd25yZXYueG1sUEsB&#10;AhQAFAAAAAgAh07iQNf+psHEAQAAbQMAAA4AAAAAAAAAAQAgAAAAHwEAAGRycy9lMm9Eb2MueG1s&#10;UEsFBgAAAAAGAAYAWQEAAFUFAAAAAA==&#10;">
              <v:fill on="f" focussize="0,0"/>
              <v:stroke on="f" weight="0.5pt"/>
              <v:imagedata o:title=""/>
              <o:lock v:ext="edit" aspectratio="f"/>
              <v:textbox inset="0mm,0mm,0mm,0mm" style="mso-fit-shape-to-text:t;">
                <w:txbxContent>
                  <w:p>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26</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3ZDIwY2UwYjRhMzExMDZhNGYyOTY3MWJkNDY4NG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054"/>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E01C88"/>
    <w:rsid w:val="032A52B1"/>
    <w:rsid w:val="033A29CA"/>
    <w:rsid w:val="03914CEF"/>
    <w:rsid w:val="03AD6239"/>
    <w:rsid w:val="03BA0B89"/>
    <w:rsid w:val="03FD4168"/>
    <w:rsid w:val="0406477E"/>
    <w:rsid w:val="04072E49"/>
    <w:rsid w:val="042C6D2F"/>
    <w:rsid w:val="042F78E2"/>
    <w:rsid w:val="043D6C25"/>
    <w:rsid w:val="04F27A0F"/>
    <w:rsid w:val="04FB7299"/>
    <w:rsid w:val="051D51DF"/>
    <w:rsid w:val="05230CD1"/>
    <w:rsid w:val="056703FD"/>
    <w:rsid w:val="05926A54"/>
    <w:rsid w:val="05A36F5B"/>
    <w:rsid w:val="05CF4E25"/>
    <w:rsid w:val="06345E06"/>
    <w:rsid w:val="067F3DDE"/>
    <w:rsid w:val="06AA70EB"/>
    <w:rsid w:val="06DF3840"/>
    <w:rsid w:val="06F276B3"/>
    <w:rsid w:val="06FC31AA"/>
    <w:rsid w:val="07046D8D"/>
    <w:rsid w:val="071D4AEC"/>
    <w:rsid w:val="07347FFB"/>
    <w:rsid w:val="074A3B33"/>
    <w:rsid w:val="07B74F40"/>
    <w:rsid w:val="0828143A"/>
    <w:rsid w:val="08346591"/>
    <w:rsid w:val="08CE42EF"/>
    <w:rsid w:val="08F33D56"/>
    <w:rsid w:val="09062803"/>
    <w:rsid w:val="090F1C87"/>
    <w:rsid w:val="09992EFE"/>
    <w:rsid w:val="09E86505"/>
    <w:rsid w:val="0A167CBC"/>
    <w:rsid w:val="0A342878"/>
    <w:rsid w:val="0A4C0979"/>
    <w:rsid w:val="0A60366D"/>
    <w:rsid w:val="0A6071C9"/>
    <w:rsid w:val="0AA13B51"/>
    <w:rsid w:val="0AA90B70"/>
    <w:rsid w:val="0AAF1EFF"/>
    <w:rsid w:val="0ABE0ED6"/>
    <w:rsid w:val="0AD007F3"/>
    <w:rsid w:val="0AD6392F"/>
    <w:rsid w:val="0B3C1019"/>
    <w:rsid w:val="0B626F71"/>
    <w:rsid w:val="0B7102DF"/>
    <w:rsid w:val="0B9C2483"/>
    <w:rsid w:val="0BA77B54"/>
    <w:rsid w:val="0BA80E28"/>
    <w:rsid w:val="0BAB0918"/>
    <w:rsid w:val="0BB27EF8"/>
    <w:rsid w:val="0BBE485C"/>
    <w:rsid w:val="0BFC73C5"/>
    <w:rsid w:val="0C0C0229"/>
    <w:rsid w:val="0C1E74E2"/>
    <w:rsid w:val="0C2709E2"/>
    <w:rsid w:val="0C364685"/>
    <w:rsid w:val="0C51353F"/>
    <w:rsid w:val="0C7D492C"/>
    <w:rsid w:val="0C87314F"/>
    <w:rsid w:val="0C8D4217"/>
    <w:rsid w:val="0C9462C4"/>
    <w:rsid w:val="0CA75583"/>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6F20D1"/>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C44D9A"/>
    <w:rsid w:val="10957914"/>
    <w:rsid w:val="10DC1574"/>
    <w:rsid w:val="110F1949"/>
    <w:rsid w:val="11307940"/>
    <w:rsid w:val="1131366D"/>
    <w:rsid w:val="1133418C"/>
    <w:rsid w:val="1143294E"/>
    <w:rsid w:val="114F75E6"/>
    <w:rsid w:val="11553800"/>
    <w:rsid w:val="11913845"/>
    <w:rsid w:val="11AE5258"/>
    <w:rsid w:val="11B06C88"/>
    <w:rsid w:val="11F1104F"/>
    <w:rsid w:val="11FD79F3"/>
    <w:rsid w:val="122D652B"/>
    <w:rsid w:val="12307DC9"/>
    <w:rsid w:val="12521AED"/>
    <w:rsid w:val="12723B30"/>
    <w:rsid w:val="127A7296"/>
    <w:rsid w:val="128D6FC9"/>
    <w:rsid w:val="128F377D"/>
    <w:rsid w:val="12B74046"/>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D44A2E"/>
    <w:rsid w:val="16132863"/>
    <w:rsid w:val="164437DD"/>
    <w:rsid w:val="165102AA"/>
    <w:rsid w:val="166811C8"/>
    <w:rsid w:val="166B7621"/>
    <w:rsid w:val="169F551D"/>
    <w:rsid w:val="16AC5780"/>
    <w:rsid w:val="174A36DB"/>
    <w:rsid w:val="17722F85"/>
    <w:rsid w:val="17BF54E2"/>
    <w:rsid w:val="17C64F6E"/>
    <w:rsid w:val="17E56C0B"/>
    <w:rsid w:val="17EB6A33"/>
    <w:rsid w:val="180C0E06"/>
    <w:rsid w:val="181B6E25"/>
    <w:rsid w:val="1842710A"/>
    <w:rsid w:val="184F33D6"/>
    <w:rsid w:val="18956BD8"/>
    <w:rsid w:val="18AB01A9"/>
    <w:rsid w:val="18C213AC"/>
    <w:rsid w:val="18D21BDA"/>
    <w:rsid w:val="18FB615B"/>
    <w:rsid w:val="194910F0"/>
    <w:rsid w:val="195645B9"/>
    <w:rsid w:val="197832BB"/>
    <w:rsid w:val="19A96D61"/>
    <w:rsid w:val="19AE61A3"/>
    <w:rsid w:val="19B2356A"/>
    <w:rsid w:val="19B31AA9"/>
    <w:rsid w:val="19C77265"/>
    <w:rsid w:val="1A1C18A7"/>
    <w:rsid w:val="1A2C0418"/>
    <w:rsid w:val="1A383CBF"/>
    <w:rsid w:val="1A5635E6"/>
    <w:rsid w:val="1AFD2812"/>
    <w:rsid w:val="1B041DF3"/>
    <w:rsid w:val="1B1458F5"/>
    <w:rsid w:val="1B421B68"/>
    <w:rsid w:val="1B5F12B0"/>
    <w:rsid w:val="1B8D003A"/>
    <w:rsid w:val="1B9211AC"/>
    <w:rsid w:val="1BA15893"/>
    <w:rsid w:val="1BC31CAE"/>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9F425C"/>
    <w:rsid w:val="25BF3725"/>
    <w:rsid w:val="25CD5C03"/>
    <w:rsid w:val="25E305D9"/>
    <w:rsid w:val="25F50CB6"/>
    <w:rsid w:val="2606448B"/>
    <w:rsid w:val="261E19ED"/>
    <w:rsid w:val="26263A75"/>
    <w:rsid w:val="263121A9"/>
    <w:rsid w:val="26347A30"/>
    <w:rsid w:val="263C1196"/>
    <w:rsid w:val="266B71CA"/>
    <w:rsid w:val="26F92A28"/>
    <w:rsid w:val="27082C6B"/>
    <w:rsid w:val="270D43CE"/>
    <w:rsid w:val="272479DB"/>
    <w:rsid w:val="274C6FFB"/>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BB6F02"/>
    <w:rsid w:val="2CBC069A"/>
    <w:rsid w:val="2CCA6938"/>
    <w:rsid w:val="2CFC7029"/>
    <w:rsid w:val="2D0677AA"/>
    <w:rsid w:val="2D095047"/>
    <w:rsid w:val="2D4F15F3"/>
    <w:rsid w:val="2D76092E"/>
    <w:rsid w:val="2D7C3A6A"/>
    <w:rsid w:val="2D7C5689"/>
    <w:rsid w:val="2DA03BFD"/>
    <w:rsid w:val="2DCD1F1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FA144F"/>
    <w:rsid w:val="30083B8E"/>
    <w:rsid w:val="300A3308"/>
    <w:rsid w:val="3015345B"/>
    <w:rsid w:val="30224D9D"/>
    <w:rsid w:val="307F5D4C"/>
    <w:rsid w:val="308E41E1"/>
    <w:rsid w:val="30CA5CD0"/>
    <w:rsid w:val="30E71600"/>
    <w:rsid w:val="311E5564"/>
    <w:rsid w:val="312468F3"/>
    <w:rsid w:val="31523460"/>
    <w:rsid w:val="31B662C8"/>
    <w:rsid w:val="320A5AE9"/>
    <w:rsid w:val="321C581F"/>
    <w:rsid w:val="322C3CB1"/>
    <w:rsid w:val="322E4F1A"/>
    <w:rsid w:val="32327209"/>
    <w:rsid w:val="32713375"/>
    <w:rsid w:val="328E3BC4"/>
    <w:rsid w:val="32934C0E"/>
    <w:rsid w:val="32DE2D20"/>
    <w:rsid w:val="32EC3440"/>
    <w:rsid w:val="32F1316C"/>
    <w:rsid w:val="330864C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F58A5"/>
    <w:rsid w:val="38C40167"/>
    <w:rsid w:val="38EA415C"/>
    <w:rsid w:val="3913797D"/>
    <w:rsid w:val="39A22AAB"/>
    <w:rsid w:val="39A96F8E"/>
    <w:rsid w:val="39BF365D"/>
    <w:rsid w:val="39F33306"/>
    <w:rsid w:val="3A156272"/>
    <w:rsid w:val="3A25026D"/>
    <w:rsid w:val="3A4122C4"/>
    <w:rsid w:val="3A7A77C8"/>
    <w:rsid w:val="3A8F50D0"/>
    <w:rsid w:val="3A9A748F"/>
    <w:rsid w:val="3AA86A54"/>
    <w:rsid w:val="3AF9494C"/>
    <w:rsid w:val="3B003F2D"/>
    <w:rsid w:val="3B131EB2"/>
    <w:rsid w:val="3B6A15BB"/>
    <w:rsid w:val="3B8E3833"/>
    <w:rsid w:val="3B955086"/>
    <w:rsid w:val="3B981668"/>
    <w:rsid w:val="3BA77CCD"/>
    <w:rsid w:val="3BAF03A5"/>
    <w:rsid w:val="3BBC42F8"/>
    <w:rsid w:val="3C2F320D"/>
    <w:rsid w:val="3C3D4BF2"/>
    <w:rsid w:val="3C99235D"/>
    <w:rsid w:val="3D0C5168"/>
    <w:rsid w:val="3D235CB1"/>
    <w:rsid w:val="3D780336"/>
    <w:rsid w:val="3D9D1F07"/>
    <w:rsid w:val="3D9E0548"/>
    <w:rsid w:val="3DBE7352"/>
    <w:rsid w:val="3DED3F89"/>
    <w:rsid w:val="3DF6364C"/>
    <w:rsid w:val="3E0A65B6"/>
    <w:rsid w:val="3E4D4B98"/>
    <w:rsid w:val="3E5D1C81"/>
    <w:rsid w:val="3E6F5651"/>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3D4856"/>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D70FFB"/>
    <w:rsid w:val="4E5403C0"/>
    <w:rsid w:val="4E896CF3"/>
    <w:rsid w:val="4EAD5D22"/>
    <w:rsid w:val="4EB42C0C"/>
    <w:rsid w:val="4F0C47F7"/>
    <w:rsid w:val="4F9738AB"/>
    <w:rsid w:val="4FAE1D52"/>
    <w:rsid w:val="5060049E"/>
    <w:rsid w:val="50FE3B5D"/>
    <w:rsid w:val="511D682A"/>
    <w:rsid w:val="51255DA0"/>
    <w:rsid w:val="5135267A"/>
    <w:rsid w:val="517900DB"/>
    <w:rsid w:val="51796D1B"/>
    <w:rsid w:val="51A03B11"/>
    <w:rsid w:val="51EA65FC"/>
    <w:rsid w:val="51F6353C"/>
    <w:rsid w:val="5248023B"/>
    <w:rsid w:val="52677997"/>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2A65F6"/>
    <w:rsid w:val="56356E4F"/>
    <w:rsid w:val="56A15984"/>
    <w:rsid w:val="56B41E25"/>
    <w:rsid w:val="56E85F15"/>
    <w:rsid w:val="57016EBA"/>
    <w:rsid w:val="572648C3"/>
    <w:rsid w:val="57325016"/>
    <w:rsid w:val="575D64CC"/>
    <w:rsid w:val="57AE79CC"/>
    <w:rsid w:val="57E97DCB"/>
    <w:rsid w:val="5803460F"/>
    <w:rsid w:val="582768C9"/>
    <w:rsid w:val="584165B2"/>
    <w:rsid w:val="584F18E4"/>
    <w:rsid w:val="586E26D1"/>
    <w:rsid w:val="58801DB1"/>
    <w:rsid w:val="58AB32D2"/>
    <w:rsid w:val="58D3205C"/>
    <w:rsid w:val="58EE1813"/>
    <w:rsid w:val="58F406A3"/>
    <w:rsid w:val="591C41D0"/>
    <w:rsid w:val="59211433"/>
    <w:rsid w:val="5931649C"/>
    <w:rsid w:val="593D5DD4"/>
    <w:rsid w:val="594C0103"/>
    <w:rsid w:val="597E59C8"/>
    <w:rsid w:val="59831B59"/>
    <w:rsid w:val="59EA1BD8"/>
    <w:rsid w:val="59FA62BF"/>
    <w:rsid w:val="5A12625C"/>
    <w:rsid w:val="5A225816"/>
    <w:rsid w:val="5A4F7C8D"/>
    <w:rsid w:val="5A730FD5"/>
    <w:rsid w:val="5A7C4D3F"/>
    <w:rsid w:val="5AAE149C"/>
    <w:rsid w:val="5AB75F5E"/>
    <w:rsid w:val="5ABF3065"/>
    <w:rsid w:val="5AE8436A"/>
    <w:rsid w:val="5AFB03F9"/>
    <w:rsid w:val="5B136F0D"/>
    <w:rsid w:val="5B1B7851"/>
    <w:rsid w:val="5B1C04B7"/>
    <w:rsid w:val="5B80134A"/>
    <w:rsid w:val="5BBC3F73"/>
    <w:rsid w:val="5C1B0060"/>
    <w:rsid w:val="5C5E7A60"/>
    <w:rsid w:val="5C8005D2"/>
    <w:rsid w:val="5CC901CB"/>
    <w:rsid w:val="5CDF030F"/>
    <w:rsid w:val="5D333896"/>
    <w:rsid w:val="5D726A93"/>
    <w:rsid w:val="5DA402F0"/>
    <w:rsid w:val="5DCA1F46"/>
    <w:rsid w:val="5E345B18"/>
    <w:rsid w:val="5E4F4700"/>
    <w:rsid w:val="5E5D506F"/>
    <w:rsid w:val="5E7D1355"/>
    <w:rsid w:val="5F0E3623"/>
    <w:rsid w:val="5F1F0E01"/>
    <w:rsid w:val="5F1F7677"/>
    <w:rsid w:val="5F41134C"/>
    <w:rsid w:val="5F571ABE"/>
    <w:rsid w:val="5F5A335C"/>
    <w:rsid w:val="5F6C5C7E"/>
    <w:rsid w:val="5F812FDF"/>
    <w:rsid w:val="5FA6034F"/>
    <w:rsid w:val="5FB97F54"/>
    <w:rsid w:val="601B265B"/>
    <w:rsid w:val="602269F9"/>
    <w:rsid w:val="605E0C2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9F7D1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0F591F"/>
    <w:rsid w:val="68232E85"/>
    <w:rsid w:val="6831600D"/>
    <w:rsid w:val="683F0F30"/>
    <w:rsid w:val="689877F1"/>
    <w:rsid w:val="68991C3F"/>
    <w:rsid w:val="68A322CF"/>
    <w:rsid w:val="68A47800"/>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22302"/>
    <w:rsid w:val="6D5B09CB"/>
    <w:rsid w:val="6D5F7BD0"/>
    <w:rsid w:val="6D716073"/>
    <w:rsid w:val="6D7B5B8E"/>
    <w:rsid w:val="6D8E2425"/>
    <w:rsid w:val="6DDA2238"/>
    <w:rsid w:val="6DEA7FA1"/>
    <w:rsid w:val="6DF0745F"/>
    <w:rsid w:val="6E4027F5"/>
    <w:rsid w:val="6E597A7A"/>
    <w:rsid w:val="6E8B3D8C"/>
    <w:rsid w:val="6EC32CCC"/>
    <w:rsid w:val="6EF015E7"/>
    <w:rsid w:val="6F0930F8"/>
    <w:rsid w:val="6F295EC6"/>
    <w:rsid w:val="6F3E05A4"/>
    <w:rsid w:val="6F6330AE"/>
    <w:rsid w:val="6F755C7D"/>
    <w:rsid w:val="6F871F4B"/>
    <w:rsid w:val="6FAA5C3A"/>
    <w:rsid w:val="6FD4753D"/>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3F060C"/>
    <w:rsid w:val="735C1231"/>
    <w:rsid w:val="736629D1"/>
    <w:rsid w:val="736A35EC"/>
    <w:rsid w:val="73740A39"/>
    <w:rsid w:val="73BE193C"/>
    <w:rsid w:val="73D8572D"/>
    <w:rsid w:val="73E3028B"/>
    <w:rsid w:val="742A7ABE"/>
    <w:rsid w:val="742D494E"/>
    <w:rsid w:val="74454296"/>
    <w:rsid w:val="74534AF2"/>
    <w:rsid w:val="745B7A81"/>
    <w:rsid w:val="7463285B"/>
    <w:rsid w:val="748E78D8"/>
    <w:rsid w:val="74BB4445"/>
    <w:rsid w:val="74DB3AD4"/>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962D0F"/>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F0A15FC"/>
    <w:rsid w:val="7F0C2BFC"/>
    <w:rsid w:val="7F2C0C33"/>
    <w:rsid w:val="7F2D4191"/>
    <w:rsid w:val="7F3D66B9"/>
    <w:rsid w:val="7F767868"/>
    <w:rsid w:val="7F844E8C"/>
    <w:rsid w:val="7F9F6E3D"/>
    <w:rsid w:val="7FA75CF2"/>
    <w:rsid w:val="7FE75214"/>
    <w:rsid w:val="7FF12F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en-US" w:bidi="ar-SA"/>
    </w:rPr>
  </w:style>
  <w:style w:type="paragraph" w:styleId="2">
    <w:name w:val="heading 1"/>
    <w:basedOn w:val="1"/>
    <w:next w:val="1"/>
    <w:link w:val="12"/>
    <w:qFormat/>
    <w:uiPriority w:val="9"/>
    <w:pPr>
      <w:keepNext/>
      <w:keepLines/>
      <w:spacing w:before="340" w:after="330"/>
      <w:jc w:val="left"/>
      <w:outlineLvl w:val="0"/>
    </w:pPr>
    <w:rPr>
      <w:rFonts w:eastAsia="黑体"/>
      <w:b/>
      <w:kern w:val="44"/>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Balloon Text"/>
    <w:basedOn w:val="1"/>
    <w:link w:val="14"/>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17"/>
    <w:unhideWhenUsed/>
    <w:qFormat/>
    <w:uiPriority w:val="39"/>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u w:val="single"/>
    </w:rPr>
  </w:style>
  <w:style w:type="character" w:customStyle="1" w:styleId="12">
    <w:name w:val="标题 1 Char"/>
    <w:link w:val="2"/>
    <w:qFormat/>
    <w:uiPriority w:val="9"/>
    <w:rPr>
      <w:rFonts w:eastAsia="黑体"/>
      <w:b/>
      <w:kern w:val="44"/>
      <w:sz w:val="32"/>
    </w:rPr>
  </w:style>
  <w:style w:type="character" w:customStyle="1" w:styleId="13">
    <w:name w:val="正文文本 字符"/>
    <w:basedOn w:val="10"/>
    <w:qFormat/>
    <w:uiPriority w:val="1"/>
  </w:style>
  <w:style w:type="character" w:customStyle="1" w:styleId="14">
    <w:name w:val="批注框文本 字符"/>
    <w:basedOn w:val="10"/>
    <w:link w:val="4"/>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页眉 字符"/>
    <w:basedOn w:val="10"/>
    <w:link w:val="6"/>
    <w:qFormat/>
    <w:uiPriority w:val="99"/>
    <w:rPr>
      <w:sz w:val="18"/>
      <w:szCs w:val="18"/>
    </w:rPr>
  </w:style>
  <w:style w:type="character" w:customStyle="1" w:styleId="17">
    <w:name w:val="TOC 1 字符"/>
    <w:basedOn w:val="10"/>
    <w:link w:val="7"/>
    <w:qFormat/>
    <w:uiPriority w:val="39"/>
    <w:rPr>
      <w:rFonts w:ascii="Calibri" w:hAnsi="Calibri" w:eastAsia="宋体" w:cs="Times New Roman"/>
      <w:kern w:val="2"/>
      <w:sz w:val="21"/>
      <w:szCs w:val="22"/>
    </w:rPr>
  </w:style>
  <w:style w:type="paragraph" w:customStyle="1" w:styleId="1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列出段落1"/>
    <w:basedOn w:val="1"/>
    <w:qFormat/>
    <w:uiPriority w:val="34"/>
    <w:pPr>
      <w:spacing w:line="276" w:lineRule="auto"/>
      <w:ind w:firstLine="420" w:firstLineChars="200"/>
    </w:pPr>
  </w:style>
  <w:style w:type="paragraph" w:styleId="20">
    <w:name w:val="List Paragraph"/>
    <w:basedOn w:val="1"/>
    <w:unhideWhenUsed/>
    <w:qFormat/>
    <w:uiPriority w:val="99"/>
    <w:pPr>
      <w:spacing w:line="276" w:lineRule="auto"/>
      <w:ind w:firstLine="420" w:firstLineChars="200"/>
    </w:pPr>
  </w:style>
  <w:style w:type="character" w:customStyle="1" w:styleId="21">
    <w:name w:val="pattern-text"/>
    <w:basedOn w:val="10"/>
    <w:qFormat/>
    <w:uiPriority w:val="0"/>
  </w:style>
  <w:style w:type="character" w:customStyle="1" w:styleId="22">
    <w:name w:val="indent"/>
    <w:basedOn w:val="10"/>
    <w:qFormat/>
    <w:uiPriority w:val="0"/>
  </w:style>
  <w:style w:type="character" w:customStyle="1" w:styleId="23">
    <w:name w:val="font01"/>
    <w:basedOn w:val="10"/>
    <w:qFormat/>
    <w:uiPriority w:val="0"/>
    <w:rPr>
      <w:rFonts w:hint="eastAsia" w:ascii="宋体" w:hAnsi="宋体" w:eastAsia="宋体" w:cs="宋体"/>
      <w:color w:val="000000"/>
      <w:sz w:val="22"/>
      <w:szCs w:val="22"/>
      <w:u w:val="none"/>
    </w:rPr>
  </w:style>
  <w:style w:type="character" w:customStyle="1" w:styleId="24">
    <w:name w:val="font21"/>
    <w:basedOn w:val="10"/>
    <w:qFormat/>
    <w:uiPriority w:val="0"/>
    <w:rPr>
      <w:rFonts w:hint="eastAsia" w:ascii="宋体" w:hAnsi="宋体" w:eastAsia="宋体" w:cs="宋体"/>
      <w:color w:val="000000"/>
      <w:sz w:val="18"/>
      <w:szCs w:val="18"/>
      <w:u w:val="none"/>
    </w:rPr>
  </w:style>
  <w:style w:type="paragraph" w:customStyle="1" w:styleId="25">
    <w:name w:val="TOC11"/>
    <w:basedOn w:val="7"/>
    <w:link w:val="26"/>
    <w:qFormat/>
    <w:uiPriority w:val="0"/>
    <w:pPr>
      <w:tabs>
        <w:tab w:val="right" w:leader="dot" w:pos="8306"/>
      </w:tabs>
    </w:pPr>
    <w:rPr>
      <w:rFonts w:ascii="宋体" w:hAnsi="宋体" w:eastAsia="宋体" w:cs="宋体"/>
      <w:b/>
      <w:bCs/>
      <w:sz w:val="36"/>
      <w:szCs w:val="36"/>
    </w:rPr>
  </w:style>
  <w:style w:type="character" w:customStyle="1" w:styleId="26">
    <w:name w:val="TOC11 字符"/>
    <w:basedOn w:val="17"/>
    <w:link w:val="25"/>
    <w:qFormat/>
    <w:uiPriority w:val="0"/>
    <w:rPr>
      <w:rFonts w:ascii="宋体" w:hAnsi="宋体" w:eastAsia="宋体" w:cs="宋体"/>
      <w:b/>
      <w:bCs/>
      <w:kern w:val="2"/>
      <w:sz w:val="36"/>
      <w:szCs w:val="36"/>
    </w:rPr>
  </w:style>
  <w:style w:type="paragraph" w:customStyle="1" w:styleId="27">
    <w:name w:val="TOC22"/>
    <w:basedOn w:val="7"/>
    <w:link w:val="28"/>
    <w:qFormat/>
    <w:uiPriority w:val="0"/>
    <w:pPr>
      <w:tabs>
        <w:tab w:val="right" w:leader="dot" w:pos="8306"/>
      </w:tabs>
    </w:pPr>
    <w:rPr>
      <w:rFonts w:ascii="宋体" w:hAnsi="宋体" w:eastAsia="宋体" w:cs="宋体"/>
      <w:sz w:val="36"/>
      <w:szCs w:val="36"/>
    </w:rPr>
  </w:style>
  <w:style w:type="character" w:customStyle="1" w:styleId="28">
    <w:name w:val="TOC22 字符"/>
    <w:basedOn w:val="17"/>
    <w:link w:val="27"/>
    <w:qFormat/>
    <w:uiPriority w:val="0"/>
    <w:rPr>
      <w:rFonts w:ascii="宋体" w:hAnsi="宋体" w:eastAsia="宋体" w:cs="宋体"/>
      <w:kern w:val="2"/>
      <w:sz w:val="36"/>
      <w:szCs w:val="36"/>
    </w:rPr>
  </w:style>
  <w:style w:type="table" w:customStyle="1" w:styleId="29">
    <w:name w:val="Table Normal_0"/>
    <w:semiHidden/>
    <w:unhideWhenUsed/>
    <w:qFormat/>
    <w:uiPriority w:val="0"/>
    <w:tblPr>
      <w:tblCellMar>
        <w:top w:w="0" w:type="dxa"/>
        <w:left w:w="0" w:type="dxa"/>
        <w:bottom w:w="0" w:type="dxa"/>
        <w:right w:w="0" w:type="dxa"/>
      </w:tblCellMar>
    </w:tblPr>
  </w:style>
  <w:style w:type="paragraph" w:customStyle="1" w:styleId="30">
    <w:name w:val="Normal_0"/>
    <w:qFormat/>
    <w:uiPriority w:val="0"/>
    <w:rPr>
      <w:rFonts w:ascii="Times New Roman" w:hAnsi="Times New Roman" w:eastAsia="宋体"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1152</Words>
  <Characters>2889</Characters>
  <Lines>54</Lines>
  <Paragraphs>15</Paragraphs>
  <TotalTime>4</TotalTime>
  <ScaleCrop>false</ScaleCrop>
  <LinksUpToDate>false</LinksUpToDate>
  <CharactersWithSpaces>2920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Administrator</cp:lastModifiedBy>
  <dcterms:modified xsi:type="dcterms:W3CDTF">2026-01-19T02:57:15Z</dcterms:modified>
  <cp:revision>2821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F13E57C1C5A64E889F97AFD1163AA31F_13</vt:lpwstr>
  </property>
  <property fmtid="{D5CDD505-2E9C-101B-9397-08002B2CF9AE}" pid="3" name="KSOProductBuildVer">
    <vt:lpwstr>2052-11.8.2.8875</vt:lpwstr>
  </property>
  <property fmtid="{D5CDD505-2E9C-101B-9397-08002B2CF9AE}" pid="4" name="KSOTemplateDocerSaveRecord">
    <vt:lpwstr>eyJoZGlkIjoiZDQxNTc3ZTM3ZmFjY2E1ZmFmMzBiZTY3YmUwM2IyYTkiLCJ1c2VySWQiOiI4NjEzNDc4ODAifQ==</vt:lpwstr>
  </property>
</Properties>
</file>