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599A98">
      <w:pPr>
        <w:rPr>
          <w:rFonts w:ascii="仿宋_GB2312" w:hAnsi="黑体" w:eastAsia="仿宋_GB2312"/>
          <w:sz w:val="32"/>
          <w:szCs w:val="32"/>
        </w:rPr>
      </w:pPr>
      <w:bookmarkStart w:id="0" w:name="_GoBack"/>
      <w:r>
        <w:rPr>
          <w:rFonts w:ascii="仿宋_GB2312" w:hAnsi="黑体" w:eastAsia="仿宋_GB2312"/>
          <w:sz w:val="32"/>
          <w:szCs w:val="32"/>
        </w:rPr>
        <w:t>附件</w:t>
      </w:r>
      <w:r>
        <w:rPr>
          <w:rFonts w:hint="eastAsia" w:ascii="仿宋_GB2312" w:hAnsi="黑体" w:eastAsia="仿宋_GB2312"/>
          <w:sz w:val="32"/>
          <w:szCs w:val="32"/>
        </w:rPr>
        <w:t>3</w:t>
      </w:r>
    </w:p>
    <w:p w14:paraId="5C457A22">
      <w:pPr>
        <w:spacing w:line="360" w:lineRule="auto"/>
        <w:ind w:left="-107"/>
        <w:jc w:val="center"/>
        <w:rPr>
          <w:rFonts w:ascii="仿宋_GB2312" w:hAnsi="宋体" w:eastAsia="仿宋_GB2312" w:cs="宋体"/>
          <w:color w:val="000000"/>
          <w:sz w:val="32"/>
          <w:szCs w:val="32"/>
        </w:rPr>
      </w:pPr>
      <w:r>
        <w:rPr>
          <w:rFonts w:hint="eastAsia" w:ascii="仿宋_GB2312" w:hAnsi="宋体" w:eastAsia="仿宋_GB2312" w:cs="宋体"/>
          <w:color w:val="000000"/>
          <w:sz w:val="32"/>
          <w:szCs w:val="32"/>
        </w:rPr>
        <w:t>项目报价单</w:t>
      </w:r>
    </w:p>
    <w:bookmarkEnd w:id="0"/>
    <w:tbl>
      <w:tblPr>
        <w:tblStyle w:val="2"/>
        <w:tblW w:w="9328" w:type="dxa"/>
        <w:jc w:val="center"/>
        <w:tblLayout w:type="fixed"/>
        <w:tblCellMar>
          <w:top w:w="0" w:type="dxa"/>
          <w:left w:w="108" w:type="dxa"/>
          <w:bottom w:w="0" w:type="dxa"/>
          <w:right w:w="108" w:type="dxa"/>
        </w:tblCellMar>
      </w:tblPr>
      <w:tblGrid>
        <w:gridCol w:w="4480"/>
        <w:gridCol w:w="4848"/>
      </w:tblGrid>
      <w:tr w14:paraId="313ED693">
        <w:tblPrEx>
          <w:tblCellMar>
            <w:top w:w="0" w:type="dxa"/>
            <w:left w:w="108" w:type="dxa"/>
            <w:bottom w:w="0" w:type="dxa"/>
            <w:right w:w="108" w:type="dxa"/>
          </w:tblCellMar>
        </w:tblPrEx>
        <w:trPr>
          <w:trHeight w:val="873" w:hRule="atLeast"/>
          <w:jc w:val="center"/>
        </w:trPr>
        <w:tc>
          <w:tcPr>
            <w:tcW w:w="9328" w:type="dxa"/>
            <w:gridSpan w:val="2"/>
            <w:tcBorders>
              <w:top w:val="single" w:color="auto" w:sz="4" w:space="0"/>
              <w:left w:val="single" w:color="auto" w:sz="4" w:space="0"/>
              <w:bottom w:val="single" w:color="auto" w:sz="4" w:space="0"/>
              <w:right w:val="single" w:color="auto" w:sz="4" w:space="0"/>
            </w:tcBorders>
            <w:noWrap/>
            <w:vAlign w:val="center"/>
          </w:tcPr>
          <w:p w14:paraId="1FE9E96E">
            <w:pPr>
              <w:adjustRightInd w:val="0"/>
              <w:snapToGrid w:val="0"/>
              <w:spacing w:line="240" w:lineRule="atLeas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上杭县生活垃圾焚烧发电项目及周边区域环境空气质量和蛟洋新材料产业园及周边环境空气质量监测服务项目</w:t>
            </w:r>
          </w:p>
        </w:tc>
      </w:tr>
      <w:tr w14:paraId="73D390B3">
        <w:tblPrEx>
          <w:tblCellMar>
            <w:top w:w="0" w:type="dxa"/>
            <w:left w:w="108" w:type="dxa"/>
            <w:bottom w:w="0" w:type="dxa"/>
            <w:right w:w="108" w:type="dxa"/>
          </w:tblCellMar>
        </w:tblPrEx>
        <w:trPr>
          <w:trHeight w:val="970" w:hRule="atLeast"/>
          <w:jc w:val="center"/>
        </w:trPr>
        <w:tc>
          <w:tcPr>
            <w:tcW w:w="4480" w:type="dxa"/>
            <w:tcBorders>
              <w:top w:val="single" w:color="auto" w:sz="4" w:space="0"/>
              <w:left w:val="single" w:color="auto" w:sz="4" w:space="0"/>
              <w:bottom w:val="single" w:color="auto" w:sz="4" w:space="0"/>
              <w:right w:val="single" w:color="auto" w:sz="4" w:space="0"/>
            </w:tcBorders>
            <w:noWrap/>
            <w:vAlign w:val="center"/>
          </w:tcPr>
          <w:p w14:paraId="09982FB7">
            <w:pPr>
              <w:widowControl/>
              <w:spacing w:line="360" w:lineRule="exact"/>
              <w:jc w:val="center"/>
              <w:rPr>
                <w:rFonts w:ascii="仿宋_GB2312" w:hAnsi="宋体" w:eastAsia="仿宋_GB2312" w:cs="宋体"/>
                <w:sz w:val="24"/>
                <w:szCs w:val="24"/>
              </w:rPr>
            </w:pPr>
            <w:r>
              <w:rPr>
                <w:rFonts w:hint="eastAsia" w:ascii="仿宋_GB2312" w:hAnsi="宋体" w:eastAsia="仿宋_GB2312" w:cs="宋体"/>
                <w:sz w:val="24"/>
                <w:szCs w:val="24"/>
              </w:rPr>
              <w:t>上杭县生活垃圾焚烧发电项目及周边区域环境空气质量监测服务总价（万元）</w:t>
            </w:r>
          </w:p>
        </w:tc>
        <w:tc>
          <w:tcPr>
            <w:tcW w:w="4848" w:type="dxa"/>
            <w:tcBorders>
              <w:top w:val="single" w:color="auto" w:sz="4" w:space="0"/>
              <w:left w:val="single" w:color="auto" w:sz="4" w:space="0"/>
              <w:bottom w:val="single" w:color="auto" w:sz="4" w:space="0"/>
              <w:right w:val="single" w:color="auto" w:sz="4" w:space="0"/>
            </w:tcBorders>
            <w:noWrap/>
            <w:vAlign w:val="center"/>
          </w:tcPr>
          <w:p w14:paraId="6FBCBBD1">
            <w:pPr>
              <w:widowControl/>
              <w:spacing w:line="360" w:lineRule="exact"/>
              <w:jc w:val="center"/>
              <w:rPr>
                <w:rFonts w:ascii="仿宋_GB2312" w:hAnsi="宋体" w:eastAsia="仿宋_GB2312" w:cs="宋体"/>
                <w:sz w:val="24"/>
                <w:szCs w:val="24"/>
              </w:rPr>
            </w:pPr>
          </w:p>
        </w:tc>
      </w:tr>
      <w:tr w14:paraId="61A05695">
        <w:tblPrEx>
          <w:tblCellMar>
            <w:top w:w="0" w:type="dxa"/>
            <w:left w:w="108" w:type="dxa"/>
            <w:bottom w:w="0" w:type="dxa"/>
            <w:right w:w="108" w:type="dxa"/>
          </w:tblCellMar>
        </w:tblPrEx>
        <w:trPr>
          <w:trHeight w:val="983" w:hRule="atLeast"/>
          <w:jc w:val="center"/>
        </w:trPr>
        <w:tc>
          <w:tcPr>
            <w:tcW w:w="4480" w:type="dxa"/>
            <w:tcBorders>
              <w:top w:val="single" w:color="auto" w:sz="4" w:space="0"/>
              <w:left w:val="single" w:color="auto" w:sz="4" w:space="0"/>
              <w:bottom w:val="single" w:color="auto" w:sz="4" w:space="0"/>
              <w:right w:val="single" w:color="auto" w:sz="4" w:space="0"/>
            </w:tcBorders>
            <w:noWrap/>
            <w:vAlign w:val="center"/>
          </w:tcPr>
          <w:p w14:paraId="69FB9046">
            <w:pPr>
              <w:widowControl/>
              <w:spacing w:line="360" w:lineRule="exact"/>
              <w:jc w:val="center"/>
              <w:rPr>
                <w:rFonts w:ascii="仿宋_GB2312" w:hAnsi="宋体" w:eastAsia="仿宋_GB2312" w:cs="宋体"/>
                <w:sz w:val="24"/>
                <w:szCs w:val="24"/>
              </w:rPr>
            </w:pPr>
            <w:r>
              <w:rPr>
                <w:rFonts w:hint="eastAsia" w:ascii="仿宋_GB2312" w:hAnsi="宋体" w:eastAsia="仿宋_GB2312" w:cs="宋体"/>
                <w:color w:val="000000"/>
                <w:sz w:val="24"/>
                <w:szCs w:val="24"/>
              </w:rPr>
              <w:t>蛟洋新材料产业园周边环境空气质量监测服务</w:t>
            </w:r>
            <w:r>
              <w:rPr>
                <w:rFonts w:hint="eastAsia" w:ascii="仿宋_GB2312" w:hAnsi="宋体" w:eastAsia="仿宋_GB2312" w:cs="宋体"/>
                <w:sz w:val="24"/>
                <w:szCs w:val="24"/>
              </w:rPr>
              <w:t>总价（万元）</w:t>
            </w:r>
          </w:p>
        </w:tc>
        <w:tc>
          <w:tcPr>
            <w:tcW w:w="4848" w:type="dxa"/>
            <w:tcBorders>
              <w:top w:val="single" w:color="auto" w:sz="4" w:space="0"/>
              <w:left w:val="single" w:color="auto" w:sz="4" w:space="0"/>
              <w:bottom w:val="single" w:color="auto" w:sz="4" w:space="0"/>
              <w:right w:val="single" w:color="auto" w:sz="4" w:space="0"/>
            </w:tcBorders>
            <w:noWrap/>
            <w:vAlign w:val="center"/>
          </w:tcPr>
          <w:p w14:paraId="16F1D34E">
            <w:pPr>
              <w:widowControl/>
              <w:spacing w:line="360" w:lineRule="exact"/>
              <w:jc w:val="center"/>
              <w:rPr>
                <w:rFonts w:ascii="仿宋_GB2312" w:hAnsi="宋体" w:eastAsia="仿宋_GB2312" w:cs="宋体"/>
                <w:sz w:val="24"/>
                <w:szCs w:val="24"/>
              </w:rPr>
            </w:pPr>
          </w:p>
        </w:tc>
      </w:tr>
      <w:tr w14:paraId="3EA0EC25">
        <w:tblPrEx>
          <w:tblCellMar>
            <w:top w:w="0" w:type="dxa"/>
            <w:left w:w="108" w:type="dxa"/>
            <w:bottom w:w="0" w:type="dxa"/>
            <w:right w:w="108" w:type="dxa"/>
          </w:tblCellMar>
        </w:tblPrEx>
        <w:trPr>
          <w:trHeight w:val="983" w:hRule="atLeast"/>
          <w:jc w:val="center"/>
        </w:trPr>
        <w:tc>
          <w:tcPr>
            <w:tcW w:w="4480" w:type="dxa"/>
            <w:tcBorders>
              <w:top w:val="single" w:color="auto" w:sz="4" w:space="0"/>
              <w:left w:val="single" w:color="auto" w:sz="4" w:space="0"/>
              <w:bottom w:val="single" w:color="auto" w:sz="4" w:space="0"/>
              <w:right w:val="single" w:color="auto" w:sz="4" w:space="0"/>
            </w:tcBorders>
            <w:noWrap/>
            <w:vAlign w:val="center"/>
          </w:tcPr>
          <w:p w14:paraId="2D26BD2D">
            <w:pPr>
              <w:widowControl/>
              <w:spacing w:line="360" w:lineRule="exact"/>
              <w:jc w:val="center"/>
              <w:rPr>
                <w:rFonts w:ascii="仿宋_GB2312" w:hAnsi="宋体" w:eastAsia="仿宋_GB2312" w:cs="宋体"/>
                <w:color w:val="000000"/>
                <w:sz w:val="24"/>
                <w:szCs w:val="24"/>
              </w:rPr>
            </w:pPr>
            <w:r>
              <w:rPr>
                <w:rFonts w:hint="eastAsia" w:ascii="仿宋_GB2312" w:hAnsi="宋体" w:eastAsia="仿宋_GB2312" w:cs="宋体"/>
                <w:color w:val="000000"/>
                <w:sz w:val="24"/>
                <w:szCs w:val="24"/>
              </w:rPr>
              <w:t>合计</w:t>
            </w:r>
            <w:r>
              <w:rPr>
                <w:rFonts w:hint="eastAsia" w:ascii="仿宋_GB2312" w:hAnsi="宋体" w:eastAsia="仿宋_GB2312" w:cs="宋体"/>
                <w:sz w:val="24"/>
                <w:szCs w:val="24"/>
              </w:rPr>
              <w:t>（万元）</w:t>
            </w:r>
          </w:p>
        </w:tc>
        <w:tc>
          <w:tcPr>
            <w:tcW w:w="4848" w:type="dxa"/>
            <w:tcBorders>
              <w:top w:val="single" w:color="auto" w:sz="4" w:space="0"/>
              <w:left w:val="single" w:color="auto" w:sz="4" w:space="0"/>
              <w:bottom w:val="single" w:color="auto" w:sz="4" w:space="0"/>
              <w:right w:val="single" w:color="auto" w:sz="4" w:space="0"/>
            </w:tcBorders>
            <w:noWrap/>
            <w:vAlign w:val="center"/>
          </w:tcPr>
          <w:p w14:paraId="0CB10846">
            <w:pPr>
              <w:widowControl/>
              <w:spacing w:line="360" w:lineRule="exact"/>
              <w:jc w:val="center"/>
              <w:rPr>
                <w:rFonts w:ascii="仿宋_GB2312" w:hAnsi="宋体" w:eastAsia="仿宋_GB2312" w:cs="宋体"/>
                <w:sz w:val="24"/>
                <w:szCs w:val="24"/>
              </w:rPr>
            </w:pPr>
          </w:p>
        </w:tc>
      </w:tr>
      <w:tr w14:paraId="341E7619">
        <w:tblPrEx>
          <w:tblCellMar>
            <w:top w:w="0" w:type="dxa"/>
            <w:left w:w="108" w:type="dxa"/>
            <w:bottom w:w="0" w:type="dxa"/>
            <w:right w:w="108" w:type="dxa"/>
          </w:tblCellMar>
        </w:tblPrEx>
        <w:trPr>
          <w:trHeight w:val="2401" w:hRule="atLeast"/>
          <w:jc w:val="center"/>
        </w:trPr>
        <w:tc>
          <w:tcPr>
            <w:tcW w:w="9328" w:type="dxa"/>
            <w:gridSpan w:val="2"/>
            <w:tcBorders>
              <w:top w:val="single" w:color="auto" w:sz="4" w:space="0"/>
              <w:left w:val="single" w:color="auto" w:sz="4" w:space="0"/>
              <w:bottom w:val="single" w:color="auto" w:sz="4" w:space="0"/>
              <w:right w:val="single" w:color="auto" w:sz="4" w:space="0"/>
            </w:tcBorders>
            <w:noWrap/>
            <w:vAlign w:val="center"/>
          </w:tcPr>
          <w:p w14:paraId="12251559">
            <w:pPr>
              <w:widowControl/>
              <w:spacing w:line="360" w:lineRule="exact"/>
              <w:jc w:val="left"/>
              <w:rPr>
                <w:rFonts w:ascii="仿宋_GB2312" w:hAnsi="宋体" w:eastAsia="仿宋_GB2312" w:cs="宋体"/>
                <w:sz w:val="24"/>
                <w:szCs w:val="24"/>
              </w:rPr>
            </w:pPr>
            <w:r>
              <w:rPr>
                <w:rFonts w:hint="eastAsia" w:ascii="仿宋_GB2312" w:hAnsi="宋体" w:eastAsia="仿宋_GB2312" w:cs="宋体"/>
                <w:sz w:val="24"/>
                <w:szCs w:val="24"/>
              </w:rPr>
              <w:t>报价单位：</w:t>
            </w:r>
          </w:p>
          <w:p w14:paraId="216C3AA0">
            <w:pPr>
              <w:widowControl/>
              <w:spacing w:line="360" w:lineRule="exact"/>
              <w:jc w:val="left"/>
              <w:rPr>
                <w:rFonts w:ascii="仿宋_GB2312" w:hAnsi="宋体" w:eastAsia="仿宋_GB2312" w:cs="宋体"/>
                <w:sz w:val="24"/>
                <w:szCs w:val="24"/>
              </w:rPr>
            </w:pPr>
          </w:p>
          <w:p w14:paraId="15743B5D">
            <w:pPr>
              <w:widowControl/>
              <w:spacing w:line="360" w:lineRule="exact"/>
              <w:jc w:val="left"/>
              <w:rPr>
                <w:rFonts w:ascii="仿宋_GB2312" w:hAnsi="宋体" w:eastAsia="仿宋_GB2312" w:cs="宋体"/>
                <w:sz w:val="24"/>
                <w:szCs w:val="24"/>
              </w:rPr>
            </w:pPr>
          </w:p>
          <w:p w14:paraId="0226C7A6">
            <w:pPr>
              <w:widowControl/>
              <w:spacing w:line="360" w:lineRule="exact"/>
              <w:jc w:val="left"/>
              <w:rPr>
                <w:rFonts w:ascii="仿宋_GB2312" w:hAnsi="宋体" w:eastAsia="仿宋_GB2312" w:cs="宋体"/>
                <w:sz w:val="24"/>
                <w:szCs w:val="24"/>
              </w:rPr>
            </w:pPr>
          </w:p>
          <w:p w14:paraId="24AD5120">
            <w:pPr>
              <w:widowControl/>
              <w:spacing w:line="360" w:lineRule="exact"/>
              <w:jc w:val="left"/>
              <w:rPr>
                <w:rFonts w:ascii="仿宋_GB2312" w:hAnsi="宋体" w:eastAsia="仿宋_GB2312" w:cs="宋体"/>
                <w:sz w:val="24"/>
                <w:szCs w:val="24"/>
              </w:rPr>
            </w:pPr>
            <w:r>
              <w:rPr>
                <w:rFonts w:hint="eastAsia" w:ascii="仿宋_GB2312" w:hAnsi="宋体" w:eastAsia="仿宋_GB2312" w:cs="宋体"/>
                <w:sz w:val="24"/>
                <w:szCs w:val="24"/>
              </w:rPr>
              <w:t>报价时间：</w:t>
            </w:r>
          </w:p>
          <w:p w14:paraId="1C6884EE">
            <w:pPr>
              <w:widowControl/>
              <w:spacing w:line="360" w:lineRule="exact"/>
              <w:jc w:val="left"/>
              <w:rPr>
                <w:rFonts w:ascii="仿宋_GB2312" w:hAnsi="宋体" w:eastAsia="仿宋_GB2312" w:cs="宋体"/>
                <w:sz w:val="24"/>
                <w:szCs w:val="24"/>
              </w:rPr>
            </w:pPr>
          </w:p>
          <w:p w14:paraId="720C2753">
            <w:pPr>
              <w:widowControl/>
              <w:spacing w:line="360" w:lineRule="exact"/>
              <w:jc w:val="left"/>
              <w:rPr>
                <w:rFonts w:ascii="仿宋_GB2312" w:hAnsi="宋体" w:eastAsia="仿宋_GB2312" w:cs="宋体"/>
                <w:sz w:val="24"/>
                <w:szCs w:val="24"/>
              </w:rPr>
            </w:pPr>
            <w:r>
              <w:rPr>
                <w:rFonts w:hint="eastAsia" w:ascii="仿宋_GB2312" w:hAnsi="宋体" w:eastAsia="仿宋_GB2312" w:cs="宋体"/>
                <w:sz w:val="24"/>
                <w:szCs w:val="24"/>
              </w:rPr>
              <w:t>联系人：</w:t>
            </w:r>
          </w:p>
          <w:p w14:paraId="5A25D413">
            <w:pPr>
              <w:widowControl/>
              <w:spacing w:line="360" w:lineRule="exact"/>
              <w:jc w:val="left"/>
              <w:rPr>
                <w:rFonts w:ascii="仿宋_GB2312" w:hAnsi="宋体" w:eastAsia="仿宋_GB2312" w:cs="宋体"/>
                <w:sz w:val="24"/>
                <w:szCs w:val="24"/>
              </w:rPr>
            </w:pPr>
          </w:p>
          <w:p w14:paraId="71339BC2">
            <w:pPr>
              <w:widowControl/>
              <w:spacing w:line="360" w:lineRule="exact"/>
              <w:jc w:val="left"/>
              <w:rPr>
                <w:rFonts w:ascii="仿宋_GB2312" w:hAnsi="宋体" w:eastAsia="仿宋_GB2312" w:cs="宋体"/>
                <w:sz w:val="24"/>
                <w:szCs w:val="24"/>
              </w:rPr>
            </w:pPr>
            <w:r>
              <w:rPr>
                <w:rFonts w:hint="eastAsia" w:ascii="仿宋_GB2312" w:hAnsi="宋体" w:eastAsia="仿宋_GB2312" w:cs="宋体"/>
                <w:sz w:val="24"/>
                <w:szCs w:val="24"/>
              </w:rPr>
              <w:t>联系电话：</w:t>
            </w:r>
          </w:p>
          <w:p w14:paraId="493EF120">
            <w:pPr>
              <w:widowControl/>
              <w:spacing w:line="360" w:lineRule="exact"/>
              <w:jc w:val="left"/>
              <w:rPr>
                <w:rFonts w:ascii="仿宋_GB2312" w:hAnsi="宋体" w:eastAsia="仿宋_GB2312" w:cs="宋体"/>
                <w:sz w:val="24"/>
                <w:szCs w:val="24"/>
              </w:rPr>
            </w:pPr>
          </w:p>
        </w:tc>
      </w:tr>
    </w:tbl>
    <w:p w14:paraId="21BD2AF6">
      <w:pPr>
        <w:ind w:firstLine="640" w:firstLineChars="200"/>
        <w:rPr>
          <w:rFonts w:ascii="仿宋_GB2312" w:hAnsi="黑体" w:eastAsia="仿宋_GB2312"/>
          <w:sz w:val="32"/>
          <w:szCs w:val="32"/>
        </w:rPr>
      </w:pPr>
    </w:p>
    <w:p w14:paraId="2C5647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415DD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点点头</cp:lastModifiedBy>
  <dcterms:modified xsi:type="dcterms:W3CDTF">2025-04-22T09:37:45Z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eyJoZGlkIjoiMTljZTFlM2MyZjk2NzJhOGE1NjM4YTRmNjgxZTI1YWUiLCJ1c2VySWQiOiI2MjkyMjI3NTcifQ==</vt:lpwstr>
  </property>
  <property fmtid="{D5CDD505-2E9C-101B-9397-08002B2CF9AE}" pid="4" name="ICV">
    <vt:lpwstr>805FF6D1B32D4679995EAF4638B61F34_12</vt:lpwstr>
  </property>
</Properties>
</file>