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hint="eastAsia" w:ascii="方正小标宋简体" w:hAnsi="方正小标宋简体" w:eastAsia="方正小标宋简体" w:cs="方正小标宋简体"/>
          <w:kern w:val="0"/>
          <w:sz w:val="44"/>
          <w:szCs w:val="44"/>
        </w:rPr>
      </w:pPr>
      <w:bookmarkStart w:id="0" w:name="fbt"/>
      <w:r>
        <w:rPr>
          <w:rFonts w:hint="eastAsia" w:ascii="方正小标宋简体" w:hAnsi="方正小标宋简体" w:eastAsia="方正小标宋简体" w:cs="方正小标宋简体"/>
          <w:kern w:val="0"/>
          <w:sz w:val="44"/>
          <w:szCs w:val="44"/>
        </w:rPr>
        <w:t>20</w:t>
      </w:r>
      <w:r>
        <w:rPr>
          <w:rFonts w:hint="eastAsia" w:ascii="方正小标宋简体" w:hAnsi="方正小标宋简体" w:eastAsia="方正小标宋简体" w:cs="方正小标宋简体"/>
          <w:kern w:val="0"/>
          <w:sz w:val="44"/>
          <w:szCs w:val="44"/>
          <w:lang w:val="en-US" w:eastAsia="zh-CN"/>
        </w:rPr>
        <w:t>22</w:t>
      </w:r>
      <w:r>
        <w:rPr>
          <w:rFonts w:hint="eastAsia" w:ascii="方正小标宋简体" w:hAnsi="方正小标宋简体" w:eastAsia="方正小标宋简体" w:cs="方正小标宋简体"/>
          <w:kern w:val="0"/>
          <w:sz w:val="44"/>
          <w:szCs w:val="44"/>
        </w:rPr>
        <w:t>年度</w:t>
      </w:r>
      <w:r>
        <w:rPr>
          <w:rFonts w:hint="eastAsia" w:ascii="方正小标宋简体" w:hAnsi="方正小标宋简体" w:eastAsia="方正小标宋简体" w:cs="方正小标宋简体"/>
          <w:kern w:val="0"/>
          <w:sz w:val="44"/>
          <w:szCs w:val="44"/>
          <w:lang w:eastAsia="zh-CN"/>
        </w:rPr>
        <w:t>上杭县县</w:t>
      </w:r>
      <w:r>
        <w:rPr>
          <w:rFonts w:hint="eastAsia" w:ascii="方正小标宋简体" w:hAnsi="方正小标宋简体" w:eastAsia="方正小标宋简体" w:cs="方正小标宋简体"/>
          <w:kern w:val="0"/>
          <w:sz w:val="44"/>
          <w:szCs w:val="44"/>
        </w:rPr>
        <w:t>本级“三公”经费</w:t>
      </w:r>
    </w:p>
    <w:p>
      <w:pPr>
        <w:keepNext w:val="0"/>
        <w:keepLines w:val="0"/>
        <w:pageBreakBefore w:val="0"/>
        <w:widowControl/>
        <w:kinsoku/>
        <w:wordWrap/>
        <w:overflowPunct/>
        <w:topLinePunct w:val="0"/>
        <w:autoSpaceDE/>
        <w:autoSpaceDN/>
        <w:bidi w:val="0"/>
        <w:adjustRightInd/>
        <w:snapToGrid w:val="0"/>
        <w:spacing w:beforeAutospacing="0" w:afterAutospacing="0" w:line="580" w:lineRule="exact"/>
        <w:ind w:left="0" w:leftChars="0" w:right="0" w:rightChars="0"/>
        <w:jc w:val="center"/>
        <w:textAlignment w:val="auto"/>
        <w:outlineLvl w:val="9"/>
        <w:rPr>
          <w:rFonts w:ascii="宋体" w:hAnsi="宋体" w:eastAsia="宋体" w:cs="宋体"/>
          <w:kern w:val="0"/>
          <w:sz w:val="24"/>
          <w:szCs w:val="24"/>
        </w:rPr>
      </w:pPr>
      <w:r>
        <w:rPr>
          <w:rFonts w:hint="eastAsia" w:ascii="方正小标宋简体" w:hAnsi="方正小标宋简体" w:eastAsia="方正小标宋简体" w:cs="方正小标宋简体"/>
          <w:kern w:val="0"/>
          <w:sz w:val="44"/>
          <w:szCs w:val="44"/>
        </w:rPr>
        <w:t>决算支出情况</w:t>
      </w:r>
      <w:bookmarkEnd w:id="0"/>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eastAsia" w:ascii="仿宋" w:hAnsi="仿宋" w:eastAsia="仿宋"/>
          <w:sz w:val="32"/>
          <w:szCs w:val="32"/>
        </w:rPr>
      </w:pP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经汇总，本级20</w:t>
      </w:r>
      <w:r>
        <w:rPr>
          <w:rFonts w:hint="eastAsia" w:ascii="Times New Roman" w:hAnsi="Times New Roman" w:eastAsia="仿宋" w:cs="Times New Roman"/>
          <w:sz w:val="32"/>
          <w:szCs w:val="32"/>
          <w:lang w:val="en-US" w:eastAsia="zh-CN"/>
        </w:rPr>
        <w:t>22</w:t>
      </w:r>
      <w:r>
        <w:rPr>
          <w:rFonts w:hint="default" w:ascii="Times New Roman" w:hAnsi="Times New Roman" w:eastAsia="仿宋" w:cs="Times New Roman"/>
          <w:sz w:val="32"/>
          <w:szCs w:val="32"/>
        </w:rPr>
        <w:t>年使用一般公共预算拨款安排的“三公”经费决算数为</w:t>
      </w:r>
      <w:r>
        <w:rPr>
          <w:rFonts w:hint="eastAsia" w:ascii="Times New Roman" w:hAnsi="Times New Roman" w:eastAsia="仿宋" w:cs="Times New Roman"/>
          <w:sz w:val="32"/>
          <w:szCs w:val="32"/>
          <w:lang w:val="en-US" w:eastAsia="zh-CN"/>
        </w:rPr>
        <w:t>1233</w:t>
      </w:r>
      <w:r>
        <w:rPr>
          <w:rFonts w:hint="default" w:ascii="Times New Roman" w:hAnsi="Times New Roman" w:eastAsia="仿宋" w:cs="Times New Roman"/>
          <w:sz w:val="32"/>
          <w:szCs w:val="32"/>
        </w:rPr>
        <w:t>万元，比上年决算数</w:t>
      </w:r>
      <w:r>
        <w:rPr>
          <w:rFonts w:hint="eastAsia" w:ascii="Times New Roman" w:hAnsi="Times New Roman" w:eastAsia="仿宋" w:cs="Times New Roman"/>
          <w:sz w:val="32"/>
          <w:szCs w:val="32"/>
          <w:lang w:val="en-US" w:eastAsia="zh-CN"/>
        </w:rPr>
        <w:t>减少34</w:t>
      </w:r>
      <w:r>
        <w:rPr>
          <w:rFonts w:hint="default" w:ascii="Times New Roman" w:hAnsi="Times New Roman" w:eastAsia="仿宋" w:cs="Times New Roman"/>
          <w:sz w:val="32"/>
          <w:szCs w:val="32"/>
        </w:rPr>
        <w:t>万元</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color w:val="auto"/>
          <w:sz w:val="32"/>
          <w:szCs w:val="32"/>
          <w:u w:val="none" w:color="auto"/>
          <w:lang w:eastAsia="zh-CN"/>
        </w:rPr>
        <w:t>减幅</w:t>
      </w:r>
      <w:r>
        <w:rPr>
          <w:rFonts w:hint="eastAsia" w:ascii="Times New Roman" w:hAnsi="Times New Roman" w:eastAsia="仿宋" w:cs="Times New Roman"/>
          <w:color w:val="auto"/>
          <w:sz w:val="32"/>
          <w:szCs w:val="32"/>
          <w:u w:val="none" w:color="auto"/>
          <w:lang w:val="en-US" w:eastAsia="zh-CN"/>
        </w:rPr>
        <w:t>2.68</w:t>
      </w:r>
      <w:r>
        <w:rPr>
          <w:rFonts w:hint="default" w:ascii="Times New Roman" w:hAnsi="Times New Roman" w:eastAsia="仿宋" w:cs="Times New Roman"/>
          <w:color w:val="auto"/>
          <w:sz w:val="32"/>
          <w:szCs w:val="32"/>
          <w:u w:val="none" w:color="auto"/>
        </w:rPr>
        <w:t>%</w:t>
      </w:r>
      <w:r>
        <w:rPr>
          <w:rFonts w:hint="eastAsia" w:ascii="Times New Roman" w:hAnsi="Times New Roman" w:eastAsia="仿宋" w:cs="Times New Roman"/>
          <w:color w:val="auto"/>
          <w:sz w:val="32"/>
          <w:szCs w:val="32"/>
          <w:u w:val="none" w:color="auto"/>
          <w:lang w:eastAsia="zh-CN"/>
        </w:rPr>
        <w:t>，</w:t>
      </w:r>
      <w:r>
        <w:rPr>
          <w:rFonts w:hint="eastAsia" w:ascii="Times New Roman" w:hAnsi="Times New Roman" w:eastAsia="仿宋" w:cs="Times New Roman"/>
          <w:sz w:val="32"/>
          <w:szCs w:val="32"/>
          <w:lang w:eastAsia="zh-CN"/>
        </w:rPr>
        <w:t>比年初预算数减少</w:t>
      </w:r>
      <w:r>
        <w:rPr>
          <w:rFonts w:hint="eastAsia" w:ascii="Times New Roman" w:hAnsi="Times New Roman" w:eastAsia="仿宋" w:cs="Times New Roman"/>
          <w:sz w:val="32"/>
          <w:szCs w:val="32"/>
          <w:lang w:val="en-US" w:eastAsia="zh-CN"/>
        </w:rPr>
        <w:t>200万元，压减13.96</w:t>
      </w:r>
      <w:r>
        <w:rPr>
          <w:rFonts w:hint="default" w:ascii="Times New Roman" w:hAnsi="Times New Roman" w:eastAsia="仿宋" w:cs="Times New Roman"/>
          <w:color w:val="auto"/>
          <w:sz w:val="32"/>
          <w:szCs w:val="32"/>
          <w:u w:val="none" w:color="auto"/>
        </w:rPr>
        <w:t>%。</w:t>
      </w:r>
      <w:r>
        <w:rPr>
          <w:rFonts w:hint="default" w:ascii="Times New Roman" w:hAnsi="Times New Roman" w:eastAsia="仿宋" w:cs="Times New Roman"/>
          <w:sz w:val="32"/>
          <w:szCs w:val="32"/>
        </w:rPr>
        <w:t>具体情况如下：</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因公出国（境）经费</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万元，全年</w:t>
      </w:r>
      <w:r>
        <w:rPr>
          <w:rFonts w:hint="default" w:ascii="Times New Roman" w:hAnsi="Times New Roman" w:eastAsia="仿宋" w:cs="Times New Roman"/>
          <w:sz w:val="32"/>
          <w:szCs w:val="32"/>
          <w:lang w:eastAsia="zh-CN"/>
        </w:rPr>
        <w:t>县</w:t>
      </w:r>
      <w:r>
        <w:rPr>
          <w:rFonts w:hint="default" w:ascii="Times New Roman" w:hAnsi="Times New Roman" w:eastAsia="仿宋" w:cs="Times New Roman"/>
          <w:sz w:val="32"/>
          <w:szCs w:val="32"/>
        </w:rPr>
        <w:t>本级部门组织出国团组</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个，因公出国（境）累计</w:t>
      </w:r>
      <w:r>
        <w:rPr>
          <w:rFonts w:hint="eastAsia" w:ascii="Times New Roman" w:hAnsi="Times New Roman" w:eastAsia="仿宋" w:cs="Times New Roman"/>
          <w:sz w:val="32"/>
          <w:szCs w:val="32"/>
          <w:lang w:val="en-US" w:eastAsia="zh-CN"/>
        </w:rPr>
        <w:t>0</w:t>
      </w:r>
      <w:r>
        <w:rPr>
          <w:rFonts w:hint="default" w:ascii="Times New Roman" w:hAnsi="Times New Roman" w:eastAsia="仿宋" w:cs="Times New Roman"/>
          <w:sz w:val="32"/>
          <w:szCs w:val="32"/>
        </w:rPr>
        <w:t>人次。与上年决算数</w:t>
      </w:r>
      <w:r>
        <w:rPr>
          <w:rFonts w:hint="eastAsia" w:ascii="Times New Roman" w:hAnsi="Times New Roman" w:eastAsia="仿宋" w:cs="Times New Roman"/>
          <w:sz w:val="32"/>
          <w:szCs w:val="32"/>
          <w:lang w:eastAsia="zh-CN"/>
        </w:rPr>
        <w:t>持平</w:t>
      </w:r>
      <w:r>
        <w:rPr>
          <w:rFonts w:hint="eastAsia" w:ascii="Times New Roman" w:hAnsi="Times New Roman" w:eastAsia="仿宋" w:cs="Times New Roman"/>
          <w:sz w:val="32"/>
          <w:szCs w:val="32"/>
          <w:lang w:val="en-US" w:eastAsia="zh-CN"/>
        </w:rPr>
        <w:t>；与年初预算数持平</w:t>
      </w:r>
      <w:r>
        <w:rPr>
          <w:rFonts w:hint="default" w:ascii="Times New Roman" w:hAnsi="Times New Roman" w:eastAsia="仿宋" w:cs="Times New Roman"/>
          <w:sz w:val="32"/>
          <w:szCs w:val="32"/>
          <w:lang w:eastAsia="zh-CN"/>
        </w:rPr>
        <w:t>。</w:t>
      </w:r>
    </w:p>
    <w:p>
      <w:pPr>
        <w:keepNext w:val="0"/>
        <w:keepLines w:val="0"/>
        <w:pageBreakBefore w:val="0"/>
        <w:numPr>
          <w:ilvl w:val="0"/>
          <w:numId w:val="1"/>
        </w:numPr>
        <w:kinsoku/>
        <w:wordWrap/>
        <w:overflowPunct/>
        <w:topLinePunct w:val="0"/>
        <w:autoSpaceDE/>
        <w:autoSpaceDN/>
        <w:bidi w:val="0"/>
        <w:adjustRightInd/>
        <w:spacing w:beforeAutospacing="0" w:afterAutospacing="0" w:line="580" w:lineRule="exact"/>
        <w:ind w:left="0" w:leftChars="0" w:right="0" w:rightChars="0" w:firstLine="645"/>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lang w:eastAsia="zh-CN"/>
        </w:rPr>
        <w:t>公务用车购置及运行维护费</w:t>
      </w:r>
      <w:r>
        <w:rPr>
          <w:rFonts w:hint="eastAsia" w:ascii="Times New Roman" w:hAnsi="Times New Roman" w:eastAsia="仿宋" w:cs="Times New Roman"/>
          <w:sz w:val="32"/>
          <w:szCs w:val="32"/>
          <w:lang w:val="en-US" w:eastAsia="zh-CN"/>
        </w:rPr>
        <w:t>980</w:t>
      </w:r>
      <w:r>
        <w:rPr>
          <w:rFonts w:hint="default" w:ascii="Times New Roman" w:hAnsi="Times New Roman" w:eastAsia="仿宋" w:cs="Times New Roman"/>
          <w:sz w:val="32"/>
          <w:szCs w:val="32"/>
          <w:lang w:val="en-US" w:eastAsia="zh-CN"/>
        </w:rPr>
        <w:t>万元。其中：</w:t>
      </w:r>
      <w:r>
        <w:rPr>
          <w:rFonts w:hint="default" w:ascii="Times New Roman" w:hAnsi="Times New Roman" w:eastAsia="仿宋" w:cs="Times New Roman"/>
          <w:sz w:val="32"/>
          <w:szCs w:val="32"/>
          <w:highlight w:val="none"/>
          <w:lang w:val="en-US" w:eastAsia="zh-CN"/>
        </w:rPr>
        <w:t>公务</w:t>
      </w:r>
      <w:r>
        <w:rPr>
          <w:rFonts w:hint="default" w:ascii="Times New Roman" w:hAnsi="Times New Roman" w:eastAsia="仿宋" w:cs="Times New Roman"/>
          <w:sz w:val="32"/>
          <w:szCs w:val="32"/>
          <w:highlight w:val="none"/>
        </w:rPr>
        <w:t>公务用车购置经费</w:t>
      </w:r>
      <w:r>
        <w:rPr>
          <w:rFonts w:hint="eastAsia" w:ascii="Times New Roman" w:hAnsi="Times New Roman" w:eastAsia="仿宋" w:cs="Times New Roman"/>
          <w:sz w:val="32"/>
          <w:szCs w:val="32"/>
          <w:highlight w:val="none"/>
          <w:lang w:val="en-US" w:eastAsia="zh-CN"/>
        </w:rPr>
        <w:t>108</w:t>
      </w:r>
      <w:r>
        <w:rPr>
          <w:rFonts w:hint="default" w:ascii="Times New Roman" w:hAnsi="Times New Roman" w:eastAsia="仿宋" w:cs="Times New Roman"/>
          <w:sz w:val="32"/>
          <w:szCs w:val="32"/>
          <w:highlight w:val="none"/>
        </w:rPr>
        <w:t>万元，</w:t>
      </w:r>
      <w:r>
        <w:rPr>
          <w:rFonts w:hint="default" w:ascii="Times New Roman" w:hAnsi="Times New Roman" w:eastAsia="仿宋" w:cs="Times New Roman"/>
          <w:sz w:val="32"/>
          <w:szCs w:val="32"/>
          <w:highlight w:val="none"/>
          <w:lang w:eastAsia="zh-CN"/>
        </w:rPr>
        <w:t>公务用车购置</w:t>
      </w:r>
      <w:r>
        <w:rPr>
          <w:rFonts w:hint="eastAsia" w:ascii="Times New Roman" w:hAnsi="Times New Roman" w:eastAsia="仿宋" w:cs="Times New Roman"/>
          <w:sz w:val="32"/>
          <w:szCs w:val="32"/>
          <w:highlight w:val="none"/>
          <w:lang w:val="en-US" w:eastAsia="zh-CN"/>
        </w:rPr>
        <w:t>5</w:t>
      </w:r>
      <w:r>
        <w:rPr>
          <w:rFonts w:hint="default" w:ascii="Times New Roman" w:hAnsi="Times New Roman" w:eastAsia="仿宋" w:cs="Times New Roman"/>
          <w:sz w:val="32"/>
          <w:szCs w:val="32"/>
          <w:highlight w:val="none"/>
          <w:lang w:val="en-US" w:eastAsia="zh-CN"/>
        </w:rPr>
        <w:t>辆，与</w:t>
      </w:r>
      <w:r>
        <w:rPr>
          <w:rFonts w:hint="eastAsia" w:ascii="Times New Roman" w:hAnsi="Times New Roman" w:eastAsia="仿宋" w:cs="Times New Roman"/>
          <w:sz w:val="32"/>
          <w:szCs w:val="32"/>
          <w:highlight w:val="none"/>
          <w:lang w:val="en-US" w:eastAsia="zh-CN"/>
        </w:rPr>
        <w:t>上</w:t>
      </w:r>
      <w:r>
        <w:rPr>
          <w:rFonts w:hint="default" w:ascii="Times New Roman" w:hAnsi="Times New Roman" w:eastAsia="仿宋" w:cs="Times New Roman"/>
          <w:sz w:val="32"/>
          <w:szCs w:val="32"/>
          <w:highlight w:val="none"/>
          <w:lang w:val="en-US" w:eastAsia="zh-CN"/>
        </w:rPr>
        <w:t>年相比</w:t>
      </w:r>
      <w:r>
        <w:rPr>
          <w:rFonts w:hint="eastAsia" w:ascii="Times New Roman" w:hAnsi="Times New Roman" w:eastAsia="仿宋" w:cs="Times New Roman"/>
          <w:sz w:val="32"/>
          <w:szCs w:val="32"/>
          <w:highlight w:val="none"/>
          <w:lang w:val="en-US" w:eastAsia="zh-CN"/>
        </w:rPr>
        <w:t>减幅52.84</w:t>
      </w:r>
      <w:r>
        <w:rPr>
          <w:rFonts w:hint="default" w:ascii="Times New Roman" w:hAnsi="Times New Roman" w:eastAsia="仿宋" w:cs="Times New Roman"/>
          <w:sz w:val="32"/>
          <w:szCs w:val="32"/>
          <w:highlight w:val="none"/>
          <w:lang w:val="en-US" w:eastAsia="zh-CN"/>
        </w:rPr>
        <w:t>%，</w:t>
      </w:r>
      <w:r>
        <w:rPr>
          <w:rFonts w:hint="eastAsia" w:ascii="Times New Roman" w:hAnsi="Times New Roman" w:eastAsia="仿宋" w:cs="Times New Roman"/>
          <w:sz w:val="32"/>
          <w:szCs w:val="32"/>
          <w:highlight w:val="none"/>
          <w:lang w:val="en-US" w:eastAsia="zh-CN"/>
        </w:rPr>
        <w:t>与年初预算数持平，</w:t>
      </w:r>
      <w:r>
        <w:rPr>
          <w:rFonts w:hint="default" w:ascii="Times New Roman" w:hAnsi="Times New Roman" w:eastAsia="仿宋" w:cs="Times New Roman"/>
          <w:color w:val="auto"/>
          <w:sz w:val="32"/>
          <w:szCs w:val="32"/>
          <w:highlight w:val="none"/>
          <w:u w:val="none" w:color="auto"/>
        </w:rPr>
        <w:t>主要是部分乡镇、县直单位因公务用车使用年限到期而按规定更新购置公务用车相应增加购置费支出</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t>公务用车运行经费</w:t>
      </w:r>
      <w:r>
        <w:rPr>
          <w:rFonts w:hint="eastAsia" w:ascii="Times New Roman" w:hAnsi="Times New Roman" w:eastAsia="仿宋" w:cs="Times New Roman"/>
          <w:sz w:val="32"/>
          <w:szCs w:val="32"/>
          <w:highlight w:val="none"/>
          <w:lang w:val="en-US" w:eastAsia="zh-CN"/>
        </w:rPr>
        <w:t>872</w:t>
      </w:r>
      <w:r>
        <w:rPr>
          <w:rFonts w:hint="default" w:ascii="Times New Roman" w:hAnsi="Times New Roman" w:eastAsia="仿宋" w:cs="Times New Roman"/>
          <w:sz w:val="32"/>
          <w:szCs w:val="32"/>
          <w:highlight w:val="none"/>
        </w:rPr>
        <w:t>万元，与上年决算数相比</w:t>
      </w:r>
      <w:r>
        <w:rPr>
          <w:rFonts w:hint="eastAsia" w:ascii="Times New Roman" w:hAnsi="Times New Roman" w:eastAsia="仿宋" w:cs="Times New Roman"/>
          <w:sz w:val="32"/>
          <w:szCs w:val="32"/>
          <w:highlight w:val="none"/>
          <w:lang w:eastAsia="zh-CN"/>
        </w:rPr>
        <w:t>增幅</w:t>
      </w:r>
      <w:r>
        <w:rPr>
          <w:rFonts w:hint="eastAsia" w:ascii="Times New Roman" w:hAnsi="Times New Roman" w:eastAsia="仿宋" w:cs="Times New Roman"/>
          <w:sz w:val="32"/>
          <w:szCs w:val="32"/>
          <w:highlight w:val="none"/>
          <w:lang w:val="en-US" w:eastAsia="zh-CN"/>
        </w:rPr>
        <w:t>16.27</w:t>
      </w:r>
      <w:r>
        <w:rPr>
          <w:rFonts w:hint="default" w:ascii="Times New Roman" w:hAnsi="Times New Roman" w:eastAsia="仿宋" w:cs="Times New Roman"/>
          <w:sz w:val="32"/>
          <w:szCs w:val="32"/>
          <w:highlight w:val="none"/>
        </w:rPr>
        <w:t>%</w:t>
      </w:r>
      <w:r>
        <w:rPr>
          <w:rFonts w:hint="eastAsia" w:ascii="Times New Roman" w:hAnsi="Times New Roman" w:eastAsia="仿宋" w:cs="Times New Roman"/>
          <w:sz w:val="32"/>
          <w:szCs w:val="32"/>
          <w:highlight w:val="none"/>
          <w:lang w:eastAsia="zh-CN"/>
        </w:rPr>
        <w:t>，与年初预算数对比压减</w:t>
      </w:r>
      <w:r>
        <w:rPr>
          <w:rFonts w:hint="eastAsia" w:ascii="Times New Roman" w:hAnsi="Times New Roman" w:eastAsia="仿宋" w:cs="Times New Roman"/>
          <w:sz w:val="32"/>
          <w:szCs w:val="32"/>
          <w:highlight w:val="none"/>
          <w:lang w:val="en-US" w:eastAsia="zh-CN"/>
        </w:rPr>
        <w:t>11.74%</w:t>
      </w:r>
      <w:r>
        <w:rPr>
          <w:rFonts w:hint="default" w:ascii="Times New Roman" w:hAnsi="Times New Roman" w:eastAsia="仿宋" w:cs="Times New Roman"/>
          <w:sz w:val="32"/>
          <w:szCs w:val="32"/>
          <w:highlight w:val="none"/>
        </w:rPr>
        <w:t>。主要用于公务用车燃油、维修、保险等方面支出，年末公务用车保有量</w:t>
      </w:r>
      <w:r>
        <w:rPr>
          <w:rFonts w:hint="eastAsia" w:ascii="Times New Roman" w:hAnsi="Times New Roman" w:eastAsia="仿宋" w:cs="Times New Roman"/>
          <w:sz w:val="32"/>
          <w:szCs w:val="32"/>
          <w:highlight w:val="none"/>
          <w:lang w:val="en-US" w:eastAsia="zh-CN"/>
        </w:rPr>
        <w:t>267</w:t>
      </w:r>
      <w:r>
        <w:rPr>
          <w:rFonts w:hint="default" w:ascii="Times New Roman" w:hAnsi="Times New Roman" w:eastAsia="仿宋" w:cs="Times New Roman"/>
          <w:sz w:val="32"/>
          <w:szCs w:val="32"/>
          <w:highlight w:val="none"/>
        </w:rPr>
        <w:t>辆。</w:t>
      </w:r>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640" w:firstLineChars="200"/>
        <w:jc w:val="left"/>
        <w:textAlignment w:val="auto"/>
        <w:outlineLvl w:val="9"/>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lang w:eastAsia="zh-CN"/>
        </w:rPr>
        <w:t>（三）公务接待费</w:t>
      </w:r>
      <w:r>
        <w:rPr>
          <w:rFonts w:hint="eastAsia" w:ascii="Times New Roman" w:hAnsi="Times New Roman" w:eastAsia="仿宋" w:cs="Times New Roman"/>
          <w:sz w:val="32"/>
          <w:szCs w:val="32"/>
          <w:highlight w:val="none"/>
          <w:lang w:val="en-US" w:eastAsia="zh-CN"/>
        </w:rPr>
        <w:t>253</w:t>
      </w:r>
      <w:r>
        <w:rPr>
          <w:rFonts w:hint="default" w:ascii="Times New Roman" w:hAnsi="Times New Roman" w:eastAsia="仿宋" w:cs="Times New Roman"/>
          <w:sz w:val="32"/>
          <w:szCs w:val="32"/>
          <w:highlight w:val="none"/>
          <w:lang w:val="en-US" w:eastAsia="zh-CN"/>
        </w:rPr>
        <w:t>万元，国内公务接待</w:t>
      </w:r>
      <w:r>
        <w:rPr>
          <w:rFonts w:hint="eastAsia" w:ascii="Times New Roman" w:hAnsi="Times New Roman" w:eastAsia="仿宋" w:cs="Times New Roman"/>
          <w:sz w:val="32"/>
          <w:szCs w:val="32"/>
          <w:highlight w:val="none"/>
          <w:lang w:val="en-US" w:eastAsia="zh-CN"/>
        </w:rPr>
        <w:t>3488</w:t>
      </w:r>
      <w:r>
        <w:rPr>
          <w:rFonts w:hint="default" w:ascii="Times New Roman" w:hAnsi="Times New Roman" w:eastAsia="仿宋" w:cs="Times New Roman"/>
          <w:sz w:val="32"/>
          <w:szCs w:val="32"/>
          <w:highlight w:val="none"/>
          <w:lang w:val="en-US" w:eastAsia="zh-CN"/>
        </w:rPr>
        <w:t>批次，</w:t>
      </w:r>
      <w:r>
        <w:rPr>
          <w:rFonts w:hint="eastAsia" w:ascii="Times New Roman" w:hAnsi="Times New Roman" w:eastAsia="仿宋" w:cs="Times New Roman"/>
          <w:sz w:val="32"/>
          <w:szCs w:val="32"/>
          <w:highlight w:val="none"/>
          <w:lang w:val="en-US" w:eastAsia="zh-CN"/>
        </w:rPr>
        <w:t>25796</w:t>
      </w:r>
      <w:bookmarkStart w:id="2" w:name="_GoBack"/>
      <w:bookmarkEnd w:id="2"/>
      <w:r>
        <w:rPr>
          <w:rFonts w:hint="default" w:ascii="Times New Roman" w:hAnsi="Times New Roman" w:eastAsia="仿宋" w:cs="Times New Roman"/>
          <w:sz w:val="32"/>
          <w:szCs w:val="32"/>
          <w:highlight w:val="none"/>
          <w:lang w:val="en-US" w:eastAsia="zh-CN"/>
        </w:rPr>
        <w:t>人次。</w:t>
      </w:r>
      <w:r>
        <w:rPr>
          <w:rFonts w:hint="eastAsia" w:ascii="Times New Roman" w:hAnsi="Times New Roman" w:eastAsia="仿宋" w:cs="Times New Roman"/>
          <w:sz w:val="32"/>
          <w:szCs w:val="32"/>
          <w:highlight w:val="none"/>
          <w:lang w:val="en-US" w:eastAsia="zh-CN"/>
        </w:rPr>
        <w:t>与</w:t>
      </w:r>
      <w:r>
        <w:rPr>
          <w:rFonts w:hint="default" w:ascii="Times New Roman" w:hAnsi="Times New Roman" w:eastAsia="仿宋" w:cs="Times New Roman"/>
          <w:sz w:val="32"/>
          <w:szCs w:val="32"/>
          <w:highlight w:val="none"/>
          <w:lang w:val="en-US" w:eastAsia="zh-CN"/>
        </w:rPr>
        <w:t>上年</w:t>
      </w:r>
      <w:r>
        <w:rPr>
          <w:rFonts w:hint="eastAsia" w:ascii="Times New Roman" w:hAnsi="Times New Roman" w:eastAsia="仿宋" w:cs="Times New Roman"/>
          <w:sz w:val="32"/>
          <w:szCs w:val="32"/>
          <w:highlight w:val="none"/>
          <w:lang w:val="en-US" w:eastAsia="zh-CN"/>
        </w:rPr>
        <w:t>决算数相比减少36</w:t>
      </w:r>
      <w:r>
        <w:rPr>
          <w:rFonts w:hint="default" w:ascii="Times New Roman" w:hAnsi="Times New Roman" w:eastAsia="仿宋" w:cs="Times New Roman"/>
          <w:sz w:val="32"/>
          <w:szCs w:val="32"/>
          <w:highlight w:val="none"/>
          <w:lang w:val="en-US" w:eastAsia="zh-CN"/>
        </w:rPr>
        <w:t>万元，</w:t>
      </w:r>
      <w:r>
        <w:rPr>
          <w:rFonts w:hint="eastAsia" w:ascii="Times New Roman" w:hAnsi="Times New Roman" w:eastAsia="仿宋" w:cs="Times New Roman"/>
          <w:sz w:val="32"/>
          <w:szCs w:val="32"/>
          <w:highlight w:val="none"/>
          <w:lang w:val="en-US" w:eastAsia="zh-CN"/>
        </w:rPr>
        <w:t>减幅12.46</w:t>
      </w:r>
      <w:r>
        <w:rPr>
          <w:rFonts w:hint="default" w:ascii="Times New Roman" w:hAnsi="Times New Roman" w:eastAsia="仿宋" w:cs="Times New Roman"/>
          <w:sz w:val="32"/>
          <w:szCs w:val="32"/>
          <w:highlight w:val="none"/>
          <w:lang w:val="en-US" w:eastAsia="zh-CN"/>
        </w:rPr>
        <w:t>%</w:t>
      </w:r>
      <w:r>
        <w:rPr>
          <w:rFonts w:hint="eastAsia" w:ascii="Times New Roman" w:hAnsi="Times New Roman" w:eastAsia="仿宋" w:cs="Times New Roman"/>
          <w:sz w:val="32"/>
          <w:szCs w:val="32"/>
          <w:highlight w:val="none"/>
          <w:lang w:val="en-US" w:eastAsia="zh-CN"/>
        </w:rPr>
        <w:t>，与年初预算数对比减少84万元，压减24.93%</w:t>
      </w:r>
      <w:r>
        <w:rPr>
          <w:rFonts w:hint="default" w:ascii="Times New Roman" w:hAnsi="Times New Roman" w:eastAsia="仿宋" w:cs="Times New Roman"/>
          <w:sz w:val="32"/>
          <w:szCs w:val="32"/>
          <w:highlight w:val="none"/>
          <w:lang w:val="en-US" w:eastAsia="zh-CN"/>
        </w:rPr>
        <w:t>。</w:t>
      </w:r>
      <w:r>
        <w:rPr>
          <w:rFonts w:hint="default" w:ascii="Times New Roman" w:hAnsi="Times New Roman" w:eastAsia="仿宋" w:cs="Times New Roman"/>
          <w:sz w:val="32"/>
          <w:szCs w:val="32"/>
          <w:highlight w:val="none"/>
        </w:rPr>
        <w:br w:type="textWrapping"/>
      </w:r>
      <w:r>
        <w:rPr>
          <w:rFonts w:hint="default" w:ascii="Times New Roman" w:hAnsi="Times New Roman" w:eastAsia="仿宋" w:cs="Times New Roman"/>
          <w:sz w:val="32"/>
          <w:szCs w:val="32"/>
          <w:highlight w:val="none"/>
        </w:rPr>
        <w:t> 　　</w:t>
      </w:r>
      <w:bookmarkStart w:id="1" w:name="ffz"/>
      <w:bookmarkEnd w:id="1"/>
    </w:p>
    <w:p>
      <w:pPr>
        <w:keepNext w:val="0"/>
        <w:keepLines w:val="0"/>
        <w:pageBreakBefore w:val="0"/>
        <w:kinsoku/>
        <w:wordWrap/>
        <w:overflowPunct/>
        <w:topLinePunct w:val="0"/>
        <w:autoSpaceDE/>
        <w:autoSpaceDN/>
        <w:bidi w:val="0"/>
        <w:adjustRightInd/>
        <w:spacing w:beforeAutospacing="0" w:afterAutospacing="0" w:line="580" w:lineRule="exact"/>
        <w:ind w:left="0" w:leftChars="0" w:right="0" w:rightChars="0" w:firstLine="5440" w:firstLineChars="1700"/>
        <w:textAlignment w:val="auto"/>
        <w:outlineLvl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新宋体-18030">
    <w:altName w:val="宋体"/>
    <w:panose1 w:val="02010609060101010101"/>
    <w:charset w:val="86"/>
    <w:family w:val="modern"/>
    <w:pitch w:val="default"/>
    <w:sig w:usb0="00000000" w:usb1="00000000" w:usb2="000A005E" w:usb3="00000000" w:csb0="00040001" w:csb1="00000000"/>
  </w:font>
  <w:font w:name="Helvetica">
    <w:panose1 w:val="020B0504020202030204"/>
    <w:charset w:val="00"/>
    <w:family w:val="swiss"/>
    <w:pitch w:val="default"/>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35C3C"/>
    <w:multiLevelType w:val="singleLevel"/>
    <w:tmpl w:val="5B835C3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F28F4"/>
    <w:rsid w:val="00006A17"/>
    <w:rsid w:val="000B21A7"/>
    <w:rsid w:val="000B7CF9"/>
    <w:rsid w:val="000F28F4"/>
    <w:rsid w:val="001132BB"/>
    <w:rsid w:val="001A50A3"/>
    <w:rsid w:val="001D5607"/>
    <w:rsid w:val="001D6FB2"/>
    <w:rsid w:val="00203D87"/>
    <w:rsid w:val="00215F6F"/>
    <w:rsid w:val="00287C94"/>
    <w:rsid w:val="002B3E7B"/>
    <w:rsid w:val="002F7506"/>
    <w:rsid w:val="00351FAC"/>
    <w:rsid w:val="003768F2"/>
    <w:rsid w:val="0038318E"/>
    <w:rsid w:val="003A4BF1"/>
    <w:rsid w:val="003B7E5C"/>
    <w:rsid w:val="00437E38"/>
    <w:rsid w:val="004531DF"/>
    <w:rsid w:val="004E5DB2"/>
    <w:rsid w:val="00542EEB"/>
    <w:rsid w:val="00585786"/>
    <w:rsid w:val="00590B11"/>
    <w:rsid w:val="005B4902"/>
    <w:rsid w:val="005F6A7E"/>
    <w:rsid w:val="00637FAB"/>
    <w:rsid w:val="006407AC"/>
    <w:rsid w:val="00652A17"/>
    <w:rsid w:val="00697DAF"/>
    <w:rsid w:val="006D45A6"/>
    <w:rsid w:val="007A29B7"/>
    <w:rsid w:val="007A42EE"/>
    <w:rsid w:val="00811EAD"/>
    <w:rsid w:val="0082697F"/>
    <w:rsid w:val="00863613"/>
    <w:rsid w:val="008B1709"/>
    <w:rsid w:val="008B4885"/>
    <w:rsid w:val="00920A36"/>
    <w:rsid w:val="00931424"/>
    <w:rsid w:val="009463C7"/>
    <w:rsid w:val="009647F7"/>
    <w:rsid w:val="00975440"/>
    <w:rsid w:val="009D78FF"/>
    <w:rsid w:val="00AB1D05"/>
    <w:rsid w:val="00B51B5B"/>
    <w:rsid w:val="00B75DCA"/>
    <w:rsid w:val="00BA0DDB"/>
    <w:rsid w:val="00BA76BC"/>
    <w:rsid w:val="00BB2040"/>
    <w:rsid w:val="00C14A8C"/>
    <w:rsid w:val="00C97874"/>
    <w:rsid w:val="00CB40CA"/>
    <w:rsid w:val="00CD0453"/>
    <w:rsid w:val="00DC58DE"/>
    <w:rsid w:val="00E03B12"/>
    <w:rsid w:val="00E6225A"/>
    <w:rsid w:val="00E85CA7"/>
    <w:rsid w:val="00ED2FA3"/>
    <w:rsid w:val="00EE434C"/>
    <w:rsid w:val="00F63FBA"/>
    <w:rsid w:val="00F831A5"/>
    <w:rsid w:val="0D330C81"/>
    <w:rsid w:val="1C2B6718"/>
    <w:rsid w:val="1F6D072D"/>
    <w:rsid w:val="21A81057"/>
    <w:rsid w:val="33DC345C"/>
    <w:rsid w:val="54D960A8"/>
    <w:rsid w:val="6BA73114"/>
    <w:rsid w:val="7D4355D1"/>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paragraph" w:customStyle="1" w:styleId="10">
    <w:name w:val="Char1"/>
    <w:basedOn w:val="1"/>
    <w:qFormat/>
    <w:uiPriority w:val="0"/>
    <w:pPr>
      <w:tabs>
        <w:tab w:val="left" w:pos="720"/>
      </w:tabs>
      <w:ind w:left="720" w:hanging="720"/>
    </w:pPr>
    <w:rPr>
      <w:rFonts w:ascii="Times New Roman" w:hAnsi="Times New Roman" w:eastAsia="宋体" w:cs="Times New Roman"/>
      <w:sz w:val="24"/>
      <w:szCs w:val="24"/>
    </w:rPr>
  </w:style>
  <w:style w:type="character" w:customStyle="1" w:styleId="11">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104</Words>
  <Characters>596</Characters>
  <Lines>4</Lines>
  <Paragraphs>1</Paragraphs>
  <ScaleCrop>false</ScaleCrop>
  <LinksUpToDate>false</LinksUpToDate>
  <CharactersWithSpaces>699</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2018-08-02T01:30:00Z</dcterms:created>
  <dc:creator>hp</dc:creator>
  <cp:lastModifiedBy>Administrator</cp:lastModifiedBy>
  <cp:lastPrinted>2018-08-02T01:20:00Z</cp:lastPrinted>
  <dcterms:modified xsi:type="dcterms:W3CDTF">2023-07-11T08:21:48Z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