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beforeAutospacing="0" w:afterAutospacing="0" w:line="580" w:lineRule="exact"/>
        <w:ind w:left="0" w:leftChars="0" w:right="0" w:rightChars="0"/>
        <w:jc w:val="center"/>
        <w:textAlignment w:val="auto"/>
        <w:outlineLvl w:val="9"/>
        <w:rPr>
          <w:rFonts w:hint="eastAsia" w:ascii="方正小标宋简体" w:hAnsi="方正小标宋简体" w:eastAsia="方正小标宋简体" w:cs="方正小标宋简体"/>
          <w:kern w:val="0"/>
          <w:sz w:val="44"/>
          <w:szCs w:val="44"/>
        </w:rPr>
      </w:pPr>
      <w:bookmarkStart w:id="0" w:name="fbt"/>
      <w:r>
        <w:rPr>
          <w:rFonts w:hint="eastAsia" w:ascii="方正小标宋简体" w:hAnsi="方正小标宋简体" w:eastAsia="方正小标宋简体" w:cs="方正小标宋简体"/>
          <w:kern w:val="0"/>
          <w:sz w:val="44"/>
          <w:szCs w:val="44"/>
        </w:rPr>
        <w:t>201</w:t>
      </w:r>
      <w:bookmarkStart w:id="2" w:name="_GoBack"/>
      <w:bookmarkEnd w:id="2"/>
      <w:r>
        <w:rPr>
          <w:rFonts w:hint="eastAsia" w:ascii="方正小标宋简体" w:hAnsi="方正小标宋简体" w:eastAsia="方正小标宋简体" w:cs="方正小标宋简体"/>
          <w:kern w:val="0"/>
          <w:sz w:val="44"/>
          <w:szCs w:val="44"/>
          <w:lang w:val="en-US" w:eastAsia="zh-CN"/>
        </w:rPr>
        <w:t>9</w:t>
      </w:r>
      <w:r>
        <w:rPr>
          <w:rFonts w:hint="eastAsia" w:ascii="方正小标宋简体" w:hAnsi="方正小标宋简体" w:eastAsia="方正小标宋简体" w:cs="方正小标宋简体"/>
          <w:kern w:val="0"/>
          <w:sz w:val="44"/>
          <w:szCs w:val="44"/>
        </w:rPr>
        <w:t>年度</w:t>
      </w:r>
      <w:r>
        <w:rPr>
          <w:rFonts w:hint="eastAsia" w:ascii="方正小标宋简体" w:hAnsi="方正小标宋简体" w:eastAsia="方正小标宋简体" w:cs="方正小标宋简体"/>
          <w:kern w:val="0"/>
          <w:sz w:val="44"/>
          <w:szCs w:val="44"/>
          <w:lang w:eastAsia="zh-CN"/>
        </w:rPr>
        <w:t>上杭县县</w:t>
      </w:r>
      <w:r>
        <w:rPr>
          <w:rFonts w:hint="eastAsia" w:ascii="方正小标宋简体" w:hAnsi="方正小标宋简体" w:eastAsia="方正小标宋简体" w:cs="方正小标宋简体"/>
          <w:kern w:val="0"/>
          <w:sz w:val="44"/>
          <w:szCs w:val="44"/>
        </w:rPr>
        <w:t>本级“三公”经费</w:t>
      </w:r>
    </w:p>
    <w:p>
      <w:pPr>
        <w:keepNext w:val="0"/>
        <w:keepLines w:val="0"/>
        <w:pageBreakBefore w:val="0"/>
        <w:widowControl/>
        <w:kinsoku/>
        <w:wordWrap/>
        <w:overflowPunct/>
        <w:topLinePunct w:val="0"/>
        <w:autoSpaceDE/>
        <w:autoSpaceDN/>
        <w:bidi w:val="0"/>
        <w:adjustRightInd/>
        <w:snapToGrid w:val="0"/>
        <w:spacing w:beforeAutospacing="0" w:afterAutospacing="0" w:line="580" w:lineRule="exact"/>
        <w:ind w:left="0" w:leftChars="0" w:right="0" w:rightChars="0"/>
        <w:jc w:val="center"/>
        <w:textAlignment w:val="auto"/>
        <w:outlineLvl w:val="9"/>
        <w:rPr>
          <w:rFonts w:ascii="宋体" w:hAnsi="宋体" w:eastAsia="宋体" w:cs="宋体"/>
          <w:kern w:val="0"/>
          <w:sz w:val="24"/>
          <w:szCs w:val="24"/>
        </w:rPr>
      </w:pPr>
      <w:r>
        <w:rPr>
          <w:rFonts w:hint="eastAsia" w:ascii="方正小标宋简体" w:hAnsi="方正小标宋简体" w:eastAsia="方正小标宋简体" w:cs="方正小标宋简体"/>
          <w:kern w:val="0"/>
          <w:sz w:val="44"/>
          <w:szCs w:val="44"/>
        </w:rPr>
        <w:t>决算支出情况</w:t>
      </w:r>
      <w:bookmarkEnd w:id="0"/>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eastAsia" w:ascii="仿宋" w:hAnsi="仿宋" w:eastAsia="仿宋"/>
          <w:sz w:val="32"/>
          <w:szCs w:val="32"/>
        </w:rPr>
      </w:pP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经汇总，本级201</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年使用一般公共预算拨款安排的“三公”经费决算数为</w:t>
      </w:r>
      <w:r>
        <w:rPr>
          <w:rFonts w:hint="default" w:ascii="Times New Roman" w:hAnsi="Times New Roman" w:eastAsia="仿宋" w:cs="Times New Roman"/>
          <w:sz w:val="32"/>
          <w:szCs w:val="32"/>
          <w:lang w:val="en-US" w:eastAsia="zh-CN"/>
        </w:rPr>
        <w:t>2027</w:t>
      </w:r>
      <w:r>
        <w:rPr>
          <w:rFonts w:hint="default" w:ascii="Times New Roman" w:hAnsi="Times New Roman" w:eastAsia="仿宋" w:cs="Times New Roman"/>
          <w:sz w:val="32"/>
          <w:szCs w:val="32"/>
        </w:rPr>
        <w:t>万元，比上年决算数</w:t>
      </w:r>
      <w:r>
        <w:rPr>
          <w:rFonts w:hint="default" w:ascii="Times New Roman" w:hAnsi="Times New Roman" w:eastAsia="仿宋" w:cs="Times New Roman"/>
          <w:sz w:val="32"/>
          <w:szCs w:val="32"/>
          <w:lang w:eastAsia="zh-CN"/>
        </w:rPr>
        <w:t>增加</w:t>
      </w:r>
      <w:r>
        <w:rPr>
          <w:rFonts w:hint="default" w:ascii="Times New Roman" w:hAnsi="Times New Roman" w:eastAsia="仿宋" w:cs="Times New Roman"/>
          <w:sz w:val="32"/>
          <w:szCs w:val="32"/>
          <w:lang w:val="en-US" w:eastAsia="zh-CN"/>
        </w:rPr>
        <w:t>115</w:t>
      </w:r>
      <w:r>
        <w:rPr>
          <w:rFonts w:hint="default" w:ascii="Times New Roman" w:hAnsi="Times New Roman" w:eastAsia="仿宋" w:cs="Times New Roman"/>
          <w:sz w:val="32"/>
          <w:szCs w:val="32"/>
        </w:rPr>
        <w:t>万元。</w:t>
      </w:r>
      <w:r>
        <w:rPr>
          <w:rFonts w:hint="default" w:ascii="Times New Roman" w:hAnsi="Times New Roman" w:eastAsia="仿宋" w:cs="Times New Roman"/>
          <w:color w:val="auto"/>
          <w:sz w:val="32"/>
          <w:szCs w:val="32"/>
          <w:u w:val="none" w:color="auto"/>
        </w:rPr>
        <w:t>增幅6.01%。主要是部分乡镇、县直单位因公务用车使用年限到期而按规定更新购置公务用车相应增加购置费支出。</w:t>
      </w:r>
      <w:r>
        <w:rPr>
          <w:rFonts w:hint="default" w:ascii="Times New Roman" w:hAnsi="Times New Roman" w:eastAsia="仿宋" w:cs="Times New Roman"/>
          <w:sz w:val="32"/>
          <w:szCs w:val="32"/>
        </w:rPr>
        <w:t>具体情况如下：</w:t>
      </w:r>
    </w:p>
    <w:p>
      <w:pPr>
        <w:keepNext w:val="0"/>
        <w:keepLines w:val="0"/>
        <w:pageBreakBefore w:val="0"/>
        <w:numPr>
          <w:ilvl w:val="0"/>
          <w:numId w:val="1"/>
        </w:numPr>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因公出国（境）经费</w:t>
      </w:r>
      <w:r>
        <w:rPr>
          <w:rFonts w:hint="default" w:ascii="Times New Roman" w:hAnsi="Times New Roman" w:eastAsia="仿宋" w:cs="Times New Roman"/>
          <w:sz w:val="32"/>
          <w:szCs w:val="32"/>
          <w:lang w:val="en-US" w:eastAsia="zh-CN"/>
        </w:rPr>
        <w:t>15</w:t>
      </w:r>
      <w:r>
        <w:rPr>
          <w:rFonts w:hint="default" w:ascii="Times New Roman" w:hAnsi="Times New Roman" w:eastAsia="仿宋" w:cs="Times New Roman"/>
          <w:sz w:val="32"/>
          <w:szCs w:val="32"/>
        </w:rPr>
        <w:t>万元，全年</w:t>
      </w:r>
      <w:r>
        <w:rPr>
          <w:rFonts w:hint="default" w:ascii="Times New Roman" w:hAnsi="Times New Roman" w:eastAsia="仿宋" w:cs="Times New Roman"/>
          <w:sz w:val="32"/>
          <w:szCs w:val="32"/>
          <w:lang w:eastAsia="zh-CN"/>
        </w:rPr>
        <w:t>县</w:t>
      </w:r>
      <w:r>
        <w:rPr>
          <w:rFonts w:hint="default" w:ascii="Times New Roman" w:hAnsi="Times New Roman" w:eastAsia="仿宋" w:cs="Times New Roman"/>
          <w:sz w:val="32"/>
          <w:szCs w:val="32"/>
        </w:rPr>
        <w:t>本级部门组织出国团组</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个，因公出国（境）累计</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人次。与上年决算数相比</w:t>
      </w:r>
      <w:r>
        <w:rPr>
          <w:rFonts w:hint="default" w:ascii="Times New Roman" w:hAnsi="Times New Roman" w:eastAsia="仿宋" w:cs="Times New Roman"/>
          <w:sz w:val="32"/>
          <w:szCs w:val="32"/>
          <w:lang w:val="en-US" w:eastAsia="zh-CN"/>
        </w:rPr>
        <w:t>增加12万元，增幅400%</w:t>
      </w:r>
      <w:r>
        <w:rPr>
          <w:rFonts w:hint="default" w:ascii="Times New Roman" w:hAnsi="Times New Roman" w:eastAsia="仿宋" w:cs="Times New Roman"/>
          <w:sz w:val="32"/>
          <w:szCs w:val="32"/>
          <w:lang w:eastAsia="zh-CN"/>
        </w:rPr>
        <w:t>。</w:t>
      </w:r>
    </w:p>
    <w:p>
      <w:pPr>
        <w:keepNext w:val="0"/>
        <w:keepLines w:val="0"/>
        <w:pageBreakBefore w:val="0"/>
        <w:numPr>
          <w:ilvl w:val="0"/>
          <w:numId w:val="1"/>
        </w:numPr>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公务用车购置及运行维护费</w:t>
      </w:r>
      <w:r>
        <w:rPr>
          <w:rFonts w:hint="default" w:ascii="Times New Roman" w:hAnsi="Times New Roman" w:eastAsia="仿宋" w:cs="Times New Roman"/>
          <w:sz w:val="32"/>
          <w:szCs w:val="32"/>
          <w:lang w:val="en-US" w:eastAsia="zh-CN"/>
        </w:rPr>
        <w:t>1215万元。其中：公务</w:t>
      </w:r>
      <w:r>
        <w:rPr>
          <w:rFonts w:hint="default" w:ascii="Times New Roman" w:hAnsi="Times New Roman" w:eastAsia="仿宋" w:cs="Times New Roman"/>
          <w:sz w:val="32"/>
          <w:szCs w:val="32"/>
        </w:rPr>
        <w:t>公务用车购置经费</w:t>
      </w:r>
      <w:r>
        <w:rPr>
          <w:rFonts w:hint="default" w:ascii="Times New Roman" w:hAnsi="Times New Roman" w:eastAsia="仿宋" w:cs="Times New Roman"/>
          <w:sz w:val="32"/>
          <w:szCs w:val="32"/>
          <w:lang w:val="en-US" w:eastAsia="zh-CN"/>
        </w:rPr>
        <w:t>376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公务用车购置</w:t>
      </w:r>
      <w:r>
        <w:rPr>
          <w:rFonts w:hint="default" w:ascii="Times New Roman" w:hAnsi="Times New Roman" w:eastAsia="仿宋" w:cs="Times New Roman"/>
          <w:sz w:val="32"/>
          <w:szCs w:val="32"/>
          <w:lang w:val="en-US" w:eastAsia="zh-CN"/>
        </w:rPr>
        <w:t>37辆，与2018年相比增长300%，</w:t>
      </w:r>
      <w:r>
        <w:rPr>
          <w:rFonts w:hint="default" w:ascii="Times New Roman" w:hAnsi="Times New Roman" w:eastAsia="仿宋" w:cs="Times New Roman"/>
          <w:color w:val="auto"/>
          <w:sz w:val="32"/>
          <w:szCs w:val="32"/>
          <w:u w:val="none" w:color="auto"/>
        </w:rPr>
        <w:t>主要是部分乡镇、县直单位因公务用车使用年限到期而按规定更新购置公务用车相应增加购置费支出</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公务用车运行经费</w:t>
      </w:r>
      <w:r>
        <w:rPr>
          <w:rFonts w:hint="default" w:ascii="Times New Roman" w:hAnsi="Times New Roman" w:eastAsia="仿宋" w:cs="Times New Roman"/>
          <w:sz w:val="32"/>
          <w:szCs w:val="32"/>
          <w:lang w:val="en-US" w:eastAsia="zh-CN"/>
        </w:rPr>
        <w:t>839</w:t>
      </w:r>
      <w:r>
        <w:rPr>
          <w:rFonts w:hint="default" w:ascii="Times New Roman" w:hAnsi="Times New Roman" w:eastAsia="仿宋" w:cs="Times New Roman"/>
          <w:sz w:val="32"/>
          <w:szCs w:val="32"/>
        </w:rPr>
        <w:t>万元，与上年决算数相比</w:t>
      </w:r>
      <w:r>
        <w:rPr>
          <w:rFonts w:hint="default" w:ascii="Times New Roman" w:hAnsi="Times New Roman" w:eastAsia="仿宋" w:cs="Times New Roman"/>
          <w:sz w:val="32"/>
          <w:szCs w:val="32"/>
          <w:lang w:eastAsia="zh-CN"/>
        </w:rPr>
        <w:t>减幅</w:t>
      </w:r>
      <w:r>
        <w:rPr>
          <w:rFonts w:hint="default" w:ascii="Times New Roman" w:hAnsi="Times New Roman" w:eastAsia="仿宋" w:cs="Times New Roman"/>
          <w:sz w:val="32"/>
          <w:szCs w:val="32"/>
          <w:lang w:val="en-US" w:eastAsia="zh-CN"/>
        </w:rPr>
        <w:t>7.8</w:t>
      </w:r>
      <w:r>
        <w:rPr>
          <w:rFonts w:hint="default" w:ascii="Times New Roman" w:hAnsi="Times New Roman" w:eastAsia="仿宋" w:cs="Times New Roman"/>
          <w:sz w:val="32"/>
          <w:szCs w:val="32"/>
        </w:rPr>
        <w:t>%。主要用于公务用车燃油、维修、保险等方面支出，年末公务用车保有量</w:t>
      </w:r>
      <w:r>
        <w:rPr>
          <w:rFonts w:hint="default" w:ascii="Times New Roman" w:hAnsi="Times New Roman" w:eastAsia="仿宋" w:cs="Times New Roman"/>
          <w:sz w:val="32"/>
          <w:szCs w:val="32"/>
          <w:lang w:val="en-US" w:eastAsia="zh-CN"/>
        </w:rPr>
        <w:t>397</w:t>
      </w:r>
      <w:r>
        <w:rPr>
          <w:rFonts w:hint="default" w:ascii="Times New Roman" w:hAnsi="Times New Roman" w:eastAsia="仿宋" w:cs="Times New Roman"/>
          <w:sz w:val="32"/>
          <w:szCs w:val="32"/>
        </w:rPr>
        <w:t>辆。</w:t>
      </w: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0" w:firstLineChars="200"/>
        <w:jc w:val="lef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（三）公务接待费</w:t>
      </w:r>
      <w:r>
        <w:rPr>
          <w:rFonts w:hint="default" w:ascii="Times New Roman" w:hAnsi="Times New Roman" w:eastAsia="仿宋" w:cs="Times New Roman"/>
          <w:sz w:val="32"/>
          <w:szCs w:val="32"/>
          <w:lang w:val="en-US" w:eastAsia="zh-CN"/>
        </w:rPr>
        <w:t>797万元，国内公务接待8872批次，74755人次。与2018年相比减幅10.45%。</w:t>
      </w:r>
      <w:r>
        <w:rPr>
          <w:rFonts w:hint="default" w:ascii="Times New Roman" w:hAnsi="Times New Roman" w:eastAsia="仿宋" w:cs="Times New Roman"/>
          <w:sz w:val="32"/>
          <w:szCs w:val="32"/>
        </w:rPr>
        <w:br w:type="textWrapping"/>
      </w:r>
      <w:r>
        <w:rPr>
          <w:rFonts w:hint="default" w:ascii="Times New Roman" w:hAnsi="Times New Roman" w:eastAsia="仿宋" w:cs="Times New Roman"/>
          <w:sz w:val="32"/>
          <w:szCs w:val="32"/>
        </w:rPr>
        <w:t> 　　</w:t>
      </w:r>
      <w:bookmarkStart w:id="1" w:name="ffz"/>
      <w:bookmarkEnd w:id="1"/>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5600" w:firstLineChars="175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上杭县</w:t>
      </w:r>
      <w:r>
        <w:rPr>
          <w:rFonts w:hint="default" w:ascii="Times New Roman" w:hAnsi="Times New Roman" w:eastAsia="仿宋" w:cs="Times New Roman"/>
          <w:sz w:val="32"/>
          <w:szCs w:val="32"/>
        </w:rPr>
        <w:t>财政局</w:t>
      </w: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5440" w:firstLineChars="1700"/>
        <w:textAlignment w:val="auto"/>
        <w:outlineLvl w:val="9"/>
        <w:rPr>
          <w:rFonts w:ascii="仿宋" w:hAnsi="仿宋" w:eastAsia="仿宋"/>
          <w:sz w:val="32"/>
          <w:szCs w:val="32"/>
        </w:rPr>
      </w:pP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val="en-US" w:eastAsia="zh-CN"/>
        </w:rPr>
        <w:t>20</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新宋体-18030">
    <w:altName w:val="宋体"/>
    <w:panose1 w:val="02010609060101010101"/>
    <w:charset w:val="86"/>
    <w:family w:val="modern"/>
    <w:pitch w:val="default"/>
    <w:sig w:usb0="00000000" w:usb1="00000000" w:usb2="000A005E" w:usb3="00000000" w:csb0="00040001" w:csb1="00000000"/>
  </w:font>
  <w:font w:name="Helvetica">
    <w:panose1 w:val="020B0504020202030204"/>
    <w:charset w:val="00"/>
    <w:family w:val="swiss"/>
    <w:pitch w:val="default"/>
    <w:sig w:usb0="00000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35C3C"/>
    <w:multiLevelType w:val="singleLevel"/>
    <w:tmpl w:val="5B835C3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F28F4"/>
    <w:rsid w:val="00006A17"/>
    <w:rsid w:val="000B21A7"/>
    <w:rsid w:val="000B7CF9"/>
    <w:rsid w:val="000F28F4"/>
    <w:rsid w:val="001132BB"/>
    <w:rsid w:val="001A50A3"/>
    <w:rsid w:val="001D5607"/>
    <w:rsid w:val="001D6FB2"/>
    <w:rsid w:val="00203D87"/>
    <w:rsid w:val="00215F6F"/>
    <w:rsid w:val="00287C94"/>
    <w:rsid w:val="002B3E7B"/>
    <w:rsid w:val="002F7506"/>
    <w:rsid w:val="00351FAC"/>
    <w:rsid w:val="003768F2"/>
    <w:rsid w:val="0038318E"/>
    <w:rsid w:val="003A4BF1"/>
    <w:rsid w:val="003B7E5C"/>
    <w:rsid w:val="00437E38"/>
    <w:rsid w:val="004531DF"/>
    <w:rsid w:val="004E5DB2"/>
    <w:rsid w:val="00542EEB"/>
    <w:rsid w:val="00585786"/>
    <w:rsid w:val="00590B11"/>
    <w:rsid w:val="005B4902"/>
    <w:rsid w:val="005F6A7E"/>
    <w:rsid w:val="00637FAB"/>
    <w:rsid w:val="006407AC"/>
    <w:rsid w:val="00652A17"/>
    <w:rsid w:val="00697DAF"/>
    <w:rsid w:val="006D45A6"/>
    <w:rsid w:val="007A29B7"/>
    <w:rsid w:val="007A42EE"/>
    <w:rsid w:val="00811EAD"/>
    <w:rsid w:val="0082697F"/>
    <w:rsid w:val="00863613"/>
    <w:rsid w:val="008B1709"/>
    <w:rsid w:val="008B4885"/>
    <w:rsid w:val="00920A36"/>
    <w:rsid w:val="00931424"/>
    <w:rsid w:val="009463C7"/>
    <w:rsid w:val="009647F7"/>
    <w:rsid w:val="00975440"/>
    <w:rsid w:val="009D78FF"/>
    <w:rsid w:val="00AB1D05"/>
    <w:rsid w:val="00B51B5B"/>
    <w:rsid w:val="00B75DCA"/>
    <w:rsid w:val="00BA0DDB"/>
    <w:rsid w:val="00BA76BC"/>
    <w:rsid w:val="00BB2040"/>
    <w:rsid w:val="00C14A8C"/>
    <w:rsid w:val="00C97874"/>
    <w:rsid w:val="00CB40CA"/>
    <w:rsid w:val="00CD0453"/>
    <w:rsid w:val="00DC58DE"/>
    <w:rsid w:val="00E03B12"/>
    <w:rsid w:val="00E6225A"/>
    <w:rsid w:val="00E85CA7"/>
    <w:rsid w:val="00ED2FA3"/>
    <w:rsid w:val="00EE434C"/>
    <w:rsid w:val="00F63FBA"/>
    <w:rsid w:val="00F831A5"/>
    <w:rsid w:val="1F6D072D"/>
    <w:rsid w:val="33DC345C"/>
    <w:rsid w:val="54D960A8"/>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paragraph" w:customStyle="1" w:styleId="10">
    <w:name w:val="Char1"/>
    <w:basedOn w:val="1"/>
    <w:uiPriority w:val="0"/>
    <w:pPr>
      <w:tabs>
        <w:tab w:val="left" w:pos="720"/>
      </w:tabs>
      <w:ind w:left="720" w:hanging="720"/>
    </w:pPr>
    <w:rPr>
      <w:rFonts w:ascii="Times New Roman" w:hAnsi="Times New Roman" w:eastAsia="宋体" w:cs="Times New Roman"/>
      <w:sz w:val="24"/>
      <w:szCs w:val="24"/>
    </w:rPr>
  </w:style>
  <w:style w:type="character" w:customStyle="1" w:styleId="11">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104</Words>
  <Characters>596</Characters>
  <Lines>4</Lines>
  <Paragraphs>1</Paragraphs>
  <ScaleCrop>false</ScaleCrop>
  <LinksUpToDate>false</LinksUpToDate>
  <CharactersWithSpaces>699</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2018-08-02T01:30:00Z</dcterms:created>
  <dc:creator>hp</dc:creator>
  <cp:lastModifiedBy>Administrator</cp:lastModifiedBy>
  <cp:lastPrinted>2018-08-02T01:20:00Z</cp:lastPrinted>
  <dcterms:modified xsi:type="dcterms:W3CDTF">2020-06-29T07:51:36Z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